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BC8AB">
      <w:pPr>
        <w:pStyle w:val="8"/>
        <w:spacing w:line="600" w:lineRule="exact"/>
        <w:jc w:val="center"/>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38A65DEF">
      <w:pPr>
        <w:pStyle w:val="8"/>
        <w:keepNext w:val="0"/>
        <w:keepLines w:val="0"/>
        <w:pageBreakBefore w:val="0"/>
        <w:widowControl w:val="0"/>
        <w:kinsoku/>
        <w:wordWrap/>
        <w:overflowPunct/>
        <w:topLinePunct w:val="0"/>
        <w:autoSpaceDE/>
        <w:autoSpaceDN/>
        <w:bidi w:val="0"/>
        <w:adjustRightInd/>
        <w:snapToGrid/>
        <w:spacing w:line="600" w:lineRule="exact"/>
        <w:ind w:left="-320" w:leftChars="-100"/>
        <w:jc w:val="center"/>
        <w:textAlignment w:val="auto"/>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w:t>
      </w:r>
      <w:r>
        <w:rPr>
          <w:rFonts w:hint="eastAsia" w:ascii="方正小标宋_GBK" w:hAnsi="方正小标宋_GBK" w:eastAsia="方正小标宋_GBK" w:cs="方正小标宋_GBK"/>
          <w:b w:val="0"/>
          <w:bCs w:val="0"/>
          <w:sz w:val="44"/>
          <w:szCs w:val="44"/>
          <w:lang w:val="en-US" w:eastAsia="zh-CN"/>
        </w:rPr>
        <w:t>2024年易地扶贫搬迁贷款贴息的</w:t>
      </w:r>
      <w:r>
        <w:rPr>
          <w:rFonts w:hint="eastAsia" w:ascii="方正小标宋_GBK" w:hAnsi="方正小标宋_GBK" w:eastAsia="方正小标宋_GBK" w:cs="方正小标宋_GBK"/>
          <w:b w:val="0"/>
          <w:bCs w:val="0"/>
          <w:sz w:val="44"/>
          <w:szCs w:val="44"/>
        </w:rPr>
        <w:t>绩效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6B97FA0D">
      <w:pPr>
        <w:pStyle w:val="8"/>
        <w:spacing w:line="600" w:lineRule="exact"/>
        <w:ind w:firstLine="640"/>
        <w:jc w:val="center"/>
        <w:rPr>
          <w:rFonts w:ascii="宋体" w:hAnsi="宋体"/>
          <w:color w:val="auto"/>
          <w:kern w:val="2"/>
          <w:sz w:val="32"/>
          <w:szCs w:val="32"/>
        </w:rPr>
      </w:pPr>
    </w:p>
    <w:p w14:paraId="6A9C5DF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一、评价工作开展及项目情况</w:t>
      </w:r>
    </w:p>
    <w:p w14:paraId="265DC6B2">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（一）项目基本情况。</w:t>
      </w:r>
    </w:p>
    <w:p w14:paraId="2BFBB2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kern w:val="0"/>
          <w:sz w:val="32"/>
          <w:szCs w:val="32"/>
          <w:lang w:val="en-US" w:eastAsia="zh-CN"/>
        </w:rPr>
      </w:pPr>
      <w:r>
        <w:rPr>
          <w:rFonts w:hint="eastAsia" w:ascii="仿宋_GB2312" w:eastAsia="仿宋_GB2312"/>
          <w:kern w:val="0"/>
          <w:sz w:val="32"/>
          <w:szCs w:val="32"/>
          <w:lang w:val="en-US" w:eastAsia="zh-CN"/>
        </w:rPr>
        <w:t>“十三五”期间易地扶贫搬迁工作严格按照中央、省、州要求，坚持群众自愿、积极稳妥方针，对具有搬迁条件和意愿的农村建档立卡贫困人口实施易地扶贫搬迁。2016-2018年我县共计搬迁建档立卡贫困户244户849人，建成住房244套。其中，2016年搬迁71户240人，2017年搬迁90户317人，2018年搬迁83户292人。共计投入资金5357.2692万元，其中：2016年到位资金1519万元，2017年到位资金1846.5万元，2018年到位资金1991.7692万元。发放建房补助款1978.17万元，基础设施投入3379.0992万元。通过易地扶贫搬迁的实施，使849人脱贫致富。</w:t>
      </w:r>
    </w:p>
    <w:p w14:paraId="69947A77">
      <w:pPr>
        <w:pStyle w:val="2"/>
        <w:keepNext w:val="0"/>
        <w:keepLines w:val="0"/>
        <w:pageBreakBefore w:val="0"/>
        <w:widowControl w:val="0"/>
        <w:kinsoku/>
        <w:wordWrap/>
        <w:overflowPunct/>
        <w:topLinePunct w:val="0"/>
        <w:autoSpaceDE/>
        <w:autoSpaceDN/>
        <w:bidi w:val="0"/>
        <w:spacing w:line="540" w:lineRule="exact"/>
        <w:ind w:left="0" w:leftChars="0" w:firstLine="640" w:firstLineChars="200"/>
        <w:textAlignment w:val="auto"/>
        <w:rPr>
          <w:rFonts w:hint="default"/>
          <w:lang w:val="en-US" w:eastAsia="zh-CN"/>
        </w:rPr>
      </w:pPr>
      <w:r>
        <w:rPr>
          <w:rFonts w:hint="eastAsia" w:ascii="仿宋_GB2312"/>
          <w:kern w:val="0"/>
          <w:sz w:val="32"/>
          <w:szCs w:val="32"/>
          <w:lang w:val="en-US" w:eastAsia="zh-CN"/>
        </w:rPr>
        <w:t>2024年县财政安排乡村振兴补助资金55.87万元，用于易地扶贫搬迁贷款贴息补助，偿还2024年易地扶贫搬迁贷款贴息。</w:t>
      </w:r>
    </w:p>
    <w:p w14:paraId="4D0FCA7F">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（二）项目绩效目标。</w:t>
      </w:r>
    </w:p>
    <w:p w14:paraId="1A24612A">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sz w:val="32"/>
          <w:szCs w:val="32"/>
          <w:lang w:eastAsia="zh-CN"/>
        </w:rPr>
      </w:pPr>
      <w:r>
        <w:rPr>
          <w:rFonts w:hint="eastAsia" w:ascii="仿宋_GB2312" w:hAnsi="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实施易地扶贫搬迁，</w:t>
      </w:r>
      <w:r>
        <w:rPr>
          <w:rFonts w:hint="eastAsia" w:ascii="仿宋_GB2312" w:hAnsi="仿宋_GB2312" w:cs="仿宋_GB2312"/>
          <w:b w:val="0"/>
          <w:bCs w:val="0"/>
          <w:sz w:val="32"/>
          <w:szCs w:val="32"/>
          <w:lang w:val="en-US" w:eastAsia="zh-CN"/>
        </w:rPr>
        <w:t>使</w:t>
      </w:r>
      <w:r>
        <w:rPr>
          <w:rFonts w:hint="eastAsia" w:ascii="仿宋_GB2312" w:hAnsi="仿宋_GB2312" w:eastAsia="仿宋_GB2312" w:cs="仿宋_GB2312"/>
          <w:b w:val="0"/>
          <w:bCs w:val="0"/>
          <w:sz w:val="32"/>
          <w:szCs w:val="32"/>
          <w:lang w:val="en-US" w:eastAsia="zh-CN"/>
        </w:rPr>
        <w:t>搬迁对象生产生活条件明显改善，享有基本公共服务，住房安全有保障，收入水平明显提升，迁出区生态环境有效改善。</w:t>
      </w:r>
    </w:p>
    <w:p w14:paraId="249A0B6D">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50150874">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0C24628">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p>
    <w:p w14:paraId="1BF542CE">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cs="Times New Roman"/>
          <w:kern w:val="2"/>
          <w:sz w:val="32"/>
          <w:szCs w:val="32"/>
          <w:lang w:val="zh-CN"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完成了项目的实施工作。项目实施后，有力促进了全县经济社会又好又快发展，取得了显著的经济效益、社会效益和生态效益</w:t>
      </w:r>
      <w:r>
        <w:rPr>
          <w:rFonts w:hint="eastAsia" w:ascii="仿宋_GB2312" w:hAnsi="宋体" w:cs="Times New Roman"/>
          <w:kern w:val="2"/>
          <w:sz w:val="32"/>
          <w:szCs w:val="32"/>
          <w:lang w:val="zh-CN" w:eastAsia="zh-CN" w:bidi="ar-SA"/>
        </w:rPr>
        <w:t>。</w:t>
      </w:r>
    </w:p>
    <w:p w14:paraId="165518EC">
      <w:pPr>
        <w:keepNext w:val="0"/>
        <w:keepLines w:val="0"/>
        <w:pageBreakBefore w:val="0"/>
        <w:widowControl w:val="0"/>
        <w:kinsoku/>
        <w:wordWrap/>
        <w:overflowPunct/>
        <w:topLinePunct w:val="0"/>
        <w:autoSpaceDE/>
        <w:autoSpaceDN/>
        <w:bidi w:val="0"/>
        <w:spacing w:line="540" w:lineRule="exact"/>
        <w:ind w:firstLine="643" w:firstLineChars="200"/>
        <w:textAlignment w:val="auto"/>
        <w:outlineLvl w:val="0"/>
        <w:rPr>
          <w:rFonts w:ascii="仿宋_GB2312" w:hAnsi="宋体"/>
          <w:lang w:val="zh-CN"/>
        </w:rPr>
      </w:pPr>
      <w:r>
        <w:rPr>
          <w:rFonts w:hint="eastAsia" w:ascii="楷体_GB2312" w:hAnsi="楷体_GB2312" w:eastAsia="楷体_GB2312" w:cs="楷体_GB2312"/>
          <w:b/>
          <w:bCs/>
          <w:sz w:val="32"/>
          <w:szCs w:val="32"/>
        </w:rPr>
        <w:t>（二）绩效分析</w:t>
      </w:r>
    </w:p>
    <w:p w14:paraId="1AA80267">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1</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项目决策</w:t>
      </w:r>
    </w:p>
    <w:p w14:paraId="25DD117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r>
        <w:rPr>
          <w:rFonts w:hint="eastAsia" w:ascii="仿宋_GB2312" w:hAnsi="仿宋_GB2312" w:eastAsia="仿宋_GB2312" w:cs="仿宋_GB2312"/>
          <w:sz w:val="32"/>
          <w:szCs w:val="32"/>
          <w:lang w:eastAsia="zh-CN"/>
        </w:rPr>
        <w:t>。</w:t>
      </w:r>
    </w:p>
    <w:p w14:paraId="10C40BB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2</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项目管理</w:t>
      </w:r>
    </w:p>
    <w:p w14:paraId="3933269C">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kern w:val="0"/>
          <w:sz w:val="32"/>
          <w:szCs w:val="32"/>
          <w:lang w:val="en-US" w:eastAsia="zh-CN"/>
        </w:rPr>
        <w:t>2024年县财政安排乡村振兴衔接资金55.87万元，偿还2024年易地扶贫搬迁贷款贴息</w:t>
      </w:r>
      <w:r>
        <w:rPr>
          <w:rFonts w:hint="eastAsia" w:ascii="仿宋_GB2312" w:hAnsi="仿宋" w:eastAsia="仿宋_GB2312" w:cs="仿宋_GB2312"/>
          <w:sz w:val="32"/>
          <w:szCs w:val="32"/>
          <w:lang w:val="en-US" w:eastAsia="zh-CN"/>
        </w:rPr>
        <w:t>，</w:t>
      </w:r>
      <w:r>
        <w:rPr>
          <w:rFonts w:hint="eastAsia" w:ascii="仿宋_GB2312" w:hAnsi="仿宋" w:cs="仿宋_GB2312"/>
          <w:sz w:val="32"/>
          <w:szCs w:val="32"/>
          <w:lang w:val="en-US" w:eastAsia="zh-CN"/>
        </w:rPr>
        <w:t>2024年度顺利</w:t>
      </w:r>
      <w:r>
        <w:rPr>
          <w:rFonts w:hint="eastAsia" w:ascii="仿宋_GB2312" w:hAnsi="仿宋" w:eastAsia="仿宋_GB2312" w:cs="仿宋_GB2312"/>
          <w:sz w:val="32"/>
          <w:szCs w:val="32"/>
          <w:lang w:val="en-US" w:eastAsia="zh-CN"/>
        </w:rPr>
        <w:t>完成指标值</w:t>
      </w:r>
      <w:r>
        <w:rPr>
          <w:rFonts w:hint="eastAsia" w:ascii="仿宋_GB2312" w:hAnsi="仿宋" w:cs="仿宋_GB2312"/>
          <w:sz w:val="32"/>
          <w:szCs w:val="32"/>
          <w:lang w:val="en-US" w:eastAsia="zh-CN"/>
        </w:rPr>
        <w:t>，共拨付易地扶贫搬迁贷款贴息55.87万元</w:t>
      </w:r>
      <w:r>
        <w:rPr>
          <w:rFonts w:hint="eastAsia" w:ascii="仿宋_GB2312" w:hAnsi="仿宋" w:eastAsia="仿宋_GB2312" w:cs="仿宋_GB2312"/>
          <w:sz w:val="32"/>
          <w:szCs w:val="32"/>
          <w:lang w:val="en-US" w:eastAsia="zh-CN"/>
        </w:rPr>
        <w:t>。</w:t>
      </w:r>
    </w:p>
    <w:p w14:paraId="2990E44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lang w:val="en-US" w:eastAsia="zh-CN"/>
        </w:rPr>
      </w:pPr>
      <w:r>
        <w:rPr>
          <w:rFonts w:hint="eastAsia" w:ascii="仿宋_GB2312" w:hAnsi="仿宋_GB2312" w:cs="仿宋_GB2312"/>
          <w:sz w:val="32"/>
          <w:szCs w:val="32"/>
          <w:lang w:val="en-US" w:eastAsia="zh-CN"/>
        </w:rPr>
        <w:t>根据易地扶贫搬迁实施方案，分年度实施易地扶贫搬迁项目，项目按时开工，施工进度达到预定的标准要求，资金实行封闭运行、专款专用、</w:t>
      </w:r>
      <w:r>
        <w:rPr>
          <w:rFonts w:hint="eastAsia" w:ascii="仿宋_GB2312" w:hAnsi="仿宋_GB2312" w:eastAsia="仿宋_GB2312" w:cs="仿宋_GB2312"/>
          <w:sz w:val="32"/>
          <w:szCs w:val="32"/>
          <w:lang w:val="en-US" w:eastAsia="zh-CN"/>
        </w:rPr>
        <w:t>保障基本、安全适用</w:t>
      </w:r>
      <w:r>
        <w:rPr>
          <w:rFonts w:hint="eastAsia" w:ascii="仿宋_GB2312" w:hAnsi="仿宋_GB2312" w:cs="仿宋_GB2312"/>
          <w:sz w:val="32"/>
          <w:szCs w:val="32"/>
          <w:lang w:val="en-US" w:eastAsia="zh-CN"/>
        </w:rPr>
        <w:t>原则，确保资金规范使用。并成立易地扶贫搬迁领导小组，制定并执行“周调度、月督查”的运行管理机制和督查机制。档案资料严格按照</w:t>
      </w:r>
      <w:r>
        <w:rPr>
          <w:rFonts w:hint="eastAsia" w:ascii="仿宋_GB2312" w:hAnsi="仿宋_GB2312" w:eastAsia="仿宋_GB2312" w:cs="仿宋_GB2312"/>
          <w:sz w:val="32"/>
          <w:szCs w:val="32"/>
          <w:lang w:val="en-US" w:eastAsia="zh-CN"/>
        </w:rPr>
        <w:t>《四川省发展和改革委员会关于切实加强易地扶贫搬迁档案规范化管理的通知》（川发改赈【2017】199号）</w:t>
      </w:r>
      <w:r>
        <w:rPr>
          <w:rFonts w:hint="eastAsia" w:ascii="仿宋_GB2312" w:hAnsi="仿宋_GB2312" w:cs="仿宋_GB2312"/>
          <w:sz w:val="32"/>
          <w:szCs w:val="32"/>
          <w:lang w:val="en-US" w:eastAsia="zh-CN"/>
        </w:rPr>
        <w:t>文件要求，对县、乡、村、户四级档案资料进行</w:t>
      </w:r>
      <w:r>
        <w:rPr>
          <w:rFonts w:hint="eastAsia" w:ascii="仿宋_GB2312" w:hAnsi="仿宋_GB2312" w:eastAsia="仿宋_GB2312" w:cs="仿宋_GB2312"/>
          <w:sz w:val="32"/>
          <w:szCs w:val="32"/>
          <w:lang w:val="en-US" w:eastAsia="zh-CN"/>
        </w:rPr>
        <w:t>收集归档，并安排专人规范化管理</w:t>
      </w:r>
      <w:r>
        <w:rPr>
          <w:rFonts w:hint="eastAsia" w:ascii="仿宋_GB2312" w:hAnsi="仿宋_GB2312" w:cs="仿宋_GB2312"/>
          <w:sz w:val="32"/>
          <w:szCs w:val="32"/>
          <w:lang w:val="en-US" w:eastAsia="zh-CN"/>
        </w:rPr>
        <w:t>。</w:t>
      </w:r>
      <w:r>
        <w:rPr>
          <w:rFonts w:hint="eastAsia" w:ascii="仿宋_GB2312" w:hAnsi="宋体"/>
          <w:szCs w:val="32"/>
          <w:lang w:val="zh-CN"/>
        </w:rPr>
        <w:t>该项目严格按照国家易地扶贫搬迁政策、四川省财政预算内易地扶贫搬迁项目工作流程实施。</w:t>
      </w:r>
    </w:p>
    <w:p w14:paraId="0BA8D4A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3</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项目绩效</w:t>
      </w:r>
    </w:p>
    <w:p w14:paraId="6EE472E8">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宋体"/>
          <w:b/>
          <w:bCs/>
          <w:szCs w:val="32"/>
          <w:lang w:val="en-US" w:eastAsia="zh-CN"/>
        </w:rPr>
        <w:t>一是</w:t>
      </w:r>
      <w:r>
        <w:rPr>
          <w:rFonts w:hint="eastAsia" w:ascii="仿宋_GB2312" w:hAnsi="宋体"/>
          <w:szCs w:val="32"/>
          <w:lang w:val="zh-CN"/>
        </w:rPr>
        <w:t>通过易地扶贫搬迁工程的实施，使农民群众的居住条件和配套设施得到根本改善。</w:t>
      </w:r>
      <w:r>
        <w:rPr>
          <w:rFonts w:hint="eastAsia" w:ascii="仿宋_GB2312" w:hAnsi="宋体"/>
          <w:szCs w:val="32"/>
          <w:lang w:val="en-US" w:eastAsia="zh-CN"/>
        </w:rPr>
        <w:t>引导生产就业，提高生活水平。考虑到搬迁群众生产生活长期稳定，使搬迁户能搬的得出、稳定住、能发展，因地制宜，实事求是的原则。</w:t>
      </w:r>
      <w:r>
        <w:rPr>
          <w:rFonts w:hint="eastAsia" w:ascii="仿宋_GB2312" w:hAnsi="宋体"/>
          <w:b/>
          <w:bCs/>
          <w:szCs w:val="32"/>
          <w:lang w:val="en-US" w:eastAsia="zh-CN"/>
        </w:rPr>
        <w:t>二是</w:t>
      </w:r>
      <w:r>
        <w:rPr>
          <w:rFonts w:hint="eastAsia" w:ascii="仿宋_GB2312" w:hAnsi="宋体"/>
          <w:szCs w:val="32"/>
          <w:lang w:val="en-US" w:eastAsia="zh-CN"/>
        </w:rPr>
        <w:t>建立劳务输出培训引导长效机制。</w:t>
      </w:r>
      <w:r>
        <w:rPr>
          <w:rFonts w:hint="eastAsia" w:ascii="仿宋_GB2312" w:hAnsi="宋体"/>
          <w:b/>
          <w:bCs/>
          <w:szCs w:val="32"/>
          <w:lang w:val="zh-CN"/>
        </w:rPr>
        <w:t>三是</w:t>
      </w:r>
      <w:r>
        <w:rPr>
          <w:rFonts w:hint="eastAsia" w:ascii="仿宋_GB2312" w:hAnsi="宋体"/>
          <w:szCs w:val="32"/>
          <w:lang w:val="zh-CN"/>
        </w:rPr>
        <w:t>通过易地扶贫搬迁改善生活环境，为他们创造条件优越的新家园，能体现党对少数民族的关怀和社会主义大家庭的温暖，对黑水县稳定发展将</w:t>
      </w:r>
      <w:r>
        <w:rPr>
          <w:rFonts w:hint="eastAsia" w:ascii="仿宋_GB2312" w:hAnsi="宋体"/>
          <w:szCs w:val="32"/>
          <w:lang w:val="en-US" w:eastAsia="zh-CN"/>
        </w:rPr>
        <w:t>起</w:t>
      </w:r>
      <w:r>
        <w:rPr>
          <w:rFonts w:hint="eastAsia" w:ascii="仿宋_GB2312" w:hAnsi="宋体"/>
          <w:szCs w:val="32"/>
          <w:lang w:val="zh-CN"/>
        </w:rPr>
        <w:t>到重要的作用。</w:t>
      </w:r>
      <w:r>
        <w:rPr>
          <w:rFonts w:hint="eastAsia" w:ascii="仿宋_GB2312" w:hAnsi="宋体"/>
          <w:b/>
          <w:bCs/>
          <w:szCs w:val="32"/>
          <w:lang w:val="zh-CN"/>
        </w:rPr>
        <w:t>四是</w:t>
      </w:r>
      <w:r>
        <w:rPr>
          <w:rFonts w:hint="eastAsia" w:ascii="仿宋_GB2312" w:hAnsi="仿宋_GB2312" w:eastAsia="仿宋_GB2312" w:cs="仿宋_GB2312"/>
          <w:kern w:val="0"/>
          <w:sz w:val="32"/>
          <w:szCs w:val="32"/>
          <w:lang w:val="en-US" w:eastAsia="zh-CN"/>
        </w:rPr>
        <w:t>全县</w:t>
      </w:r>
      <w:r>
        <w:rPr>
          <w:rFonts w:hint="eastAsia" w:ascii="仿宋_GB2312" w:hAnsi="仿宋_GB2312" w:eastAsia="仿宋_GB2312" w:cs="仿宋_GB2312"/>
          <w:sz w:val="32"/>
          <w:szCs w:val="32"/>
          <w:lang w:val="en-US" w:eastAsia="zh-CN"/>
        </w:rPr>
        <w:t>13个乡镇50个行政村，</w:t>
      </w:r>
      <w:r>
        <w:rPr>
          <w:rFonts w:hint="eastAsia" w:ascii="仿宋_GB2312" w:hAnsi="仿宋_GB2312" w:eastAsia="仿宋_GB2312" w:cs="仿宋_GB2312"/>
          <w:kern w:val="0"/>
          <w:sz w:val="32"/>
          <w:szCs w:val="32"/>
          <w:lang w:val="en-US" w:eastAsia="zh-CN"/>
        </w:rPr>
        <w:t>建成住房244套，</w:t>
      </w:r>
      <w:r>
        <w:rPr>
          <w:rFonts w:hint="eastAsia" w:ascii="仿宋_GB2312" w:hAnsi="仿宋_GB2312" w:eastAsia="仿宋_GB2312" w:cs="仿宋_GB2312"/>
          <w:sz w:val="32"/>
          <w:szCs w:val="32"/>
          <w:lang w:val="en-US" w:eastAsia="zh-CN"/>
        </w:rPr>
        <w:t>确保建档立卡贫困户244户849人住房得到安全保障</w:t>
      </w:r>
      <w:r>
        <w:rPr>
          <w:rFonts w:hint="eastAsia" w:ascii="仿宋_GB2312" w:hAnsi="仿宋_GB2312" w:cs="仿宋_GB2312"/>
          <w:sz w:val="32"/>
          <w:szCs w:val="32"/>
          <w:lang w:val="en-US" w:eastAsia="zh-CN"/>
        </w:rPr>
        <w:t>，建成入户路40.5公里、生产道路37.2公里，供排水管道14.1公里，硬化庭院、晒坝8164平方米，安装路灯123盏，解决149户用电问题，住房安全得到进一步有效改善，基础设施得到进一步巩固</w:t>
      </w:r>
      <w:r>
        <w:rPr>
          <w:rFonts w:hint="eastAsia" w:ascii="仿宋_GB2312" w:hAnsi="仿宋_GB2312" w:eastAsia="仿宋_GB2312" w:cs="仿宋_GB2312"/>
          <w:sz w:val="32"/>
          <w:szCs w:val="32"/>
          <w:lang w:val="en-US" w:eastAsia="zh-CN"/>
        </w:rPr>
        <w:t xml:space="preserve">，完成“十三五”易地搬迁总体任务。 </w:t>
      </w:r>
    </w:p>
    <w:p w14:paraId="483751B8">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根据资金文件要求，做到专款专用，及时拨付资金。群众满意度达100%。</w:t>
      </w:r>
    </w:p>
    <w:p w14:paraId="3FC2DE9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三、存在主要问题</w:t>
      </w:r>
    </w:p>
    <w:p w14:paraId="434B925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02219E8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四、相关措施建议</w:t>
      </w:r>
    </w:p>
    <w:p w14:paraId="78D8199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3235D1AE">
      <w:pPr>
        <w:keepNext w:val="0"/>
        <w:keepLines w:val="0"/>
        <w:pageBreakBefore w:val="0"/>
        <w:widowControl w:val="0"/>
        <w:kinsoku/>
        <w:wordWrap/>
        <w:overflowPunct/>
        <w:topLinePunct w:val="0"/>
        <w:autoSpaceDE/>
        <w:autoSpaceDN/>
        <w:bidi w:val="0"/>
        <w:spacing w:line="540" w:lineRule="exact"/>
        <w:textAlignment w:val="auto"/>
        <w:rPr>
          <w:rFonts w:hint="default" w:ascii="仿宋_GB2312" w:hAnsi="仿宋" w:eastAsia="仿宋_GB2312" w:cs="仿宋_GB2312"/>
          <w:sz w:val="32"/>
          <w:szCs w:val="32"/>
          <w:lang w:val="en-US" w:eastAsia="zh-CN"/>
        </w:rPr>
      </w:pPr>
      <w:bookmarkStart w:id="0" w:name="_GoBack"/>
      <w:bookmarkEnd w:id="0"/>
    </w:p>
    <w:p w14:paraId="09A63B7D">
      <w:pPr>
        <w:pStyle w:val="2"/>
        <w:keepNext w:val="0"/>
        <w:keepLines w:val="0"/>
        <w:pageBreakBefore w:val="0"/>
        <w:widowControl w:val="0"/>
        <w:kinsoku/>
        <w:wordWrap/>
        <w:overflowPunct/>
        <w:topLinePunct w:val="0"/>
        <w:autoSpaceDE/>
        <w:autoSpaceDN/>
        <w:bidi w:val="0"/>
        <w:adjustRightInd/>
        <w:snapToGrid/>
        <w:spacing w:line="540" w:lineRule="exact"/>
        <w:ind w:left="1280" w:leftChars="400" w:firstLine="2880" w:firstLineChars="900"/>
        <w:textAlignment w:val="auto"/>
        <w:rPr>
          <w:rFonts w:hint="eastAsia" w:ascii="仿宋_GB2312" w:hAnsi="仿宋" w:cs="仿宋_GB2312"/>
          <w:sz w:val="32"/>
          <w:szCs w:val="32"/>
          <w:lang w:eastAsia="zh-CN"/>
        </w:rPr>
      </w:pPr>
      <w:r>
        <w:rPr>
          <w:rFonts w:hint="eastAsia" w:ascii="仿宋_GB2312" w:hAnsi="仿宋" w:cs="仿宋_GB2312"/>
          <w:sz w:val="32"/>
          <w:szCs w:val="32"/>
          <w:lang w:eastAsia="zh-CN"/>
        </w:rPr>
        <w:t>黑水县发展改革和经信商务局</w:t>
      </w:r>
    </w:p>
    <w:p w14:paraId="722008AF">
      <w:pPr>
        <w:keepNext w:val="0"/>
        <w:keepLines w:val="0"/>
        <w:pageBreakBefore w:val="0"/>
        <w:widowControl w:val="0"/>
        <w:kinsoku/>
        <w:wordWrap/>
        <w:overflowPunct/>
        <w:topLinePunct w:val="0"/>
        <w:autoSpaceDE/>
        <w:autoSpaceDN/>
        <w:bidi w:val="0"/>
        <w:adjustRightInd/>
        <w:snapToGrid/>
        <w:spacing w:line="540" w:lineRule="exact"/>
        <w:ind w:firstLine="5120" w:firstLineChars="1600"/>
        <w:textAlignment w:val="auto"/>
        <w:rPr>
          <w:rFonts w:hint="default"/>
          <w:lang w:val="en-US"/>
        </w:rPr>
      </w:pPr>
      <w:r>
        <w:rPr>
          <w:rFonts w:hint="eastAsia" w:ascii="仿宋_GB2312" w:hAnsi="仿宋" w:cs="仿宋_GB2312"/>
          <w:sz w:val="32"/>
          <w:szCs w:val="32"/>
          <w:lang w:val="en-US" w:eastAsia="zh-CN"/>
        </w:rPr>
        <w:t>2025年8月20日</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MDcxZjVhNjUyOWExNzNkMWE2Y2JmNGIxYjBmYzkifQ=="/>
  </w:docVars>
  <w:rsids>
    <w:rsidRoot w:val="771D4D51"/>
    <w:rsid w:val="001B6E19"/>
    <w:rsid w:val="002659D4"/>
    <w:rsid w:val="003102F7"/>
    <w:rsid w:val="0066096C"/>
    <w:rsid w:val="01AD5759"/>
    <w:rsid w:val="02115CC5"/>
    <w:rsid w:val="038E5636"/>
    <w:rsid w:val="04F45B45"/>
    <w:rsid w:val="052E79B8"/>
    <w:rsid w:val="09D5150E"/>
    <w:rsid w:val="0C553F9F"/>
    <w:rsid w:val="0D916BF9"/>
    <w:rsid w:val="0DAA04AC"/>
    <w:rsid w:val="0E287B27"/>
    <w:rsid w:val="100E7646"/>
    <w:rsid w:val="12282338"/>
    <w:rsid w:val="137D30BD"/>
    <w:rsid w:val="149D76B5"/>
    <w:rsid w:val="14D678DA"/>
    <w:rsid w:val="161E1D8F"/>
    <w:rsid w:val="1A6874EB"/>
    <w:rsid w:val="1AA4225D"/>
    <w:rsid w:val="1E0670A5"/>
    <w:rsid w:val="203A4533"/>
    <w:rsid w:val="21262258"/>
    <w:rsid w:val="22632141"/>
    <w:rsid w:val="22826D8E"/>
    <w:rsid w:val="24A40CCA"/>
    <w:rsid w:val="268055AD"/>
    <w:rsid w:val="27BE3283"/>
    <w:rsid w:val="2AF86ED7"/>
    <w:rsid w:val="2BAB6B7B"/>
    <w:rsid w:val="2D807894"/>
    <w:rsid w:val="30CA03E2"/>
    <w:rsid w:val="30D360EA"/>
    <w:rsid w:val="31C6145E"/>
    <w:rsid w:val="35887BB0"/>
    <w:rsid w:val="36C03740"/>
    <w:rsid w:val="36E81785"/>
    <w:rsid w:val="39412E66"/>
    <w:rsid w:val="39923F0D"/>
    <w:rsid w:val="39D81459"/>
    <w:rsid w:val="3B8B08A8"/>
    <w:rsid w:val="3D417973"/>
    <w:rsid w:val="3F05684B"/>
    <w:rsid w:val="41085735"/>
    <w:rsid w:val="42991C74"/>
    <w:rsid w:val="43FF22E4"/>
    <w:rsid w:val="44AC2F3E"/>
    <w:rsid w:val="46D74E0F"/>
    <w:rsid w:val="489F1B09"/>
    <w:rsid w:val="491227F0"/>
    <w:rsid w:val="49D272E9"/>
    <w:rsid w:val="4CBF62A7"/>
    <w:rsid w:val="4E7D15BF"/>
    <w:rsid w:val="4FDF12ED"/>
    <w:rsid w:val="57F85919"/>
    <w:rsid w:val="5ACF32C8"/>
    <w:rsid w:val="5DEA3A96"/>
    <w:rsid w:val="5DFC2EA5"/>
    <w:rsid w:val="5F4B137B"/>
    <w:rsid w:val="605A7FDE"/>
    <w:rsid w:val="60CD7BA2"/>
    <w:rsid w:val="61F15310"/>
    <w:rsid w:val="63E65DE1"/>
    <w:rsid w:val="67931A64"/>
    <w:rsid w:val="691B3060"/>
    <w:rsid w:val="6A2B6E81"/>
    <w:rsid w:val="6A59769C"/>
    <w:rsid w:val="6A836C55"/>
    <w:rsid w:val="6AEB026C"/>
    <w:rsid w:val="6E4A2E6C"/>
    <w:rsid w:val="6F950070"/>
    <w:rsid w:val="70203D8A"/>
    <w:rsid w:val="714A161D"/>
    <w:rsid w:val="72C07920"/>
    <w:rsid w:val="730A1637"/>
    <w:rsid w:val="74595B44"/>
    <w:rsid w:val="75354B6D"/>
    <w:rsid w:val="75C700A4"/>
    <w:rsid w:val="76096F46"/>
    <w:rsid w:val="767263A2"/>
    <w:rsid w:val="771D4D51"/>
    <w:rsid w:val="79FC51E1"/>
    <w:rsid w:val="7A977350"/>
    <w:rsid w:val="7CB85C6D"/>
    <w:rsid w:val="7F2E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unhideWhenUsed/>
    <w:qFormat/>
    <w:uiPriority w:val="99"/>
    <w:pPr>
      <w:tabs>
        <w:tab w:val="center" w:pos="4153"/>
        <w:tab w:val="right" w:pos="8306"/>
      </w:tabs>
      <w:snapToGrid w:val="0"/>
      <w:jc w:val="left"/>
    </w:pPr>
    <w:rPr>
      <w:sz w:val="18"/>
      <w:szCs w:val="18"/>
      <w:lang w:val="zh-CN"/>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8">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1449</Words>
  <Characters>1599</Characters>
  <Lines>9</Lines>
  <Paragraphs>2</Paragraphs>
  <TotalTime>21</TotalTime>
  <ScaleCrop>false</ScaleCrop>
  <LinksUpToDate>false</LinksUpToDate>
  <CharactersWithSpaces>1601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2020-06-30T08:13:00Z</dcterms:created>
  <dc:creator>Administrator</dc:creator>
  <cp:lastModifiedBy>H.</cp:lastModifiedBy>
  <cp:lastPrinted>2020-07-07T07:49:00Z</cp:lastPrinted>
  <dcterms:modified xsi:type="dcterms:W3CDTF">2025-09-09T01:16:10Z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7756D68833C54D90A2BAC21B0400B83C</vt:lpwstr>
  </property>
  <property fmtid="{D5CDD505-2E9C-101B-9397-08002B2CF9AE}" pid="4" name="KSOTemplateDocerSaveRecord">
    <vt:lpwstr>eyJoZGlkIjoiZjM4YWY2YTViMzhmNTU4ZGUyOTZhYTMzYTZjYzlkNWEiLCJ1c2VySWQiOiIzODkwMTcyMjQifQ==</vt:lpwstr>
  </property>
</Properties>
</file>