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pacing w:line="560" w:lineRule="exact"/>
        <w:jc w:val="center"/>
        <w:rPr>
          <w:rFonts w:hint="eastAsia" w:asciiTheme="majorEastAsia" w:hAnsiTheme="majorEastAsia" w:eastAsiaTheme="majorEastAsia" w:cstheme="majorEastAsia"/>
          <w:b/>
          <w:bCs w:val="0"/>
          <w:sz w:val="44"/>
          <w:szCs w:val="44"/>
        </w:rPr>
      </w:pPr>
      <w:r>
        <w:rPr>
          <w:rFonts w:hint="eastAsia" w:asciiTheme="majorEastAsia" w:hAnsiTheme="majorEastAsia" w:eastAsiaTheme="majorEastAsia" w:cstheme="majorEastAsia"/>
          <w:b/>
          <w:bCs w:val="0"/>
          <w:sz w:val="44"/>
          <w:szCs w:val="44"/>
        </w:rPr>
        <w:t>20</w:t>
      </w:r>
      <w:r>
        <w:rPr>
          <w:rFonts w:hint="eastAsia" w:asciiTheme="majorEastAsia" w:hAnsiTheme="majorEastAsia" w:eastAsiaTheme="majorEastAsia" w:cstheme="majorEastAsia"/>
          <w:b/>
          <w:bCs w:val="0"/>
          <w:sz w:val="44"/>
          <w:szCs w:val="44"/>
          <w:lang w:val="en-US" w:eastAsia="zh-CN"/>
        </w:rPr>
        <w:t>24年黑水县</w:t>
      </w:r>
      <w:r>
        <w:rPr>
          <w:rFonts w:hint="eastAsia" w:asciiTheme="majorEastAsia" w:hAnsiTheme="majorEastAsia" w:eastAsiaTheme="majorEastAsia" w:cstheme="majorEastAsia"/>
          <w:b/>
          <w:bCs w:val="0"/>
          <w:color w:val="auto"/>
          <w:kern w:val="2"/>
          <w:sz w:val="44"/>
          <w:szCs w:val="44"/>
          <w:highlight w:val="none"/>
          <w:lang w:val="en-US" w:eastAsia="zh-CN" w:bidi="ar-SA"/>
        </w:rPr>
        <w:t>地球物理台站建设技术服务政府采购</w:t>
      </w:r>
      <w:r>
        <w:rPr>
          <w:rFonts w:hint="eastAsia" w:asciiTheme="majorEastAsia" w:hAnsiTheme="majorEastAsia" w:eastAsiaTheme="majorEastAsia" w:cstheme="majorEastAsia"/>
          <w:b/>
          <w:bCs w:val="0"/>
          <w:sz w:val="44"/>
          <w:szCs w:val="44"/>
        </w:rPr>
        <w:t>项目支出绩效评价报告</w:t>
      </w:r>
    </w:p>
    <w:p>
      <w:pPr>
        <w:keepNext w:val="0"/>
        <w:keepLines w:val="0"/>
        <w:pageBreakBefore w:val="0"/>
        <w:kinsoku/>
        <w:wordWrap/>
        <w:overflowPunct/>
        <w:topLinePunct w:val="0"/>
        <w:autoSpaceDE/>
        <w:autoSpaceDN/>
        <w:bidi w:val="0"/>
        <w:adjustRightInd/>
        <w:spacing w:line="560" w:lineRule="exact"/>
        <w:ind w:firstLine="883" w:firstLineChars="200"/>
        <w:rPr>
          <w:rFonts w:hint="eastAsia" w:asciiTheme="majorEastAsia" w:hAnsiTheme="majorEastAsia" w:eastAsiaTheme="majorEastAsia" w:cstheme="majorEastAsia"/>
          <w:b/>
          <w:bCs w:val="0"/>
          <w:sz w:val="44"/>
          <w:szCs w:val="44"/>
        </w:rPr>
      </w:pPr>
    </w:p>
    <w:p>
      <w:pPr>
        <w:keepNext w:val="0"/>
        <w:keepLines w:val="0"/>
        <w:pageBreakBefore w:val="0"/>
        <w:kinsoku/>
        <w:wordWrap/>
        <w:overflowPunct/>
        <w:topLinePunct w:val="0"/>
        <w:autoSpaceDE/>
        <w:autoSpaceDN/>
        <w:bidi w:val="0"/>
        <w:adjustRightInd/>
        <w:spacing w:line="56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一、评价工作开展及项目情况</w:t>
      </w:r>
    </w:p>
    <w:p>
      <w:pPr>
        <w:keepNext w:val="0"/>
        <w:keepLines w:val="0"/>
        <w:pageBreakBefore w:val="0"/>
        <w:widowControl w:val="0"/>
        <w:kinsoku/>
        <w:wordWrap/>
        <w:overflowPunct/>
        <w:topLinePunct w:val="0"/>
        <w:autoSpaceDE/>
        <w:autoSpaceDN/>
        <w:bidi w:val="0"/>
        <w:adjustRightInd/>
        <w:spacing w:line="560" w:lineRule="exact"/>
        <w:ind w:firstLine="640"/>
        <w:textAlignment w:val="auto"/>
        <w:outlineLvl w:val="9"/>
        <w:rPr>
          <w:rFonts w:hint="eastAsia" w:ascii="仿宋_GB2312" w:hAnsi="仿宋" w:eastAsia="仿宋_GB2312" w:cs="仿宋_GB2312"/>
          <w:sz w:val="32"/>
          <w:szCs w:val="32"/>
        </w:rPr>
      </w:pPr>
      <w:r>
        <w:rPr>
          <w:rFonts w:hint="eastAsia" w:ascii="仿宋_GB2312" w:hAnsi="仿宋_GB2312" w:eastAsia="仿宋_GB2312" w:cs="仿宋_GB2312"/>
          <w:sz w:val="32"/>
          <w:szCs w:val="32"/>
        </w:rPr>
        <w:t>为加强黑水县地球物理场观测站点建设，提升区域地震监测预警能力，2024年阿坝州人民政府安排部署了黑水县地球物理台站建设工作任务。台站建设经费由州本级财政支持，黑水县防震减灾事务中心负责实施。</w:t>
      </w:r>
      <w:r>
        <w:rPr>
          <w:rFonts w:hint="eastAsia" w:ascii="仿宋_GB2312" w:hAnsi="仿宋_GB2312" w:eastAsia="仿宋_GB2312" w:cs="仿宋_GB2312"/>
          <w:b/>
          <w:bCs/>
          <w:sz w:val="32"/>
          <w:szCs w:val="32"/>
          <w:lang w:eastAsia="zh-CN"/>
        </w:rPr>
        <w:t>一是</w:t>
      </w:r>
      <w:r>
        <w:rPr>
          <w:rFonts w:hint="eastAsia" w:ascii="仿宋_GB2312" w:hAnsi="仿宋_GB2312" w:eastAsia="仿宋_GB2312" w:cs="仿宋_GB2312"/>
          <w:sz w:val="32"/>
          <w:szCs w:val="32"/>
        </w:rPr>
        <w:t>通过事前绩效评估将绩效管理关口前移，为项目设立和预算安排提供重要参考依据，提高预算编制科学性、合理性，优化财政支出结构，从源头上防控财政资源配置的低效无效，提高财政资源配置效率和财政资金使用效益。</w:t>
      </w:r>
      <w:r>
        <w:rPr>
          <w:rFonts w:hint="eastAsia" w:ascii="仿宋_GB2312" w:hAnsi="仿宋_GB2312" w:eastAsia="仿宋_GB2312" w:cs="仿宋_GB2312"/>
          <w:b/>
          <w:bCs/>
          <w:sz w:val="32"/>
          <w:szCs w:val="32"/>
          <w:lang w:eastAsia="zh-CN"/>
        </w:rPr>
        <w:t>二是</w:t>
      </w:r>
      <w:r>
        <w:rPr>
          <w:rFonts w:hint="eastAsia" w:ascii="仿宋_GB2312" w:hAnsi="仿宋_GB2312" w:eastAsia="仿宋_GB2312" w:cs="仿宋_GB2312"/>
          <w:sz w:val="32"/>
          <w:szCs w:val="32"/>
        </w:rPr>
        <w:t>按照绩效评价指标体系，对资金支出使用全过程</w:t>
      </w:r>
      <w:r>
        <w:rPr>
          <w:rFonts w:hint="eastAsia" w:ascii="仿宋_GB2312" w:hAnsi="仿宋_GB2312" w:eastAsia="仿宋_GB2312" w:cs="仿宋_GB2312"/>
          <w:sz w:val="32"/>
          <w:szCs w:val="32"/>
          <w:lang w:val="en-US" w:eastAsia="zh-CN"/>
        </w:rPr>
        <w:t>进行全程监督，严格按照合同进度支付工程款。</w:t>
      </w:r>
      <w:r>
        <w:rPr>
          <w:rFonts w:hint="eastAsia" w:ascii="仿宋_GB2312" w:hAnsi="仿宋_GB2312" w:eastAsia="仿宋_GB2312" w:cs="仿宋_GB2312"/>
          <w:b/>
          <w:bCs/>
          <w:sz w:val="32"/>
          <w:szCs w:val="32"/>
          <w:lang w:val="en-US" w:eastAsia="zh-CN"/>
        </w:rPr>
        <w:t>三是</w:t>
      </w:r>
      <w:r>
        <w:rPr>
          <w:rFonts w:hint="eastAsia" w:ascii="仿宋_GB2312" w:hAnsi="仿宋_GB2312" w:eastAsia="仿宋_GB2312" w:cs="仿宋_GB2312"/>
          <w:sz w:val="32"/>
          <w:szCs w:val="32"/>
          <w:lang w:val="zh-CN" w:eastAsia="zh-CN"/>
        </w:rPr>
        <w:t>项目</w:t>
      </w:r>
      <w:r>
        <w:rPr>
          <w:rFonts w:hint="eastAsia" w:ascii="仿宋_GB2312" w:hAnsi="仿宋_GB2312" w:eastAsia="仿宋_GB2312" w:cs="仿宋_GB2312"/>
          <w:sz w:val="32"/>
          <w:szCs w:val="32"/>
          <w:lang w:val="en-US" w:eastAsia="zh-CN"/>
        </w:rPr>
        <w:t>业主单位、勘察设计单位全程在建设地点进行了实地调研踏勘。</w:t>
      </w:r>
      <w:r>
        <w:rPr>
          <w:rFonts w:hint="eastAsia" w:ascii="仿宋_GB2312" w:hAnsi="仿宋_GB2312" w:eastAsia="仿宋_GB2312" w:cs="仿宋_GB2312"/>
          <w:b/>
          <w:bCs/>
          <w:sz w:val="32"/>
          <w:szCs w:val="32"/>
          <w:lang w:val="en-US" w:eastAsia="zh-CN"/>
        </w:rPr>
        <w:t>四是</w:t>
      </w:r>
      <w:r>
        <w:rPr>
          <w:rFonts w:hint="eastAsia" w:ascii="仿宋_GB2312" w:hAnsi="仿宋_GB2312" w:eastAsia="仿宋_GB2312" w:cs="仿宋_GB2312"/>
          <w:sz w:val="32"/>
          <w:szCs w:val="32"/>
        </w:rPr>
        <w:t>通过了解项目情况，收集相关资料，综合分析相关情况后，采用单位自评法、实地勘察法、座谈调研法等多种方法对项目的立项必要性、投入经济性、目标合理性、方案可行性以及筹资合规性实施评估。</w:t>
      </w:r>
      <w:r>
        <w:rPr>
          <w:rFonts w:hint="eastAsia" w:ascii="仿宋_GB2312" w:hAnsi="仿宋_GB2312" w:eastAsia="仿宋_GB2312" w:cs="仿宋_GB2312"/>
          <w:b/>
          <w:bCs/>
          <w:sz w:val="32"/>
          <w:szCs w:val="32"/>
          <w:lang w:eastAsia="zh-CN"/>
        </w:rPr>
        <w:t>五是</w:t>
      </w:r>
      <w:r>
        <w:rPr>
          <w:rFonts w:hint="eastAsia" w:ascii="仿宋_GB2312" w:hAnsi="仿宋_GB2312" w:eastAsia="仿宋_GB2312" w:cs="仿宋_GB2312"/>
          <w:sz w:val="32"/>
          <w:szCs w:val="32"/>
        </w:rPr>
        <w:t>评价组人员</w:t>
      </w:r>
      <w:r>
        <w:rPr>
          <w:rFonts w:hint="eastAsia" w:ascii="仿宋_GB2312" w:hAnsi="仿宋_GB2312" w:eastAsia="仿宋_GB2312" w:cs="仿宋_GB2312"/>
          <w:sz w:val="32"/>
          <w:szCs w:val="32"/>
          <w:lang w:val="en-US" w:eastAsia="zh-CN"/>
        </w:rPr>
        <w:t>由黑水县防震减灾事务中心班子成员、各股室负责人</w:t>
      </w:r>
      <w:r>
        <w:rPr>
          <w:rFonts w:hint="eastAsia" w:ascii="仿宋_GB2312" w:hAnsi="仿宋_GB2312" w:eastAsia="仿宋_GB2312" w:cs="仿宋_GB2312"/>
          <w:sz w:val="32"/>
          <w:szCs w:val="32"/>
        </w:rPr>
        <w:t>构成</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按照</w:t>
      </w:r>
      <w:r>
        <w:rPr>
          <w:rFonts w:hint="eastAsia" w:ascii="仿宋_GB2312" w:hAnsi="仿宋_GB2312" w:eastAsia="仿宋_GB2312" w:cs="仿宋_GB2312"/>
          <w:sz w:val="32"/>
          <w:szCs w:val="32"/>
        </w:rPr>
        <w:t>职责分工</w:t>
      </w:r>
      <w:r>
        <w:rPr>
          <w:rFonts w:hint="eastAsia" w:ascii="仿宋_GB2312" w:hAnsi="仿宋_GB2312" w:eastAsia="仿宋_GB2312" w:cs="仿宋_GB2312"/>
          <w:sz w:val="32"/>
          <w:szCs w:val="32"/>
          <w:lang w:val="en-US" w:eastAsia="zh-CN"/>
        </w:rPr>
        <w:t>处理相关事宜</w:t>
      </w:r>
      <w:r>
        <w:rPr>
          <w:rFonts w:hint="eastAsia" w:ascii="仿宋_GB2312" w:hAnsi="仿宋_GB2312" w:eastAsia="仿宋_GB2312" w:cs="仿宋_GB2312"/>
          <w:sz w:val="32"/>
          <w:szCs w:val="32"/>
          <w:lang w:eastAsia="zh-CN"/>
        </w:rPr>
        <w:t>。</w:t>
      </w:r>
    </w:p>
    <w:p>
      <w:pPr>
        <w:keepNext w:val="0"/>
        <w:keepLines w:val="0"/>
        <w:pageBreakBefore w:val="0"/>
        <w:kinsoku/>
        <w:wordWrap/>
        <w:overflowPunct/>
        <w:topLinePunct w:val="0"/>
        <w:autoSpaceDE/>
        <w:autoSpaceDN/>
        <w:bidi w:val="0"/>
        <w:adjustRightInd/>
        <w:spacing w:line="56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二、评价结论及绩效分析</w:t>
      </w:r>
    </w:p>
    <w:p>
      <w:pPr>
        <w:keepNext w:val="0"/>
        <w:keepLines w:val="0"/>
        <w:pageBreakBefore w:val="0"/>
        <w:kinsoku/>
        <w:wordWrap/>
        <w:overflowPunct/>
        <w:topLinePunct w:val="0"/>
        <w:autoSpaceDE/>
        <w:autoSpaceDN/>
        <w:bidi w:val="0"/>
        <w:adjustRightInd/>
        <w:spacing w:line="560" w:lineRule="exact"/>
        <w:ind w:firstLine="643" w:firstLineChars="200"/>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（一）评价结论</w:t>
      </w:r>
    </w:p>
    <w:p>
      <w:pPr>
        <w:pStyle w:val="3"/>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b w:val="0"/>
          <w:bCs w:val="0"/>
          <w:sz w:val="32"/>
          <w:szCs w:val="32"/>
          <w:highlight w:val="none"/>
          <w:lang w:val="zh-CN"/>
        </w:rPr>
      </w:pPr>
      <w:r>
        <w:rPr>
          <w:rFonts w:hint="eastAsia" w:ascii="Times New Roman" w:hAnsi="Times New Roman" w:eastAsia="仿宋_GB2312" w:cs="Times New Roman"/>
          <w:b w:val="0"/>
          <w:bCs w:val="0"/>
          <w:sz w:val="32"/>
          <w:szCs w:val="32"/>
          <w:highlight w:val="none"/>
          <w:lang w:val="zh-CN"/>
        </w:rPr>
        <w:t>该项目立项必要性和依据充分，绩效目标明确，具备实施条件，具有</w:t>
      </w:r>
      <w:r>
        <w:rPr>
          <w:rFonts w:hint="eastAsia" w:ascii="Times New Roman" w:eastAsia="仿宋_GB2312" w:cs="Times New Roman"/>
          <w:b w:val="0"/>
          <w:bCs w:val="0"/>
          <w:sz w:val="32"/>
          <w:szCs w:val="32"/>
          <w:highlight w:val="none"/>
          <w:lang w:val="en-US" w:eastAsia="zh-CN"/>
        </w:rPr>
        <w:t>社会公益性</w:t>
      </w:r>
      <w:r>
        <w:rPr>
          <w:rFonts w:hint="eastAsia" w:ascii="Times New Roman" w:hAnsi="Times New Roman" w:eastAsia="仿宋_GB2312" w:cs="Times New Roman"/>
          <w:b w:val="0"/>
          <w:bCs w:val="0"/>
          <w:sz w:val="32"/>
          <w:szCs w:val="32"/>
          <w:highlight w:val="none"/>
          <w:lang w:val="zh-CN"/>
        </w:rPr>
        <w:t>性，符合财政资金支持方向</w:t>
      </w:r>
      <w:r>
        <w:rPr>
          <w:rFonts w:hint="eastAsia" w:ascii="Times New Roman" w:eastAsia="仿宋_GB2312" w:cs="Times New Roman"/>
          <w:b w:val="0"/>
          <w:bCs w:val="0"/>
          <w:sz w:val="32"/>
          <w:szCs w:val="32"/>
          <w:highlight w:val="none"/>
          <w:lang w:val="zh-CN"/>
        </w:rPr>
        <w:t>。</w:t>
      </w:r>
      <w:r>
        <w:rPr>
          <w:rFonts w:hint="default" w:ascii="Times New Roman" w:hAnsi="Times New Roman" w:eastAsia="仿宋_GB2312" w:cs="Times New Roman"/>
          <w:b w:val="0"/>
          <w:bCs w:val="0"/>
          <w:sz w:val="32"/>
          <w:szCs w:val="32"/>
          <w:highlight w:val="none"/>
          <w:lang w:val="zh-CN"/>
        </w:rPr>
        <w:t>项目实施情况</w:t>
      </w:r>
      <w:r>
        <w:rPr>
          <w:rFonts w:hint="eastAsia" w:ascii="Times New Roman" w:eastAsia="仿宋_GB2312" w:cs="Times New Roman"/>
          <w:b w:val="0"/>
          <w:bCs w:val="0"/>
          <w:sz w:val="32"/>
          <w:szCs w:val="32"/>
          <w:highlight w:val="none"/>
          <w:lang w:val="en-US" w:eastAsia="zh-CN"/>
        </w:rPr>
        <w:t>良好</w:t>
      </w:r>
      <w:r>
        <w:rPr>
          <w:rFonts w:hint="default" w:ascii="Times New Roman" w:hAnsi="Times New Roman" w:eastAsia="仿宋_GB2312" w:cs="Times New Roman"/>
          <w:b w:val="0"/>
          <w:bCs w:val="0"/>
          <w:sz w:val="32"/>
          <w:szCs w:val="32"/>
          <w:highlight w:val="none"/>
          <w:lang w:val="zh-CN"/>
        </w:rPr>
        <w:t>。</w:t>
      </w:r>
    </w:p>
    <w:tbl>
      <w:tblPr>
        <w:tblStyle w:val="8"/>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10233" w:type="dxa"/>
            <w:gridSpan w:val="9"/>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center"/>
              <w:textAlignment w:val="center"/>
              <w:rPr>
                <w:rFonts w:hint="default" w:ascii="Times New Roman" w:hAnsi="Times New Roman" w:eastAsia="黑体" w:cs="Times New Roman"/>
                <w:i w:val="0"/>
                <w:color w:val="000000"/>
                <w:sz w:val="30"/>
                <w:szCs w:val="30"/>
                <w:u w:val="none"/>
              </w:rPr>
            </w:pPr>
            <w:r>
              <w:rPr>
                <w:rFonts w:hint="default" w:ascii="Times New Roman" w:hAnsi="Times New Roman" w:eastAsia="方正小标宋简体" w:cs="Times New Roman"/>
                <w:i w:val="0"/>
                <w:color w:val="000000"/>
                <w:kern w:val="0"/>
                <w:sz w:val="40"/>
                <w:szCs w:val="40"/>
                <w:u w:val="none"/>
                <w:lang w:val="en-US" w:eastAsia="zh-CN" w:bidi="ar"/>
              </w:rPr>
              <w:t>专项预算项目绩效目标完成情况自评表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项目名称</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left"/>
              <w:textAlignment w:val="center"/>
              <w:rPr>
                <w:rFonts w:hint="default" w:ascii="Times New Roman" w:hAnsi="Times New Roman" w:eastAsia="宋体" w:cs="Times New Roman"/>
                <w:i w:val="0"/>
                <w:color w:val="000000"/>
                <w:sz w:val="24"/>
                <w:szCs w:val="24"/>
                <w:u w:val="none"/>
              </w:rPr>
            </w:pPr>
            <w:r>
              <w:rPr>
                <w:rFonts w:hint="eastAsia" w:ascii="Times New Roman" w:hAnsi="Times New Roman" w:eastAsia="宋体" w:cs="Times New Roman"/>
                <w:i w:val="0"/>
                <w:color w:val="000000"/>
                <w:kern w:val="0"/>
                <w:sz w:val="24"/>
                <w:szCs w:val="24"/>
                <w:u w:val="none"/>
                <w:lang w:val="en-US" w:eastAsia="zh-CN" w:bidi="ar"/>
              </w:rPr>
              <w:t>黑水县地球物理台站建设技术服务政府采购项目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8"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预算单位</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黑水县防震减灾事务中心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项目类型</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jc w:val="left"/>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服务类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 概况</w:t>
            </w: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中长期规划（名称、文号，仅指</w:t>
            </w:r>
          </w:p>
          <w:p>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常年项目）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jc w:val="lef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jc w:val="left"/>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黑财建【2024】10号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绩效分配方式</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left"/>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因素法</w:t>
            </w:r>
          </w:p>
        </w:tc>
        <w:tc>
          <w:tcPr>
            <w:tcW w:w="203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£项目法</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据实据效</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因素法与项目法相结合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立项依据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jc w:val="left"/>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eastAsia="zh-CN"/>
              </w:rPr>
              <w:t>阿</w:t>
            </w:r>
            <w:r>
              <w:rPr>
                <w:rFonts w:hint="eastAsia" w:eastAsia="宋体" w:cs="Times New Roman"/>
                <w:i w:val="0"/>
                <w:color w:val="000000"/>
                <w:sz w:val="24"/>
                <w:szCs w:val="24"/>
                <w:u w:val="none"/>
                <w:lang w:val="en-US" w:eastAsia="zh-CN"/>
              </w:rPr>
              <w:t>州财建【2024】27号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使用范围</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jc w:val="left"/>
              <w:rPr>
                <w:rFonts w:hint="default" w:ascii="Times New Roman" w:hAnsi="Times New Roman" w:eastAsia="宋体" w:cs="Times New Roman"/>
                <w:i w:val="0"/>
                <w:color w:val="000000"/>
                <w:sz w:val="24"/>
                <w:szCs w:val="24"/>
                <w:u w:val="none"/>
              </w:rPr>
            </w:pPr>
            <w:r>
              <w:rPr>
                <w:rFonts w:hint="eastAsia" w:ascii="Times New Roman" w:hAnsi="Times New Roman" w:eastAsia="宋体" w:cs="Times New Roman"/>
                <w:i w:val="0"/>
                <w:color w:val="000000"/>
                <w:kern w:val="0"/>
                <w:sz w:val="24"/>
                <w:szCs w:val="24"/>
                <w:u w:val="none"/>
                <w:lang w:val="en-US" w:eastAsia="zh-CN" w:bidi="ar"/>
              </w:rPr>
              <w:t>黑水县地球物理台站建设技术服务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jc w:val="lef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2024年-2025年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项目资金</w:t>
            </w:r>
          </w:p>
          <w:p>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（万元）</w:t>
            </w: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年度资金总额：</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jc w:val="righ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rPr>
                <w:rFonts w:hint="default" w:ascii="Times New Roman" w:hAnsi="Times New Roman" w:eastAsia="宋体" w:cs="Times New Roman"/>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其中：财政拨款</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tabs>
                <w:tab w:val="left" w:pos="1676"/>
              </w:tabs>
              <w:kinsoku/>
              <w:wordWrap/>
              <w:overflowPunct/>
              <w:topLinePunct w:val="0"/>
              <w:autoSpaceDE/>
              <w:autoSpaceDN/>
              <w:bidi w:val="0"/>
              <w:adjustRightInd/>
              <w:snapToGrid/>
              <w:spacing w:line="560" w:lineRule="exact"/>
              <w:ind w:left="0" w:leftChars="0"/>
              <w:jc w:val="left"/>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eastAsia="zh-CN"/>
              </w:rPr>
              <w:tab/>
            </w:r>
            <w:r>
              <w:rPr>
                <w:rFonts w:hint="eastAsia" w:eastAsia="宋体" w:cs="Times New Roman"/>
                <w:i w:val="0"/>
                <w:color w:val="000000"/>
                <w:sz w:val="24"/>
                <w:szCs w:val="24"/>
                <w:u w:val="none"/>
                <w:lang w:val="en-US" w:eastAsia="zh-CN"/>
              </w:rPr>
              <w:t>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rPr>
                <w:rFonts w:hint="default" w:ascii="Times New Roman" w:hAnsi="Times New Roman" w:eastAsia="宋体" w:cs="Times New Roman"/>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jc w:val="right"/>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总体 目标</w:t>
            </w: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rPr>
                <w:rFonts w:hint="default" w:ascii="Times New Roman" w:hAnsi="Times New Roman" w:eastAsia="宋体" w:cs="Times New Roman"/>
                <w:i w:val="0"/>
                <w:color w:val="000000"/>
                <w:sz w:val="24"/>
                <w:szCs w:val="24"/>
                <w:u w:val="none"/>
              </w:rPr>
            </w:pP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rPr>
                <w:rFonts w:hint="default" w:ascii="Times New Roman" w:hAnsi="Times New Roman" w:eastAsia="宋体" w:cs="Times New Roman"/>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绩效 指标</w:t>
            </w:r>
          </w:p>
        </w:tc>
        <w:tc>
          <w:tcPr>
            <w:tcW w:w="10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一级指标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二级指标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三级指标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指标性质</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指标值</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度量单位</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权重</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实际完成指标值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产出指标</w:t>
            </w:r>
          </w:p>
        </w:tc>
        <w:tc>
          <w:tcPr>
            <w:tcW w:w="1250"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pacing w:line="560" w:lineRule="exact"/>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新建地下流体观测井</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pacing w:line="560" w:lineRule="exact"/>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pacing w:line="560" w:lineRule="exact"/>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1</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pacing w:line="560" w:lineRule="exact"/>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个</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pacing w:line="560" w:lineRule="exact"/>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pacing w:line="560" w:lineRule="exact"/>
              <w:jc w:val="center"/>
              <w:textAlignment w:val="center"/>
              <w:rPr>
                <w:rFonts w:hint="default" w:ascii="Times New Roman" w:hAnsi="Times New Roman" w:eastAsia="宋体" w:cs="Times New Roman"/>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Times New Roman" w:hAnsi="Times New Roman" w:eastAsia="宋体" w:cs="Times New Roman"/>
                <w:i w:val="0"/>
                <w:color w:val="000000"/>
                <w:sz w:val="24"/>
                <w:szCs w:val="24"/>
                <w:u w:val="none"/>
              </w:rPr>
            </w:pPr>
          </w:p>
        </w:tc>
        <w:tc>
          <w:tcPr>
            <w:tcW w:w="1250"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Times New Roman" w:hAnsi="Times New Roman" w:eastAsia="宋体" w:cs="Times New Roman"/>
                <w:i w:val="0"/>
                <w:color w:val="000000"/>
                <w:sz w:val="24"/>
                <w:szCs w:val="24"/>
                <w:u w:val="none"/>
              </w:rPr>
            </w:pP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pacing w:line="560" w:lineRule="exact"/>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新建地下流体观测室</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pacing w:line="560" w:lineRule="exact"/>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pacing w:line="560" w:lineRule="exact"/>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10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pacing w:line="560" w:lineRule="exact"/>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平方米</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pacing w:line="560" w:lineRule="exact"/>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pacing w:line="560" w:lineRule="exact"/>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Times New Roman" w:hAnsi="Times New Roman" w:eastAsia="宋体" w:cs="Times New Roman"/>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质量指标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pacing w:line="560" w:lineRule="exact"/>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安装水位仪、水温仪、气象三要素监测设备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pacing w:line="560" w:lineRule="exact"/>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pacing w:line="560" w:lineRule="exact"/>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100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pacing w:line="560" w:lineRule="exact"/>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套</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pacing w:line="560" w:lineRule="exact"/>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pacing w:line="560" w:lineRule="exact"/>
              <w:jc w:val="center"/>
              <w:textAlignment w:val="center"/>
              <w:rPr>
                <w:rFonts w:hint="default" w:ascii="Times New Roman" w:hAnsi="Times New Roman" w:eastAsia="宋体" w:cs="Times New Roman"/>
                <w:i w:val="0"/>
                <w:color w:val="000000"/>
                <w:sz w:val="24"/>
                <w:szCs w:val="24"/>
                <w:u w:val="none"/>
                <w:lang w:val="en-US"/>
              </w:rPr>
            </w:pPr>
            <w:r>
              <w:rPr>
                <w:rFonts w:hint="eastAsia" w:ascii="宋体" w:hAnsi="宋体" w:eastAsia="宋体" w:cs="宋体"/>
                <w:i w:val="0"/>
                <w:iCs w:val="0"/>
                <w:color w:val="000000"/>
                <w:kern w:val="0"/>
                <w:sz w:val="18"/>
                <w:szCs w:val="18"/>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Times New Roman" w:hAnsi="Times New Roman" w:eastAsia="宋体" w:cs="Times New Roman"/>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时效指标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pacing w:line="560" w:lineRule="exact"/>
              <w:jc w:val="center"/>
              <w:textAlignment w:val="center"/>
              <w:rPr>
                <w:rFonts w:hint="default" w:ascii="Times New Roman" w:hAnsi="Times New Roman" w:eastAsia="宋体" w:cs="Times New Roman"/>
                <w:i w:val="0"/>
                <w:color w:val="000000"/>
                <w:sz w:val="24"/>
                <w:szCs w:val="24"/>
                <w:u w:val="none"/>
                <w:lang w:val="en-US" w:eastAsia="zh-CN"/>
              </w:rPr>
            </w:pPr>
            <w:r>
              <w:rPr>
                <w:rFonts w:ascii="宋体" w:hAnsi="宋体" w:eastAsia="宋体" w:cs="宋体"/>
                <w:i w:val="0"/>
                <w:iCs w:val="0"/>
                <w:color w:val="000000"/>
                <w:kern w:val="0"/>
                <w:sz w:val="18"/>
                <w:szCs w:val="18"/>
                <w:u w:val="none"/>
                <w:lang w:val="en-US" w:eastAsia="zh-CN" w:bidi="ar"/>
              </w:rPr>
              <w:t>项目（工程）验收合格率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pacing w:line="560" w:lineRule="exact"/>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pacing w:line="560" w:lineRule="exact"/>
              <w:jc w:val="center"/>
              <w:textAlignment w:val="center"/>
              <w:rPr>
                <w:rFonts w:hint="eastAsia" w:ascii="Times New Roman" w:hAnsi="Times New Roman" w:eastAsia="宋体" w:cs="Times New Roman"/>
                <w:i w:val="0"/>
                <w:color w:val="000000"/>
                <w:sz w:val="24"/>
                <w:szCs w:val="24"/>
                <w:u w:val="none"/>
                <w:lang w:val="en-US" w:eastAsia="zh-CN"/>
              </w:rPr>
            </w:pPr>
            <w:r>
              <w:rPr>
                <w:rFonts w:ascii="宋体" w:hAnsi="宋体" w:eastAsia="宋体" w:cs="宋体"/>
                <w:i w:val="0"/>
                <w:iCs w:val="0"/>
                <w:color w:val="000000"/>
                <w:kern w:val="0"/>
                <w:sz w:val="18"/>
                <w:szCs w:val="18"/>
                <w:u w:val="none"/>
                <w:lang w:val="en-US" w:eastAsia="zh-CN" w:bidi="ar"/>
              </w:rPr>
              <w:t>按合同约定完成</w:t>
            </w:r>
            <w:r>
              <w:rPr>
                <w:rFonts w:hint="eastAsia" w:ascii="宋体" w:hAnsi="宋体" w:eastAsia="宋体" w:cs="宋体"/>
                <w:i w:val="0"/>
                <w:iCs w:val="0"/>
                <w:color w:val="000000"/>
                <w:kern w:val="0"/>
                <w:sz w:val="18"/>
                <w:szCs w:val="18"/>
                <w:u w:val="none"/>
                <w:lang w:val="en-US" w:eastAsia="zh-CN" w:bidi="ar"/>
              </w:rPr>
              <w:t>100</w:t>
            </w:r>
            <w:r>
              <w:rPr>
                <w:rFonts w:ascii="宋体" w:hAnsi="宋体" w:eastAsia="宋体" w:cs="宋体"/>
                <w:i w:val="0"/>
                <w:iCs w:val="0"/>
                <w:color w:val="000000"/>
                <w:kern w:val="0"/>
                <w:sz w:val="18"/>
                <w:szCs w:val="18"/>
                <w:u w:val="none"/>
                <w:lang w:val="en-US" w:eastAsia="zh-CN" w:bidi="ar"/>
              </w:rPr>
              <w:t>%</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pacing w:line="560" w:lineRule="exact"/>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pacing w:line="560" w:lineRule="exact"/>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pacing w:line="560" w:lineRule="exact"/>
              <w:jc w:val="center"/>
              <w:textAlignment w:val="center"/>
              <w:rPr>
                <w:rFonts w:hint="default" w:ascii="Times New Roman" w:hAnsi="Times New Roman" w:eastAsia="宋体" w:cs="Times New Roman"/>
                <w:i w:val="0"/>
                <w:color w:val="000000"/>
                <w:sz w:val="24"/>
                <w:szCs w:val="24"/>
                <w:u w:val="none"/>
              </w:rPr>
            </w:pPr>
            <w:r>
              <w:rPr>
                <w:rFonts w:hint="eastAsia" w:ascii="宋体" w:hAnsi="宋体" w:eastAsia="宋体" w:cs="宋体"/>
                <w:i w:val="0"/>
                <w:iCs w:val="0"/>
                <w:color w:val="000000"/>
                <w:kern w:val="0"/>
                <w:sz w:val="18"/>
                <w:szCs w:val="18"/>
                <w:u w:val="none"/>
                <w:lang w:val="en-US" w:eastAsia="zh-CN" w:bidi="ar"/>
              </w:rPr>
              <w:t>100</w:t>
            </w:r>
            <w:r>
              <w:rPr>
                <w:rFonts w:ascii="宋体" w:hAnsi="宋体" w:eastAsia="宋体" w:cs="宋体"/>
                <w:i w:val="0"/>
                <w:iCs w:val="0"/>
                <w:color w:val="000000"/>
                <w:kern w:val="0"/>
                <w:sz w:val="18"/>
                <w:szCs w:val="18"/>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效益指标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pacing w:line="560" w:lineRule="exact"/>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社会效益指标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pacing w:line="560" w:lineRule="exact"/>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项目工程完成及时率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pacing w:line="560" w:lineRule="exact"/>
              <w:jc w:val="center"/>
              <w:textAlignment w:val="center"/>
              <w:rPr>
                <w:rFonts w:hint="default"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定性</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pacing w:line="560" w:lineRule="exact"/>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优</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pacing w:line="560" w:lineRule="exact"/>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pacing w:line="560" w:lineRule="exact"/>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pacing w:line="560" w:lineRule="exact"/>
              <w:jc w:val="center"/>
              <w:textAlignment w:val="center"/>
              <w:rPr>
                <w:rFonts w:hint="eastAsia" w:ascii="Times New Roman" w:hAnsi="Times New Roman" w:eastAsia="宋体" w:cs="Times New Roman"/>
                <w:i w:val="0"/>
                <w:color w:val="000000"/>
                <w:sz w:val="24"/>
                <w:szCs w:val="24"/>
                <w:u w:val="none"/>
                <w:lang w:eastAsia="zh-CN"/>
              </w:rPr>
            </w:pPr>
            <w:r>
              <w:rPr>
                <w:rFonts w:hint="eastAsia" w:eastAsia="宋体" w:cs="Times New Roman"/>
                <w:i w:val="0"/>
                <w:color w:val="000000"/>
                <w:sz w:val="24"/>
                <w:szCs w:val="24"/>
                <w:u w:val="none"/>
                <w:lang w:eastAsia="zh-CN"/>
              </w:rPr>
              <w:t>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Times New Roman" w:hAnsi="Times New Roman" w:eastAsia="宋体" w:cs="Times New Roman"/>
                <w:i w:val="0"/>
                <w:color w:val="000000"/>
                <w:sz w:val="24"/>
                <w:szCs w:val="24"/>
                <w:u w:val="none"/>
              </w:rPr>
            </w:pPr>
          </w:p>
        </w:tc>
        <w:tc>
          <w:tcPr>
            <w:tcW w:w="1250" w:type="dxa"/>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pacing w:line="560" w:lineRule="exact"/>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可持续影响指标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pacing w:line="560" w:lineRule="exact"/>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全县防震减灾能力</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pacing w:line="560" w:lineRule="exact"/>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定性</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pacing w:line="560" w:lineRule="exact"/>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优</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560" w:lineRule="exact"/>
              <w:jc w:val="center"/>
              <w:rPr>
                <w:rFonts w:hint="default" w:ascii="Times New Roman" w:hAnsi="Times New Roman" w:eastAsia="宋体" w:cs="Times New Roman"/>
                <w:i w:val="0"/>
                <w:color w:val="000000"/>
                <w:sz w:val="24"/>
                <w:szCs w:val="24"/>
                <w:u w:val="none"/>
              </w:rPr>
            </w:pP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pacing w:line="560" w:lineRule="exact"/>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pacing w:line="560" w:lineRule="exact"/>
              <w:jc w:val="center"/>
              <w:textAlignment w:val="center"/>
              <w:rPr>
                <w:rFonts w:hint="default" w:ascii="Times New Roman" w:hAnsi="Times New Roman" w:eastAsia="宋体" w:cs="Times New Roman"/>
                <w:i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Times New Roman" w:hAnsi="Times New Roman" w:eastAsia="宋体" w:cs="Times New Roman"/>
                <w:i w:val="0"/>
                <w:color w:val="000000"/>
                <w:sz w:val="24"/>
                <w:szCs w:val="24"/>
                <w:u w:val="none"/>
              </w:rPr>
            </w:pPr>
          </w:p>
        </w:tc>
        <w:tc>
          <w:tcPr>
            <w:tcW w:w="1081" w:type="dxa"/>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满意度</w:t>
            </w:r>
          </w:p>
          <w:p>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w:t>
            </w:r>
          </w:p>
        </w:tc>
        <w:tc>
          <w:tcPr>
            <w:tcW w:w="1250" w:type="dxa"/>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pacing w:line="560" w:lineRule="exact"/>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服务对象满意度指标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pacing w:line="560" w:lineRule="exact"/>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设备使用年限</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pacing w:line="560" w:lineRule="exact"/>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pacing w:line="560" w:lineRule="exact"/>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98</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pacing w:line="560" w:lineRule="exact"/>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年</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pacing w:line="560" w:lineRule="exact"/>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pacing w:line="560" w:lineRule="exact"/>
              <w:jc w:val="center"/>
              <w:textAlignment w:val="center"/>
              <w:rPr>
                <w:rFonts w:hint="default" w:ascii="Times New Roman" w:hAnsi="Times New Roman" w:eastAsia="宋体" w:cs="Times New Roman"/>
                <w:i w:val="0"/>
                <w:color w:val="000000"/>
                <w:sz w:val="24"/>
                <w:szCs w:val="24"/>
                <w:u w:val="none"/>
                <w:lang w:val="en-US"/>
              </w:rPr>
            </w:pPr>
            <w:r>
              <w:rPr>
                <w:rFonts w:hint="eastAsia" w:ascii="宋体" w:hAnsi="宋体" w:eastAsia="宋体" w:cs="宋体"/>
                <w:i w:val="0"/>
                <w:iCs w:val="0"/>
                <w:color w:val="000000"/>
                <w:kern w:val="0"/>
                <w:sz w:val="18"/>
                <w:szCs w:val="18"/>
                <w:u w:val="none"/>
                <w:lang w:val="en-US" w:eastAsia="zh-CN" w:bidi="ar"/>
              </w:rPr>
              <w:t>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line="560" w:lineRule="exact"/>
              <w:ind w:left="0" w:leftChars="0"/>
              <w:jc w:val="center"/>
              <w:rPr>
                <w:rFonts w:hint="default" w:ascii="Times New Roman" w:hAnsi="Times New Roman" w:eastAsia="宋体" w:cs="Times New Roman"/>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成本指标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pacing w:line="560" w:lineRule="exact"/>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经济成本指标</w:t>
            </w:r>
          </w:p>
        </w:tc>
        <w:tc>
          <w:tcPr>
            <w:tcW w:w="1312" w:type="dxa"/>
            <w:tcBorders>
              <w:top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pacing w:line="560" w:lineRule="exact"/>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受益人群满意度</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pacing w:line="560" w:lineRule="exact"/>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pacing w:line="560" w:lineRule="exact"/>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80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pacing w:line="560" w:lineRule="exact"/>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pacing w:line="560" w:lineRule="exact"/>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i w:val="0"/>
                <w:iCs w:val="0"/>
                <w:color w:val="000000"/>
                <w:kern w:val="0"/>
                <w:sz w:val="18"/>
                <w:szCs w:val="18"/>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pacing w:line="560" w:lineRule="exact"/>
              <w:jc w:val="center"/>
              <w:textAlignment w:val="center"/>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80</w:t>
            </w:r>
          </w:p>
        </w:tc>
      </w:tr>
    </w:tbl>
    <w:p>
      <w:pPr>
        <w:pStyle w:val="7"/>
        <w:keepNext w:val="0"/>
        <w:keepLines w:val="0"/>
        <w:pageBreakBefore w:val="0"/>
        <w:widowControl w:val="0"/>
        <w:kinsoku/>
        <w:wordWrap/>
        <w:overflowPunct/>
        <w:topLinePunct w:val="0"/>
        <w:autoSpaceDE/>
        <w:autoSpaceDN/>
        <w:bidi w:val="0"/>
        <w:adjustRightInd/>
        <w:snapToGrid/>
        <w:spacing w:after="0" w:line="560" w:lineRule="exact"/>
        <w:ind w:left="0" w:leftChars="0"/>
        <w:textAlignment w:val="auto"/>
        <w:rPr>
          <w:rFonts w:hint="default" w:ascii="Times New Roman" w:hAnsi="Times New Roman" w:eastAsia="黑体" w:cs="Times New Roman"/>
          <w:sz w:val="24"/>
          <w:szCs w:val="24"/>
          <w:highlight w:val="none"/>
          <w:lang w:val="en-US" w:eastAsia="zh-CN"/>
        </w:rPr>
      </w:pPr>
    </w:p>
    <w:p>
      <w:pPr>
        <w:keepNext w:val="0"/>
        <w:keepLines w:val="0"/>
        <w:pageBreakBefore w:val="0"/>
        <w:kinsoku/>
        <w:wordWrap/>
        <w:overflowPunct/>
        <w:topLinePunct w:val="0"/>
        <w:autoSpaceDE/>
        <w:autoSpaceDN/>
        <w:bidi w:val="0"/>
        <w:adjustRightInd/>
        <w:spacing w:line="560" w:lineRule="exact"/>
        <w:ind w:firstLine="643" w:firstLineChars="200"/>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（二）绩效分析</w:t>
      </w:r>
    </w:p>
    <w:p>
      <w:pPr>
        <w:keepNext w:val="0"/>
        <w:keepLines w:val="0"/>
        <w:pageBreakBefore w:val="0"/>
        <w:kinsoku/>
        <w:wordWrap/>
        <w:overflowPunct/>
        <w:topLinePunct w:val="0"/>
        <w:autoSpaceDE/>
        <w:autoSpaceDN/>
        <w:bidi w:val="0"/>
        <w:adjustRightInd/>
        <w:spacing w:line="56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1、项目决策</w:t>
      </w:r>
    </w:p>
    <w:p>
      <w:pPr>
        <w:pStyle w:val="14"/>
        <w:keepNext w:val="0"/>
        <w:keepLines w:val="0"/>
        <w:pageBreakBefore w:val="0"/>
        <w:numPr>
          <w:ilvl w:val="0"/>
          <w:numId w:val="0"/>
        </w:numPr>
        <w:kinsoku/>
        <w:wordWrap/>
        <w:overflowPunct/>
        <w:topLinePunct w:val="0"/>
        <w:autoSpaceDE/>
        <w:autoSpaceDN/>
        <w:bidi w:val="0"/>
        <w:adjustRightInd/>
        <w:spacing w:line="560" w:lineRule="exact"/>
        <w:ind w:firstLine="640" w:firstLineChars="200"/>
        <w:rPr>
          <w:rFonts w:hint="default" w:ascii="仿宋_GB2312" w:hAnsi="仿宋_GB2312" w:cs="仿宋_GB2312"/>
          <w:color w:val="auto"/>
          <w:kern w:val="0"/>
          <w:sz w:val="32"/>
          <w:szCs w:val="32"/>
          <w:highlight w:val="none"/>
          <w:u w:val="none"/>
          <w:shd w:val="clear" w:color="auto" w:fill="FFFFFF"/>
          <w:lang w:val="zh-CN" w:eastAsia="zh-CN"/>
        </w:rPr>
      </w:pPr>
      <w:r>
        <w:rPr>
          <w:rFonts w:hint="eastAsia" w:ascii="仿宋" w:hAnsi="仿宋" w:eastAsia="仿宋" w:cs="仿宋"/>
          <w:sz w:val="32"/>
          <w:szCs w:val="32"/>
        </w:rPr>
        <w:t>“十四五”时期是全面建成小康社会，主动适应社会主义现代化建设进程对推进防震减灾治理体系和治理能力现代化、全面提升地震安全保障能力提出更高要求</w:t>
      </w:r>
      <w:r>
        <w:rPr>
          <w:rFonts w:hint="eastAsia" w:ascii="仿宋" w:hAnsi="仿宋" w:eastAsia="仿宋" w:cs="仿宋"/>
          <w:sz w:val="32"/>
          <w:szCs w:val="32"/>
          <w:lang w:eastAsia="zh-CN"/>
        </w:rPr>
        <w:t>，</w:t>
      </w:r>
      <w:r>
        <w:rPr>
          <w:rFonts w:hint="eastAsia" w:ascii="仿宋" w:hAnsi="仿宋" w:eastAsia="仿宋" w:cs="仿宋"/>
          <w:sz w:val="32"/>
          <w:szCs w:val="32"/>
        </w:rPr>
        <w:t>建设地球物理站（地下流体），能够进一步丰富黑水县地震监测手段，提升地震监测能力，是应对严峻的震情形势的需要。</w:t>
      </w:r>
      <w:r>
        <w:rPr>
          <w:rFonts w:hint="eastAsia" w:ascii="仿宋_GB2312" w:hAnsi="仿宋_GB2312" w:eastAsia="仿宋_GB2312" w:cs="仿宋_GB2312"/>
          <w:b w:val="0"/>
          <w:bCs/>
          <w:color w:val="auto"/>
          <w:sz w:val="32"/>
          <w:szCs w:val="32"/>
          <w:highlight w:val="none"/>
          <w:u w:val="none"/>
          <w:lang w:val="zh-CN" w:eastAsia="zh-CN"/>
        </w:rPr>
        <w:t>黑水台拥有前兆监测的历史和经验，加强前兆观测，建设地球物理站，是提升黑水区域地震监测的可行方案，也是现阶段经济社会发展的需要。</w:t>
      </w:r>
      <w:r>
        <w:rPr>
          <w:rFonts w:hint="eastAsia" w:ascii="仿宋_GB2312" w:eastAsia="仿宋_GB2312"/>
        </w:rPr>
        <w:t>该项目立项必要性和依据充分，绩效目标明确，</w:t>
      </w:r>
      <w:r>
        <w:rPr>
          <w:rFonts w:hint="eastAsia" w:ascii="仿宋_GB2312" w:eastAsia="仿宋_GB2312"/>
          <w:u w:val="none"/>
        </w:rPr>
        <w:t>我单位进一步优化完善</w:t>
      </w:r>
      <w:r>
        <w:rPr>
          <w:rFonts w:hint="eastAsia" w:ascii="仿宋_GB2312"/>
          <w:u w:val="none"/>
          <w:lang w:eastAsia="zh-CN"/>
        </w:rPr>
        <w:t>了</w:t>
      </w:r>
      <w:r>
        <w:rPr>
          <w:rFonts w:hint="eastAsia" w:ascii="仿宋_GB2312" w:eastAsia="仿宋_GB2312"/>
          <w:u w:val="none"/>
        </w:rPr>
        <w:t>实施方案和绩效目标，加强运行监控，节约财政资金并提升资金效益，提升预算绩效管理水平</w:t>
      </w:r>
      <w:r>
        <w:rPr>
          <w:rFonts w:hint="eastAsia" w:ascii="仿宋_GB2312"/>
          <w:u w:val="none"/>
        </w:rPr>
        <w:t>和财政资金使用效益。</w:t>
      </w:r>
    </w:p>
    <w:p>
      <w:pPr>
        <w:keepNext w:val="0"/>
        <w:keepLines w:val="0"/>
        <w:pageBreakBefore w:val="0"/>
        <w:kinsoku/>
        <w:wordWrap/>
        <w:overflowPunct/>
        <w:topLinePunct w:val="0"/>
        <w:autoSpaceDE/>
        <w:autoSpaceDN/>
        <w:bidi w:val="0"/>
        <w:adjustRightInd/>
        <w:spacing w:line="56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2、项目管理</w:t>
      </w:r>
    </w:p>
    <w:p>
      <w:pPr>
        <w:keepNext w:val="0"/>
        <w:keepLines w:val="0"/>
        <w:pageBreakBefore w:val="0"/>
        <w:kinsoku/>
        <w:wordWrap/>
        <w:overflowPunct/>
        <w:topLinePunct w:val="0"/>
        <w:autoSpaceDE/>
        <w:autoSpaceDN/>
        <w:bidi w:val="0"/>
        <w:adjustRightInd/>
        <w:spacing w:line="56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kern w:val="0"/>
          <w:sz w:val="32"/>
          <w:szCs w:val="32"/>
          <w:lang w:val="en-US" w:eastAsia="zh-CN"/>
        </w:rPr>
        <w:t>2024年下达州级防震减灾专项资金80万元，2024年实际使用金额63.84万元，</w:t>
      </w:r>
      <w:r>
        <w:rPr>
          <w:rFonts w:hint="eastAsia" w:ascii="仿宋_GB2312" w:hAnsi="仿宋_GB2312" w:eastAsia="仿宋_GB2312" w:cs="仿宋_GB2312"/>
          <w:kern w:val="0"/>
          <w:sz w:val="32"/>
          <w:szCs w:val="32"/>
        </w:rPr>
        <w:t>项目符合财政事权支出责任划分规定，资金投向与项目总体规划、相关行业事业发展相匹配，聚焦重大任务、重点领域、重点环节和重点项目，体现“集中</w:t>
      </w:r>
      <w:r>
        <w:rPr>
          <w:rFonts w:hint="eastAsia" w:ascii="仿宋_GB2312" w:hAnsi="仿宋_GB2312" w:eastAsia="仿宋_GB2312" w:cs="仿宋_GB2312"/>
          <w:kern w:val="0"/>
          <w:sz w:val="32"/>
          <w:szCs w:val="32"/>
          <w:lang w:val="en-US" w:eastAsia="zh-CN"/>
        </w:rPr>
        <w:t>力量</w:t>
      </w:r>
      <w:bookmarkStart w:id="0" w:name="_GoBack"/>
      <w:bookmarkEnd w:id="0"/>
      <w:r>
        <w:rPr>
          <w:rFonts w:hint="eastAsia" w:ascii="仿宋_GB2312" w:hAnsi="仿宋_GB2312" w:eastAsia="仿宋_GB2312" w:cs="仿宋_GB2312"/>
          <w:kern w:val="0"/>
          <w:sz w:val="32"/>
          <w:szCs w:val="32"/>
        </w:rPr>
        <w:t>办大事”原则，避免“撒胡椒面”，未与其他同类项目或部门内部相关项目交叉重复，未与其他同类项目或部门内部相关项目交叉重复</w:t>
      </w:r>
      <w:r>
        <w:rPr>
          <w:rFonts w:hint="eastAsia" w:ascii="仿宋_GB2312" w:hAnsi="仿宋_GB2312" w:eastAsia="仿宋_GB2312" w:cs="仿宋_GB2312"/>
          <w:kern w:val="0"/>
          <w:sz w:val="32"/>
          <w:szCs w:val="32"/>
          <w:lang w:eastAsia="zh-CN"/>
        </w:rPr>
        <w:t>。</w:t>
      </w:r>
    </w:p>
    <w:p>
      <w:pPr>
        <w:keepNext w:val="0"/>
        <w:keepLines w:val="0"/>
        <w:pageBreakBefore w:val="0"/>
        <w:kinsoku/>
        <w:wordWrap/>
        <w:overflowPunct/>
        <w:topLinePunct w:val="0"/>
        <w:autoSpaceDE/>
        <w:autoSpaceDN/>
        <w:bidi w:val="0"/>
        <w:adjustRightInd/>
        <w:spacing w:line="560" w:lineRule="exact"/>
        <w:ind w:firstLine="640" w:firstLineChars="200"/>
        <w:rPr>
          <w:rFonts w:ascii="仿宋_GB2312" w:hAnsi="仿宋" w:eastAsia="仿宋_GB2312" w:cs="仿宋_GB2312"/>
          <w:color w:val="000000" w:themeColor="text1"/>
          <w:sz w:val="32"/>
          <w:szCs w:val="32"/>
          <w14:textFill>
            <w14:solidFill>
              <w14:schemeClr w14:val="tx1"/>
            </w14:solidFill>
          </w14:textFill>
        </w:rPr>
      </w:pPr>
      <w:r>
        <w:rPr>
          <w:rFonts w:hint="eastAsia" w:ascii="仿宋_GB2312" w:hAnsi="仿宋" w:eastAsia="仿宋_GB2312" w:cs="仿宋_GB2312"/>
          <w:color w:val="000000" w:themeColor="text1"/>
          <w:sz w:val="32"/>
          <w:szCs w:val="32"/>
          <w14:textFill>
            <w14:solidFill>
              <w14:schemeClr w14:val="tx1"/>
            </w14:solidFill>
          </w14:textFill>
        </w:rPr>
        <w:t>3、项目绩效</w:t>
      </w:r>
    </w:p>
    <w:p>
      <w:pPr>
        <w:keepNext w:val="0"/>
        <w:keepLines w:val="0"/>
        <w:pageBreakBefore w:val="0"/>
        <w:kinsoku/>
        <w:wordWrap/>
        <w:overflowPunct/>
        <w:topLinePunct w:val="0"/>
        <w:autoSpaceDE/>
        <w:autoSpaceDN/>
        <w:bidi w:val="0"/>
        <w:adjustRightInd/>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产出指标</w:t>
      </w:r>
    </w:p>
    <w:p>
      <w:pPr>
        <w:keepNext w:val="0"/>
        <w:keepLines w:val="0"/>
        <w:pageBreakBefore w:val="0"/>
        <w:numPr>
          <w:ilvl w:val="0"/>
          <w:numId w:val="0"/>
        </w:numPr>
        <w:kinsoku/>
        <w:wordWrap/>
        <w:overflowPunct/>
        <w:topLinePunct w:val="0"/>
        <w:autoSpaceDE/>
        <w:autoSpaceDN/>
        <w:bidi w:val="0"/>
        <w:adjustRightInd/>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数量指标：计划为</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个地球物理台站提供建设技术服务，实际完成</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个，服务完成率100%；</w:t>
      </w:r>
    </w:p>
    <w:p>
      <w:pPr>
        <w:keepNext w:val="0"/>
        <w:keepLines w:val="0"/>
        <w:pageBreakBefore w:val="0"/>
        <w:numPr>
          <w:ilvl w:val="0"/>
          <w:numId w:val="0"/>
        </w:numPr>
        <w:kinsoku/>
        <w:wordWrap/>
        <w:overflowPunct/>
        <w:topLinePunct w:val="0"/>
        <w:autoSpaceDE/>
        <w:autoSpaceDN/>
        <w:bidi w:val="0"/>
        <w:adjustRightInd/>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质量指标：经第三方验收</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个台站选址均符合《地球物理台站建设规范》要求，技术服务质量达标率100%。</w:t>
      </w: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时效指标：项目计划服务周期</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个月，实际在</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个月内完成所有台站技术服务</w:t>
      </w:r>
      <w:r>
        <w:rPr>
          <w:rFonts w:hint="eastAsia" w:ascii="仿宋_GB2312" w:hAnsi="仿宋_GB2312" w:eastAsia="仿宋_GB2312" w:cs="仿宋_GB2312"/>
          <w:sz w:val="32"/>
          <w:szCs w:val="32"/>
          <w:lang w:val="en-US" w:eastAsia="zh-CN"/>
        </w:rPr>
        <w:t>并进入试运行阶段，试运行数据正常，待3个月试运行期限完成后，数据正常才进入竣工验收阶段，</w:t>
      </w:r>
      <w:r>
        <w:rPr>
          <w:rFonts w:hint="eastAsia" w:ascii="仿宋_GB2312" w:hAnsi="仿宋_GB2312" w:eastAsia="仿宋_GB2312" w:cs="仿宋_GB2312"/>
          <w:sz w:val="32"/>
          <w:szCs w:val="32"/>
        </w:rPr>
        <w:t>按时完成率100%；</w:t>
      </w:r>
    </w:p>
    <w:p>
      <w:pPr>
        <w:keepNext w:val="0"/>
        <w:keepLines w:val="0"/>
        <w:pageBreakBefore w:val="0"/>
        <w:kinsoku/>
        <w:wordWrap/>
        <w:overflowPunct/>
        <w:topLinePunct w:val="0"/>
        <w:autoSpaceDE/>
        <w:autoSpaceDN/>
        <w:bidi w:val="0"/>
        <w:adjustRightInd/>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成本指标：项目总实际支出</w:t>
      </w:r>
      <w:r>
        <w:rPr>
          <w:rFonts w:hint="eastAsia" w:ascii="仿宋_GB2312" w:hAnsi="仿宋_GB2312" w:eastAsia="仿宋_GB2312" w:cs="仿宋_GB2312"/>
          <w:sz w:val="32"/>
          <w:szCs w:val="32"/>
          <w:lang w:val="en-US" w:eastAsia="zh-CN"/>
        </w:rPr>
        <w:t>63.84</w:t>
      </w:r>
      <w:r>
        <w:rPr>
          <w:rFonts w:hint="eastAsia" w:ascii="仿宋_GB2312" w:hAnsi="仿宋_GB2312" w:eastAsia="仿宋_GB2312" w:cs="仿宋_GB2312"/>
          <w:sz w:val="32"/>
          <w:szCs w:val="32"/>
        </w:rPr>
        <w:t>万元，预算执行率</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%，未超预算。</w:t>
      </w:r>
    </w:p>
    <w:p>
      <w:pPr>
        <w:keepNext w:val="0"/>
        <w:keepLines w:val="0"/>
        <w:pageBreakBefore w:val="0"/>
        <w:kinsoku/>
        <w:wordWrap/>
        <w:overflowPunct/>
        <w:topLinePunct w:val="0"/>
        <w:autoSpaceDE/>
        <w:autoSpaceDN/>
        <w:bidi w:val="0"/>
        <w:adjustRightInd/>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效益指标</w:t>
      </w:r>
    </w:p>
    <w:p>
      <w:pPr>
        <w:keepNext w:val="0"/>
        <w:keepLines w:val="0"/>
        <w:pageBreakBefore w:val="0"/>
        <w:kinsoku/>
        <w:wordWrap/>
        <w:overflowPunct/>
        <w:topLinePunct w:val="0"/>
        <w:autoSpaceDE/>
        <w:autoSpaceDN/>
        <w:bidi w:val="0"/>
        <w:adjustRightInd/>
        <w:spacing w:line="56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社会效益：台站投入运行后，可实时监测区域地质活动，为地震、地面沉降等地质灾害预警提供数据支撑，提升地方防灾减灾能力</w:t>
      </w:r>
      <w:r>
        <w:rPr>
          <w:rFonts w:hint="eastAsia" w:ascii="仿宋_GB2312" w:hAnsi="仿宋_GB2312" w:eastAsia="仿宋_GB2312" w:cs="仿宋_GB2312"/>
          <w:sz w:val="32"/>
          <w:szCs w:val="32"/>
          <w:lang w:eastAsia="zh-CN"/>
        </w:rPr>
        <w:t>。</w:t>
      </w:r>
    </w:p>
    <w:p>
      <w:pPr>
        <w:keepNext w:val="0"/>
        <w:keepLines w:val="0"/>
        <w:pageBreakBefore w:val="0"/>
        <w:kinsoku/>
        <w:wordWrap/>
        <w:overflowPunct/>
        <w:topLinePunct w:val="0"/>
        <w:autoSpaceDE/>
        <w:autoSpaceDN/>
        <w:bidi w:val="0"/>
        <w:adjustRightInd/>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可持续效益：建立“技术服务-后期咨询”长效机制，可随时响应台站运维技术需求，保障台站长期发挥监测效能。</w:t>
      </w:r>
    </w:p>
    <w:p>
      <w:pPr>
        <w:keepNext w:val="0"/>
        <w:keepLines w:val="0"/>
        <w:pageBreakBefore w:val="0"/>
        <w:numPr>
          <w:ilvl w:val="0"/>
          <w:numId w:val="1"/>
        </w:numPr>
        <w:kinsoku/>
        <w:wordWrap/>
        <w:overflowPunct/>
        <w:topLinePunct w:val="0"/>
        <w:autoSpaceDE/>
        <w:autoSpaceDN/>
        <w:bidi w:val="0"/>
        <w:adjustRightInd/>
        <w:spacing w:line="56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 xml:space="preserve"> 存在主要问题</w:t>
      </w:r>
    </w:p>
    <w:p>
      <w:pPr>
        <w:keepNext w:val="0"/>
        <w:keepLines w:val="0"/>
        <w:pageBreakBefore w:val="0"/>
        <w:numPr>
          <w:ilvl w:val="0"/>
          <w:numId w:val="0"/>
        </w:numPr>
        <w:kinsoku/>
        <w:wordWrap/>
        <w:overflowPunct/>
        <w:topLinePunct w:val="0"/>
        <w:autoSpaceDE/>
        <w:autoSpaceDN/>
        <w:bidi w:val="0"/>
        <w:adjustRightInd/>
        <w:spacing w:line="560" w:lineRule="exact"/>
        <w:ind w:firstLine="640" w:firstLineChars="200"/>
        <w:rPr>
          <w:rFonts w:hint="eastAsia" w:ascii="Times New Roman" w:eastAsia="仿宋_GB2312" w:cs="Times New Roman"/>
          <w:b w:val="0"/>
          <w:bCs w:val="0"/>
          <w:kern w:val="0"/>
          <w:position w:val="0"/>
          <w:sz w:val="32"/>
          <w:szCs w:val="32"/>
          <w:highlight w:val="none"/>
          <w:lang w:val="en-US" w:eastAsia="zh-CN" w:bidi="ar-SA"/>
        </w:rPr>
      </w:pPr>
      <w:r>
        <w:rPr>
          <w:rFonts w:hint="eastAsia" w:ascii="Times New Roman" w:eastAsia="仿宋_GB2312" w:cs="Times New Roman"/>
          <w:b w:val="0"/>
          <w:bCs w:val="0"/>
          <w:kern w:val="0"/>
          <w:position w:val="0"/>
          <w:sz w:val="32"/>
          <w:szCs w:val="32"/>
          <w:highlight w:val="none"/>
          <w:lang w:val="en-US" w:eastAsia="zh-CN" w:bidi="ar-SA"/>
        </w:rPr>
        <w:t>无</w:t>
      </w:r>
    </w:p>
    <w:p>
      <w:pPr>
        <w:keepNext w:val="0"/>
        <w:keepLines w:val="0"/>
        <w:pageBreakBefore w:val="0"/>
        <w:numPr>
          <w:ilvl w:val="0"/>
          <w:numId w:val="1"/>
        </w:numPr>
        <w:kinsoku/>
        <w:wordWrap/>
        <w:overflowPunct/>
        <w:topLinePunct w:val="0"/>
        <w:autoSpaceDE/>
        <w:autoSpaceDN/>
        <w:bidi w:val="0"/>
        <w:adjustRightInd/>
        <w:spacing w:line="560" w:lineRule="exact"/>
        <w:ind w:left="0" w:leftChars="0" w:firstLine="640" w:firstLineChars="200"/>
        <w:rPr>
          <w:rFonts w:hint="eastAsia" w:ascii="黑体" w:hAnsi="黑体" w:eastAsia="黑体" w:cs="黑体"/>
          <w:sz w:val="32"/>
          <w:szCs w:val="32"/>
        </w:rPr>
      </w:pPr>
      <w:r>
        <w:rPr>
          <w:rFonts w:hint="eastAsia" w:ascii="黑体" w:hAnsi="黑体" w:eastAsia="黑体" w:cs="黑体"/>
          <w:sz w:val="32"/>
          <w:szCs w:val="32"/>
        </w:rPr>
        <w:t>相关措施建议</w:t>
      </w:r>
    </w:p>
    <w:p>
      <w:pPr>
        <w:pStyle w:val="5"/>
        <w:keepNext w:val="0"/>
        <w:keepLines w:val="0"/>
        <w:pageBreakBefore w:val="0"/>
        <w:numPr>
          <w:ilvl w:val="0"/>
          <w:numId w:val="0"/>
        </w:numPr>
        <w:kinsoku/>
        <w:wordWrap/>
        <w:overflowPunct/>
        <w:topLinePunct w:val="0"/>
        <w:autoSpaceDE/>
        <w:autoSpaceDN/>
        <w:bidi w:val="0"/>
        <w:adjustRightInd/>
        <w:spacing w:line="560" w:lineRule="exact"/>
        <w:ind w:leftChars="200"/>
        <w:rPr>
          <w:rFonts w:hint="eastAsia"/>
        </w:rPr>
      </w:pPr>
    </w:p>
    <w:p>
      <w:pPr>
        <w:keepNext w:val="0"/>
        <w:keepLines w:val="0"/>
        <w:pageBreakBefore w:val="0"/>
        <w:kinsoku/>
        <w:wordWrap/>
        <w:overflowPunct/>
        <w:topLinePunct w:val="0"/>
        <w:autoSpaceDE/>
        <w:autoSpaceDN/>
        <w:bidi w:val="0"/>
        <w:adjustRightInd/>
        <w:spacing w:line="560" w:lineRule="exact"/>
        <w:ind w:firstLine="640" w:firstLineChars="200"/>
      </w:pPr>
      <w:r>
        <w:rPr>
          <w:rFonts w:hint="eastAsia" w:ascii="Times New Roman" w:eastAsia="仿宋_GB2312" w:cs="Times New Roman"/>
          <w:b w:val="0"/>
          <w:bCs w:val="0"/>
          <w:kern w:val="0"/>
          <w:position w:val="0"/>
          <w:sz w:val="32"/>
          <w:szCs w:val="32"/>
          <w:highlight w:val="none"/>
          <w:lang w:val="en-US" w:eastAsia="zh-CN" w:bidi="ar-SA"/>
        </w:rPr>
        <w:t>无</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仿宋_GB2312"/>
    <w:panose1 w:val="00000600000000000000"/>
    <w:charset w:val="86"/>
    <w:family w:val="auto"/>
    <w:pitch w:val="default"/>
    <w:sig w:usb0="00000000" w:usb1="00000000" w:usb2="00000012" w:usb3="00000000" w:csb0="00160001" w:csb1="12030000"/>
  </w:font>
  <w:font w:name="Wingdings 2">
    <w:altName w:val="Wingdings"/>
    <w:panose1 w:val="05020102010507070707"/>
    <w:charset w:val="02"/>
    <w:family w:val="auto"/>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61795F4"/>
    <w:multiLevelType w:val="singleLevel"/>
    <w:tmpl w:val="961795F4"/>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ZiZjU3YWRkZGY4NzA4ZWU2ZDdkZDZhOWU1ODZlYTEifQ=="/>
  </w:docVars>
  <w:rsids>
    <w:rsidRoot w:val="004C22EC"/>
    <w:rsid w:val="002630BB"/>
    <w:rsid w:val="004C22EC"/>
    <w:rsid w:val="007B38C6"/>
    <w:rsid w:val="01774086"/>
    <w:rsid w:val="01E11B25"/>
    <w:rsid w:val="021D7820"/>
    <w:rsid w:val="04463D2B"/>
    <w:rsid w:val="06AB256C"/>
    <w:rsid w:val="0A546A76"/>
    <w:rsid w:val="0D8B0A01"/>
    <w:rsid w:val="0F5D461F"/>
    <w:rsid w:val="100566B3"/>
    <w:rsid w:val="10D6085B"/>
    <w:rsid w:val="126B2BAF"/>
    <w:rsid w:val="141C0605"/>
    <w:rsid w:val="17DB2585"/>
    <w:rsid w:val="18153CE9"/>
    <w:rsid w:val="18A41CCC"/>
    <w:rsid w:val="1B4A3EC4"/>
    <w:rsid w:val="1B7900EB"/>
    <w:rsid w:val="1D1B4FB6"/>
    <w:rsid w:val="1D7B2EEB"/>
    <w:rsid w:val="1EF328AA"/>
    <w:rsid w:val="1FC23005"/>
    <w:rsid w:val="20623843"/>
    <w:rsid w:val="21972FB1"/>
    <w:rsid w:val="2439349C"/>
    <w:rsid w:val="244E01D1"/>
    <w:rsid w:val="26E36D60"/>
    <w:rsid w:val="2DB25117"/>
    <w:rsid w:val="2E536EC1"/>
    <w:rsid w:val="33DA011B"/>
    <w:rsid w:val="358B1B11"/>
    <w:rsid w:val="369462C9"/>
    <w:rsid w:val="37977DE6"/>
    <w:rsid w:val="37CB165B"/>
    <w:rsid w:val="3BAB2871"/>
    <w:rsid w:val="3D606F05"/>
    <w:rsid w:val="3E774506"/>
    <w:rsid w:val="40055B41"/>
    <w:rsid w:val="409C64A6"/>
    <w:rsid w:val="423607D0"/>
    <w:rsid w:val="495E079C"/>
    <w:rsid w:val="4A0B0DD8"/>
    <w:rsid w:val="4BC62629"/>
    <w:rsid w:val="4EE12249"/>
    <w:rsid w:val="4F176D3E"/>
    <w:rsid w:val="4F302902"/>
    <w:rsid w:val="55704B34"/>
    <w:rsid w:val="57B166CC"/>
    <w:rsid w:val="5B5D28E3"/>
    <w:rsid w:val="5C9D2D16"/>
    <w:rsid w:val="5DBC40E7"/>
    <w:rsid w:val="5F557AF4"/>
    <w:rsid w:val="604E7493"/>
    <w:rsid w:val="61291238"/>
    <w:rsid w:val="615D0EE2"/>
    <w:rsid w:val="62D376AD"/>
    <w:rsid w:val="68A11FFC"/>
    <w:rsid w:val="6C3C4515"/>
    <w:rsid w:val="6D1C60F5"/>
    <w:rsid w:val="732A4B37"/>
    <w:rsid w:val="77991202"/>
    <w:rsid w:val="7979799C"/>
    <w:rsid w:val="79CE4C1B"/>
    <w:rsid w:val="7B450F0D"/>
    <w:rsid w:val="7D0C69A6"/>
    <w:rsid w:val="7D4332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2"/>
    <w:qFormat/>
    <w:uiPriority w:val="9"/>
    <w:pPr>
      <w:keepNext/>
      <w:keepLines/>
      <w:spacing w:before="340" w:after="330" w:line="578" w:lineRule="auto"/>
      <w:outlineLvl w:val="0"/>
    </w:pPr>
    <w:rPr>
      <w:b/>
      <w:bCs/>
      <w:kern w:val="44"/>
      <w:sz w:val="44"/>
      <w:szCs w:val="44"/>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Body Text"/>
    <w:basedOn w:val="1"/>
    <w:qFormat/>
    <w:uiPriority w:val="99"/>
    <w:pPr>
      <w:widowControl/>
      <w:tabs>
        <w:tab w:val="left" w:pos="2160"/>
      </w:tabs>
      <w:spacing w:line="480" w:lineRule="auto"/>
      <w:jc w:val="left"/>
    </w:pPr>
    <w:rPr>
      <w:rFonts w:ascii="楷体_GB2312" w:eastAsia="黑体"/>
      <w:kern w:val="0"/>
      <w:position w:val="3"/>
      <w:sz w:val="20"/>
      <w:szCs w:val="20"/>
      <w:lang w:eastAsia="en-US"/>
    </w:rPr>
  </w:style>
  <w:style w:type="paragraph" w:styleId="4">
    <w:name w:val="Body Text Indent"/>
    <w:basedOn w:val="1"/>
    <w:qFormat/>
    <w:uiPriority w:val="0"/>
    <w:pPr>
      <w:spacing w:after="120"/>
      <w:ind w:leftChars="200"/>
    </w:pPr>
    <w:rPr>
      <w:rFonts w:ascii="仿宋_GB2312"/>
      <w:szCs w:val="32"/>
    </w:rPr>
  </w:style>
  <w:style w:type="paragraph" w:styleId="5">
    <w:name w:val="footer"/>
    <w:basedOn w:val="1"/>
    <w:link w:val="11"/>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6">
    <w:name w:val="header"/>
    <w:basedOn w:val="1"/>
    <w:link w:val="10"/>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7">
    <w:name w:val="Body Text First Indent 2"/>
    <w:basedOn w:val="4"/>
    <w:unhideWhenUsed/>
    <w:qFormat/>
    <w:uiPriority w:val="99"/>
    <w:pPr>
      <w:ind w:firstLine="420" w:firstLineChars="200"/>
    </w:pPr>
  </w:style>
  <w:style w:type="character" w:customStyle="1" w:styleId="10">
    <w:name w:val="页眉 Char"/>
    <w:basedOn w:val="9"/>
    <w:link w:val="6"/>
    <w:semiHidden/>
    <w:qFormat/>
    <w:uiPriority w:val="99"/>
    <w:rPr>
      <w:sz w:val="18"/>
      <w:szCs w:val="18"/>
    </w:rPr>
  </w:style>
  <w:style w:type="character" w:customStyle="1" w:styleId="11">
    <w:name w:val="页脚 Char"/>
    <w:basedOn w:val="9"/>
    <w:link w:val="5"/>
    <w:semiHidden/>
    <w:qFormat/>
    <w:uiPriority w:val="99"/>
    <w:rPr>
      <w:sz w:val="18"/>
      <w:szCs w:val="18"/>
    </w:rPr>
  </w:style>
  <w:style w:type="character" w:customStyle="1" w:styleId="12">
    <w:name w:val="标题 1 Char"/>
    <w:basedOn w:val="9"/>
    <w:link w:val="2"/>
    <w:qFormat/>
    <w:uiPriority w:val="9"/>
    <w:rPr>
      <w:rFonts w:ascii="Times New Roman" w:hAnsi="Times New Roman" w:eastAsia="宋体" w:cs="Times New Roman"/>
      <w:b/>
      <w:bCs/>
      <w:kern w:val="44"/>
      <w:sz w:val="44"/>
      <w:szCs w:val="44"/>
    </w:rPr>
  </w:style>
  <w:style w:type="paragraph" w:customStyle="1" w:styleId="13">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customStyle="1" w:styleId="14">
    <w:name w:val="NormalIndent"/>
    <w:next w:val="6"/>
    <w:qFormat/>
    <w:uiPriority w:val="0"/>
    <w:pPr>
      <w:widowControl w:val="0"/>
      <w:ind w:firstLine="200" w:firstLineChars="200"/>
      <w:jc w:val="both"/>
    </w:pPr>
    <w:rPr>
      <w:rFonts w:ascii="Times New Roman" w:hAnsi="Times New Roman" w:eastAsia="仿宋_GB2312" w:cs="Times New Roman"/>
      <w:kern w:val="2"/>
      <w:sz w:val="32"/>
      <w:szCs w:val="3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5</Pages>
  <Words>1775</Words>
  <Characters>1848</Characters>
  <Lines>2</Lines>
  <Paragraphs>1</Paragraphs>
  <TotalTime>1</TotalTime>
  <ScaleCrop>false</ScaleCrop>
  <LinksUpToDate>false</LinksUpToDate>
  <CharactersWithSpaces>1875</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2019-08-19T01:06:00Z</dcterms:created>
  <dc:creator>Sky123.Org</dc:creator>
  <cp:lastModifiedBy>Administrator</cp:lastModifiedBy>
  <dcterms:modified xsi:type="dcterms:W3CDTF">2025-08-28T02:08:48Z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CD14128851FF4C64A5534974F19A36DC</vt:lpwstr>
  </property>
  <property fmtid="{D5CDD505-2E9C-101B-9397-08002B2CF9AE}" pid="4" name="KSOTemplateDocerSaveRecord">
    <vt:lpwstr>eyJoZGlkIjoiZmQ5ZWI1YmRmODU0NjRlN2ExMDQwZmRlNWFhYjljYjEiLCJ1c2VySWQiOiIzNDMzMjcyNjYifQ==</vt:lpwstr>
  </property>
</Properties>
</file>