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C28E8">
      <w:pPr>
        <w:spacing w:line="600" w:lineRule="exact"/>
        <w:jc w:val="center"/>
        <w:outlineLvl w:val="0"/>
        <w:rPr>
          <w:rFonts w:hint="eastAsia" w:ascii="方正小标宋_GBK" w:hAnsi="方正小标宋_GBK" w:eastAsia="方正小标宋_GBK" w:cs="方正小标宋_GBK"/>
          <w:b w:val="0"/>
          <w:bCs/>
          <w:sz w:val="44"/>
          <w:szCs w:val="44"/>
        </w:rPr>
      </w:pPr>
      <w:bookmarkStart w:id="0" w:name="_Toc15396616"/>
      <w:r>
        <w:rPr>
          <w:rFonts w:hint="eastAsia" w:ascii="方正小标宋_GBK" w:hAnsi="方正小标宋_GBK" w:eastAsia="方正小标宋_GBK" w:cs="方正小标宋_GBK"/>
          <w:b w:val="0"/>
          <w:bCs/>
          <w:sz w:val="44"/>
          <w:szCs w:val="44"/>
          <w:lang w:eastAsia="zh-CN"/>
        </w:rPr>
        <w:t>黑水县防震减灾事务中心</w:t>
      </w:r>
      <w:r>
        <w:rPr>
          <w:rFonts w:hint="eastAsia" w:ascii="方正小标宋_GBK" w:hAnsi="方正小标宋_GBK" w:eastAsia="方正小标宋_GBK" w:cs="方正小标宋_GBK"/>
          <w:b w:val="0"/>
          <w:bCs/>
          <w:sz w:val="44"/>
          <w:szCs w:val="44"/>
        </w:rPr>
        <w:t>20</w:t>
      </w:r>
      <w:r>
        <w:rPr>
          <w:rFonts w:hint="eastAsia" w:ascii="方正小标宋_GBK" w:hAnsi="方正小标宋_GBK" w:eastAsia="方正小标宋_GBK" w:cs="方正小标宋_GBK"/>
          <w:b w:val="0"/>
          <w:bCs/>
          <w:sz w:val="44"/>
          <w:szCs w:val="44"/>
          <w:lang w:val="en-US" w:eastAsia="zh-CN"/>
        </w:rPr>
        <w:t>25</w:t>
      </w:r>
      <w:r>
        <w:rPr>
          <w:rFonts w:hint="eastAsia" w:ascii="方正小标宋_GBK" w:hAnsi="方正小标宋_GBK" w:eastAsia="方正小标宋_GBK" w:cs="方正小标宋_GBK"/>
          <w:b w:val="0"/>
          <w:bCs/>
          <w:sz w:val="44"/>
          <w:szCs w:val="44"/>
        </w:rPr>
        <w:t>年部门</w:t>
      </w:r>
    </w:p>
    <w:p w14:paraId="01E1D067">
      <w:pPr>
        <w:spacing w:line="600" w:lineRule="exact"/>
        <w:jc w:val="center"/>
        <w:outlineLvl w:val="0"/>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整体支出绩效评价报告</w:t>
      </w:r>
      <w:bookmarkEnd w:id="0"/>
    </w:p>
    <w:p w14:paraId="7B157A9E">
      <w:pPr>
        <w:spacing w:line="580" w:lineRule="exact"/>
        <w:ind w:firstLine="880" w:firstLineChars="200"/>
        <w:rPr>
          <w:rFonts w:hint="eastAsia" w:ascii="方正小标宋_GBK" w:hAnsi="方正小标宋_GBK" w:eastAsia="方正小标宋_GBK" w:cs="方正小标宋_GBK"/>
          <w:b w:val="0"/>
          <w:bCs/>
          <w:sz w:val="44"/>
          <w:szCs w:val="44"/>
        </w:rPr>
      </w:pPr>
    </w:p>
    <w:p w14:paraId="02C71216">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一、部门（单位）概况</w:t>
      </w:r>
    </w:p>
    <w:p w14:paraId="77EACD8F">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w:t>
      </w:r>
      <w:r>
        <w:rPr>
          <w:rFonts w:hint="eastAsia" w:ascii="楷体_GB2312" w:hAnsi="楷体_GB2312" w:eastAsia="楷体_GB2312" w:cs="楷体_GB2312"/>
          <w:b/>
          <w:bCs/>
          <w:sz w:val="32"/>
          <w:szCs w:val="32"/>
        </w:rPr>
        <w:t>一）机构组成。</w:t>
      </w:r>
    </w:p>
    <w:p w14:paraId="0A7AF103">
      <w:pPr>
        <w:spacing w:line="580" w:lineRule="exact"/>
        <w:ind w:firstLine="640" w:firstLineChars="200"/>
        <w:rPr>
          <w:rFonts w:ascii="仿宋_GB2312" w:hAnsi="仿宋" w:eastAsia="仿宋_GB2312" w:cs="仿宋_GB2312"/>
          <w:sz w:val="32"/>
          <w:szCs w:val="32"/>
        </w:rPr>
      </w:pPr>
      <w:r>
        <w:rPr>
          <w:rFonts w:hint="eastAsia" w:ascii="仿宋_GB2312" w:hAnsi="仿宋_GB2312" w:eastAsia="仿宋_GB2312" w:cs="仿宋_GB2312"/>
          <w:sz w:val="32"/>
          <w:szCs w:val="32"/>
        </w:rPr>
        <w:t>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按照“三定”方案核定内设机构一室一股，即办公室、监测震防股，</w:t>
      </w:r>
      <w:r>
        <w:rPr>
          <w:rFonts w:hint="eastAsia" w:ascii="仿宋_GB2312" w:hAnsi="仿宋_GB2312" w:eastAsia="仿宋_GB2312" w:cs="仿宋_GB2312"/>
          <w:color w:val="333333"/>
          <w:sz w:val="32"/>
          <w:szCs w:val="32"/>
        </w:rPr>
        <w:t>无下属二级预算单位</w:t>
      </w:r>
      <w:r>
        <w:rPr>
          <w:rFonts w:hint="eastAsia" w:ascii="仿宋_GB2312" w:hAnsi="仿宋_GB2312" w:eastAsia="仿宋_GB2312" w:cs="仿宋_GB2312"/>
          <w:color w:val="333333"/>
          <w:sz w:val="32"/>
          <w:szCs w:val="32"/>
          <w:lang w:eastAsia="zh-CN"/>
        </w:rPr>
        <w:t>。</w:t>
      </w:r>
    </w:p>
    <w:p w14:paraId="4B150D15">
      <w:pPr>
        <w:keepNext w:val="0"/>
        <w:keepLines w:val="0"/>
        <w:pageBreakBefore w:val="0"/>
        <w:numPr>
          <w:ilvl w:val="0"/>
          <w:numId w:val="1"/>
        </w:numPr>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机构职能。</w:t>
      </w:r>
    </w:p>
    <w:p w14:paraId="06303D2B">
      <w:pPr>
        <w:keepNext w:val="0"/>
        <w:keepLines w:val="0"/>
        <w:pageBreakBefore w:val="0"/>
        <w:numPr>
          <w:numId w:val="0"/>
        </w:numPr>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_GB2312" w:eastAsia="仿宋_GB2312" w:cs="仿宋_GB2312"/>
          <w:kern w:val="0"/>
          <w:sz w:val="32"/>
          <w:szCs w:val="32"/>
        </w:rPr>
        <w:t>根据有关文件规定，主要职责是：</w:t>
      </w:r>
      <w:r>
        <w:rPr>
          <w:rFonts w:hint="eastAsia" w:ascii="仿宋_GB2312" w:hAnsi="仿宋_GB2312" w:eastAsia="仿宋_GB2312" w:cs="仿宋_GB2312"/>
          <w:sz w:val="32"/>
          <w:szCs w:val="32"/>
        </w:rPr>
        <w:t>一是贯彻执行国家和省、州、县有关防震减灾工作方针、政策、法律、规范和标准；组织起草黑水县防震减灾发展规划，编制黑水县防震减灾工作年度计划并组织实施。二是负责黑水县地震台站的管理和地震监测设施及观测环境保护工作。三是负责地震监测预报和地震震情速报工作。 四是负责地震灾情速报，地震现场考察，地震灾害损失评估工作，参与制定地震灾区重建规划。五是负责地震应急工作的管理，制定黑水县破坏性地震应急预案，落实应急措施，开展震后各项应急工作。 六是负责重大建设工程和可能产生次生灾害工程的地震安全性评价管理工作；负责黑水县抗震设防要求管理，指导农村房屋抗震设防。七是负责开展防震减灾科普知识宣传教育工作，提高全民防震减灾意识。八是负责黑水县群测群防“三网一员”建设的管理、指导。 九是负责黑水县人民政府防震减灾工作领导小组办公室日常工作，发生破坏性地震后履行政府抗震救灾指挥机构办事部门职责。十是负责承办县委、县人民政府和上级业务主管部门交办事项。</w:t>
      </w:r>
    </w:p>
    <w:p w14:paraId="49CEA84A">
      <w:pPr>
        <w:keepNext w:val="0"/>
        <w:keepLines w:val="0"/>
        <w:pageBreakBefore w:val="0"/>
        <w:numPr>
          <w:ilvl w:val="0"/>
          <w:numId w:val="1"/>
        </w:numPr>
        <w:kinsoku/>
        <w:wordWrap/>
        <w:overflowPunct/>
        <w:topLinePunct w:val="0"/>
        <w:autoSpaceDE/>
        <w:autoSpaceDN/>
        <w:bidi w:val="0"/>
        <w:spacing w:line="560" w:lineRule="exact"/>
        <w:ind w:left="0" w:leftChars="0"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人员概况。</w:t>
      </w:r>
    </w:p>
    <w:p w14:paraId="11FCBCF8">
      <w:pPr>
        <w:keepNext w:val="0"/>
        <w:keepLines w:val="0"/>
        <w:pageBreakBefore w:val="0"/>
        <w:numPr>
          <w:numId w:val="0"/>
        </w:numPr>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_GB2312" w:eastAsia="仿宋_GB2312" w:cs="仿宋_GB2312"/>
          <w:color w:val="333333"/>
          <w:sz w:val="32"/>
          <w:szCs w:val="32"/>
        </w:rPr>
        <w:t>单位总编制8人，其中：参公编制7人，工勤编制1人。</w:t>
      </w:r>
      <w:r>
        <w:rPr>
          <w:rFonts w:hint="eastAsia" w:ascii="仿宋_GB2312" w:hAnsi="仿宋_GB2312" w:eastAsia="仿宋_GB2312" w:cs="仿宋_GB2312"/>
          <w:sz w:val="32"/>
          <w:szCs w:val="32"/>
        </w:rPr>
        <w:t xml:space="preserve"> 在职人员总数</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人（其中：参公人员</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人、工勤人员1人），退休人员</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w:t>
      </w:r>
    </w:p>
    <w:p w14:paraId="2E898F9A">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二、部门财政资金收支情况</w:t>
      </w:r>
    </w:p>
    <w:p w14:paraId="0EA6EBAB">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jc w:val="left"/>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（一）部门财政资金收入情况。</w:t>
      </w:r>
    </w:p>
    <w:p w14:paraId="2C3646AB">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 w:eastAsia="仿宋_GB2312" w:cs="仿宋_GB2312"/>
          <w:sz w:val="32"/>
          <w:szCs w:val="32"/>
        </w:rPr>
      </w:pPr>
      <w:r>
        <w:rPr>
          <w:rFonts w:hint="eastAsia" w:ascii="仿宋_GB2312" w:hAnsi="仿宋_GB2312" w:eastAsia="仿宋_GB2312" w:cs="仿宋_GB2312"/>
          <w:color w:val="000000"/>
          <w:kern w:val="0"/>
          <w:sz w:val="32"/>
          <w:szCs w:val="32"/>
          <w:shd w:val="clear" w:color="auto" w:fill="FFFFFF"/>
        </w:rPr>
        <w:t>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年预算总收入</w:t>
      </w:r>
      <w:r>
        <w:rPr>
          <w:rFonts w:hint="eastAsia" w:ascii="仿宋_GB2312" w:hAnsi="仿宋_GB2312" w:eastAsia="仿宋_GB2312" w:cs="仿宋_GB2312"/>
          <w:color w:val="000000"/>
          <w:kern w:val="0"/>
          <w:sz w:val="32"/>
          <w:szCs w:val="32"/>
          <w:shd w:val="clear" w:color="auto" w:fill="FFFFFF"/>
          <w:lang w:val="en-US" w:eastAsia="zh-CN"/>
        </w:rPr>
        <w:t>253.43</w:t>
      </w:r>
      <w:r>
        <w:rPr>
          <w:rFonts w:hint="eastAsia" w:ascii="仿宋_GB2312" w:hAnsi="仿宋_GB2312" w:eastAsia="仿宋_GB2312" w:cs="仿宋_GB2312"/>
          <w:color w:val="000000"/>
          <w:kern w:val="0"/>
          <w:sz w:val="32"/>
          <w:szCs w:val="32"/>
          <w:shd w:val="clear" w:color="auto" w:fill="FFFFFF"/>
        </w:rPr>
        <w:t>万元，其中：财政拨款收入</w:t>
      </w:r>
      <w:r>
        <w:rPr>
          <w:rFonts w:hint="eastAsia" w:ascii="仿宋_GB2312" w:hAnsi="仿宋_GB2312" w:eastAsia="仿宋_GB2312" w:cs="仿宋_GB2312"/>
          <w:color w:val="000000"/>
          <w:kern w:val="0"/>
          <w:sz w:val="32"/>
          <w:szCs w:val="32"/>
          <w:shd w:val="clear" w:color="auto" w:fill="FFFFFF"/>
          <w:lang w:val="en-US" w:eastAsia="zh-CN"/>
        </w:rPr>
        <w:t>253.43</w:t>
      </w:r>
      <w:r>
        <w:rPr>
          <w:rFonts w:hint="eastAsia" w:ascii="仿宋_GB2312" w:hAnsi="仿宋_GB2312" w:eastAsia="仿宋_GB2312" w:cs="仿宋_GB2312"/>
          <w:color w:val="000000"/>
          <w:kern w:val="0"/>
          <w:sz w:val="32"/>
          <w:szCs w:val="32"/>
          <w:shd w:val="clear" w:color="auto" w:fill="FFFFFF"/>
        </w:rPr>
        <w:t>万元，占总收入100%。</w:t>
      </w:r>
    </w:p>
    <w:p w14:paraId="20828A72">
      <w:pPr>
        <w:numPr>
          <w:ilvl w:val="0"/>
          <w:numId w:val="2"/>
        </w:num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部门财政资金支出情况。</w:t>
      </w:r>
    </w:p>
    <w:p w14:paraId="732BE2E8">
      <w:pPr>
        <w:numPr>
          <w:numId w:val="0"/>
        </w:numPr>
        <w:spacing w:line="580" w:lineRule="exact"/>
        <w:ind w:firstLine="960" w:firstLineChars="300"/>
        <w:rPr>
          <w:rFonts w:ascii="仿宋_GB2312" w:hAnsi="仿宋"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年度部门财政资金总支出</w:t>
      </w:r>
      <w:r>
        <w:rPr>
          <w:rFonts w:hint="eastAsia" w:ascii="仿宋_GB2312" w:hAnsi="仿宋_GB2312" w:eastAsia="仿宋_GB2312" w:cs="仿宋_GB2312"/>
          <w:sz w:val="32"/>
          <w:szCs w:val="32"/>
          <w:lang w:val="en-US" w:eastAsia="zh-CN"/>
        </w:rPr>
        <w:t>253.43</w:t>
      </w:r>
      <w:r>
        <w:rPr>
          <w:rFonts w:hint="eastAsia" w:ascii="仿宋_GB2312" w:hAnsi="仿宋_GB2312" w:eastAsia="仿宋_GB2312" w:cs="仿宋_GB2312"/>
          <w:sz w:val="32"/>
          <w:szCs w:val="32"/>
        </w:rPr>
        <w:t>万元。其中：基本支出中人员经费支出为</w:t>
      </w:r>
      <w:r>
        <w:rPr>
          <w:rFonts w:hint="eastAsia" w:ascii="仿宋_GB2312" w:hAnsi="仿宋_GB2312" w:eastAsia="仿宋_GB2312" w:cs="仿宋_GB2312"/>
          <w:sz w:val="32"/>
          <w:szCs w:val="32"/>
          <w:lang w:val="en-US" w:eastAsia="zh-CN"/>
        </w:rPr>
        <w:t>216.99</w:t>
      </w:r>
      <w:r>
        <w:rPr>
          <w:rFonts w:hint="eastAsia" w:ascii="仿宋_GB2312" w:hAnsi="仿宋_GB2312" w:eastAsia="仿宋_GB2312" w:cs="仿宋_GB2312"/>
          <w:sz w:val="32"/>
          <w:szCs w:val="32"/>
        </w:rPr>
        <w:t>万元，公用经费支出为</w:t>
      </w:r>
      <w:r>
        <w:rPr>
          <w:rFonts w:hint="eastAsia" w:ascii="仿宋_GB2312" w:hAnsi="仿宋_GB2312" w:eastAsia="仿宋_GB2312" w:cs="仿宋_GB2312"/>
          <w:sz w:val="32"/>
          <w:szCs w:val="32"/>
          <w:lang w:val="en-US" w:eastAsia="zh-CN"/>
        </w:rPr>
        <w:t>21.16</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15.29万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14:paraId="25F09B6E">
      <w:pPr>
        <w:numPr>
          <w:ilvl w:val="0"/>
          <w:numId w:val="3"/>
        </w:num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部门整体预算绩效管理情况</w:t>
      </w:r>
    </w:p>
    <w:p w14:paraId="703E53AB">
      <w:pPr>
        <w:numPr>
          <w:numId w:val="0"/>
        </w:num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（一）部门预算管理。</w:t>
      </w:r>
    </w:p>
    <w:p w14:paraId="47F3F219">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年，部门预算收入总额</w:t>
      </w:r>
      <w:r>
        <w:rPr>
          <w:rFonts w:hint="eastAsia" w:ascii="仿宋_GB2312" w:hAnsi="仿宋_GB2312" w:eastAsia="仿宋_GB2312" w:cs="仿宋_GB2312"/>
          <w:sz w:val="32"/>
          <w:szCs w:val="32"/>
          <w:lang w:val="en-US" w:eastAsia="zh-CN"/>
        </w:rPr>
        <w:t>253.43</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val="en-US" w:eastAsia="zh-CN"/>
        </w:rPr>
        <w:t>441.15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187.72</w:t>
      </w:r>
      <w:r>
        <w:rPr>
          <w:rFonts w:hint="eastAsia" w:ascii="仿宋_GB2312" w:hAnsi="仿宋_GB2312" w:eastAsia="仿宋_GB2312" w:cs="仿宋_GB2312"/>
          <w:sz w:val="32"/>
          <w:szCs w:val="32"/>
        </w:rPr>
        <w:t>万元；部门支出预算总额</w:t>
      </w:r>
      <w:r>
        <w:rPr>
          <w:rFonts w:hint="eastAsia" w:ascii="仿宋_GB2312" w:hAnsi="仿宋_GB2312" w:eastAsia="仿宋_GB2312" w:cs="仿宋_GB2312"/>
          <w:sz w:val="32"/>
          <w:szCs w:val="32"/>
          <w:lang w:val="en-US" w:eastAsia="zh-CN"/>
        </w:rPr>
        <w:t>253.43</w:t>
      </w:r>
      <w:r>
        <w:rPr>
          <w:rFonts w:hint="eastAsia" w:ascii="仿宋_GB2312" w:hAnsi="仿宋_GB2312" w:eastAsia="仿宋_GB2312" w:cs="仿宋_GB2312"/>
          <w:sz w:val="32"/>
          <w:szCs w:val="32"/>
        </w:rPr>
        <w:t>万元，较上年</w:t>
      </w:r>
      <w:r>
        <w:rPr>
          <w:rFonts w:hint="eastAsia" w:ascii="仿宋_GB2312" w:hAnsi="仿宋_GB2312" w:eastAsia="仿宋_GB2312" w:cs="仿宋_GB2312"/>
          <w:sz w:val="32"/>
          <w:szCs w:val="32"/>
          <w:lang w:val="en-US" w:eastAsia="zh-CN"/>
        </w:rPr>
        <w:t>441.15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187.72</w:t>
      </w:r>
      <w:r>
        <w:rPr>
          <w:rFonts w:hint="eastAsia" w:ascii="仿宋_GB2312" w:hAnsi="仿宋_GB2312" w:eastAsia="仿宋_GB2312" w:cs="仿宋_GB2312"/>
          <w:sz w:val="32"/>
          <w:szCs w:val="32"/>
        </w:rPr>
        <w:t>万元。</w:t>
      </w:r>
    </w:p>
    <w:p w14:paraId="32EEF70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lang w:val="zh-CN"/>
        </w:rPr>
        <w:t>我</w:t>
      </w:r>
      <w:r>
        <w:rPr>
          <w:rFonts w:hint="eastAsia" w:ascii="仿宋_GB2312" w:hAnsi="仿宋_GB2312" w:eastAsia="仿宋_GB2312" w:cs="仿宋_GB2312"/>
          <w:color w:val="000000"/>
          <w:kern w:val="0"/>
          <w:sz w:val="32"/>
          <w:szCs w:val="32"/>
          <w:shd w:val="clear" w:color="auto" w:fill="FFFFFF"/>
          <w:lang w:val="zh-CN" w:eastAsia="zh-CN"/>
        </w:rPr>
        <w:t>中心</w:t>
      </w:r>
      <w:r>
        <w:rPr>
          <w:rFonts w:hint="eastAsia" w:ascii="仿宋_GB2312" w:hAnsi="仿宋_GB2312" w:eastAsia="仿宋_GB2312" w:cs="仿宋_GB2312"/>
          <w:color w:val="000000"/>
          <w:kern w:val="0"/>
          <w:sz w:val="32"/>
          <w:szCs w:val="32"/>
          <w:shd w:val="clear" w:color="auto" w:fill="FFFFFF"/>
          <w:lang w:val="zh-CN"/>
        </w:rPr>
        <w:t>严格按照</w:t>
      </w:r>
      <w:r>
        <w:rPr>
          <w:rFonts w:hint="eastAsia" w:ascii="仿宋_GB2312" w:hAnsi="仿宋_GB2312" w:eastAsia="仿宋_GB2312" w:cs="仿宋_GB2312"/>
          <w:color w:val="000000"/>
          <w:kern w:val="0"/>
          <w:sz w:val="32"/>
          <w:szCs w:val="32"/>
          <w:shd w:val="clear" w:color="auto" w:fill="FFFFFF"/>
        </w:rPr>
        <w:t>县财政局“人员经费按标准，公用经费按定额”的预算原则，编制202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年本级部门决算</w:t>
      </w:r>
      <w:r>
        <w:rPr>
          <w:rFonts w:hint="eastAsia" w:ascii="仿宋_GB2312" w:hAnsi="仿宋_GB2312" w:eastAsia="仿宋_GB2312" w:cs="仿宋_GB2312"/>
          <w:color w:val="000000"/>
          <w:kern w:val="0"/>
          <w:sz w:val="32"/>
          <w:szCs w:val="32"/>
          <w:shd w:val="clear" w:color="auto" w:fill="FFFFFF"/>
          <w:lang w:val="en-US" w:eastAsia="zh-CN"/>
        </w:rPr>
        <w:t>253.43</w:t>
      </w:r>
      <w:r>
        <w:rPr>
          <w:rFonts w:hint="eastAsia" w:ascii="仿宋_GB2312" w:hAnsi="仿宋_GB2312" w:eastAsia="仿宋_GB2312" w:cs="仿宋_GB2312"/>
          <w:color w:val="000000"/>
          <w:kern w:val="0"/>
          <w:sz w:val="32"/>
          <w:szCs w:val="32"/>
          <w:shd w:val="clear" w:color="auto" w:fill="FFFFFF"/>
        </w:rPr>
        <w:t>万元。根据县财政局关于做好20</w:t>
      </w:r>
      <w:r>
        <w:rPr>
          <w:rFonts w:hint="eastAsia" w:ascii="仿宋_GB2312" w:hAnsi="仿宋_GB2312" w:eastAsia="仿宋_GB2312" w:cs="仿宋_GB2312"/>
          <w:color w:val="000000"/>
          <w:kern w:val="0"/>
          <w:sz w:val="32"/>
          <w:szCs w:val="32"/>
          <w:shd w:val="clear" w:color="auto" w:fill="FFFFFF"/>
          <w:lang w:val="en-US" w:eastAsia="zh-CN"/>
        </w:rPr>
        <w:t>25</w:t>
      </w:r>
      <w:r>
        <w:rPr>
          <w:rFonts w:hint="eastAsia" w:ascii="仿宋_GB2312" w:hAnsi="仿宋_GB2312" w:eastAsia="仿宋_GB2312" w:cs="仿宋_GB2312"/>
          <w:color w:val="000000"/>
          <w:kern w:val="0"/>
          <w:sz w:val="32"/>
          <w:szCs w:val="32"/>
          <w:shd w:val="clear" w:color="auto" w:fill="FFFFFF"/>
        </w:rPr>
        <w:t>年财务工作预算的通知要求，客观真实编制了202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年部门预算，202</w:t>
      </w:r>
      <w:r>
        <w:rPr>
          <w:rFonts w:hint="eastAsia" w:ascii="仿宋_GB2312" w:hAnsi="仿宋_GB2312" w:eastAsia="仿宋_GB2312" w:cs="仿宋_GB2312"/>
          <w:color w:val="000000"/>
          <w:kern w:val="0"/>
          <w:sz w:val="32"/>
          <w:szCs w:val="32"/>
          <w:shd w:val="clear" w:color="auto" w:fill="FFFFFF"/>
          <w:lang w:val="en-US" w:eastAsia="zh-CN"/>
        </w:rPr>
        <w:t>5</w:t>
      </w:r>
      <w:r>
        <w:rPr>
          <w:rFonts w:hint="eastAsia" w:ascii="仿宋_GB2312" w:hAnsi="仿宋_GB2312" w:eastAsia="仿宋_GB2312" w:cs="仿宋_GB2312"/>
          <w:color w:val="000000"/>
          <w:kern w:val="0"/>
          <w:sz w:val="32"/>
          <w:szCs w:val="32"/>
          <w:shd w:val="clear" w:color="auto" w:fill="FFFFFF"/>
        </w:rPr>
        <w:t>年财政资金总支出为</w:t>
      </w:r>
      <w:r>
        <w:rPr>
          <w:rFonts w:hint="eastAsia" w:ascii="仿宋_GB2312" w:hAnsi="仿宋_GB2312" w:eastAsia="仿宋_GB2312" w:cs="仿宋_GB2312"/>
          <w:color w:val="000000"/>
          <w:kern w:val="0"/>
          <w:sz w:val="32"/>
          <w:szCs w:val="32"/>
          <w:shd w:val="clear" w:color="auto" w:fill="FFFFFF"/>
          <w:lang w:val="en-US" w:eastAsia="zh-CN"/>
        </w:rPr>
        <w:t>253.43</w:t>
      </w:r>
      <w:r>
        <w:rPr>
          <w:rFonts w:hint="eastAsia" w:ascii="仿宋_GB2312" w:hAnsi="仿宋_GB2312" w:eastAsia="仿宋_GB2312" w:cs="仿宋_GB2312"/>
          <w:color w:val="000000"/>
          <w:kern w:val="0"/>
          <w:sz w:val="32"/>
          <w:szCs w:val="32"/>
          <w:shd w:val="clear" w:color="auto" w:fill="FFFFFF"/>
        </w:rPr>
        <w:t>万元（其中基本支出</w:t>
      </w:r>
      <w:r>
        <w:rPr>
          <w:rFonts w:hint="eastAsia" w:ascii="仿宋_GB2312" w:hAnsi="仿宋_GB2312" w:eastAsia="仿宋_GB2312" w:cs="仿宋_GB2312"/>
          <w:color w:val="000000"/>
          <w:kern w:val="0"/>
          <w:sz w:val="32"/>
          <w:szCs w:val="32"/>
          <w:shd w:val="clear" w:color="auto" w:fill="FFFFFF"/>
          <w:lang w:val="en-US" w:eastAsia="zh-CN"/>
        </w:rPr>
        <w:t>238.15</w:t>
      </w:r>
      <w:r>
        <w:rPr>
          <w:rFonts w:hint="eastAsia" w:ascii="仿宋_GB2312" w:hAnsi="仿宋_GB2312" w:eastAsia="仿宋_GB2312" w:cs="仿宋_GB2312"/>
          <w:color w:val="000000"/>
          <w:kern w:val="0"/>
          <w:sz w:val="32"/>
          <w:szCs w:val="32"/>
          <w:shd w:val="clear" w:color="auto" w:fill="FFFFFF"/>
        </w:rPr>
        <w:t>万元、项目支出</w:t>
      </w:r>
      <w:r>
        <w:rPr>
          <w:rFonts w:hint="eastAsia" w:ascii="仿宋_GB2312" w:hAnsi="仿宋_GB2312" w:eastAsia="仿宋_GB2312" w:cs="仿宋_GB2312"/>
          <w:color w:val="000000"/>
          <w:kern w:val="0"/>
          <w:sz w:val="32"/>
          <w:szCs w:val="32"/>
          <w:shd w:val="clear" w:color="auto" w:fill="FFFFFF"/>
          <w:lang w:val="en-US" w:eastAsia="zh-CN"/>
        </w:rPr>
        <w:t>15.29</w:t>
      </w:r>
      <w:r>
        <w:rPr>
          <w:rFonts w:hint="eastAsia" w:ascii="仿宋_GB2312" w:hAnsi="仿宋_GB2312" w:eastAsia="仿宋_GB2312" w:cs="仿宋_GB2312"/>
          <w:color w:val="000000"/>
          <w:kern w:val="0"/>
          <w:sz w:val="32"/>
          <w:szCs w:val="32"/>
          <w:shd w:val="clear" w:color="auto" w:fill="FFFFFF"/>
        </w:rPr>
        <w:t>万元）。预算编制是预算体制最基本的环节,是预算管理体制改革的核心。预算编制秉承实事求是的原则，对我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财政支出做出合理规划，对财政管理体制的完善、活动范围的合理界定、监督和约束都具有重要作用。</w:t>
      </w:r>
    </w:p>
    <w:p w14:paraId="21ABF63B">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（二）专项预算管理。</w:t>
      </w:r>
    </w:p>
    <w:p w14:paraId="7FBAF9BD">
      <w:pPr>
        <w:keepNext w:val="0"/>
        <w:keepLines w:val="0"/>
        <w:pageBreakBefore w:val="0"/>
        <w:kinsoku/>
        <w:wordWrap/>
        <w:overflowPunct/>
        <w:topLinePunct w:val="0"/>
        <w:autoSpaceDE/>
        <w:autoSpaceDN/>
        <w:bidi w:val="0"/>
        <w:snapToGrid w:val="0"/>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当年预算支出完成率＝</w:t>
      </w:r>
      <w:r>
        <w:rPr>
          <w:rFonts w:hint="eastAsia" w:ascii="仿宋_GB2312" w:hAnsi="仿宋_GB2312" w:eastAsia="仿宋_GB2312" w:cs="仿宋_GB2312"/>
          <w:sz w:val="32"/>
          <w:szCs w:val="32"/>
          <w:lang w:val="en-US" w:eastAsia="zh-CN"/>
        </w:rPr>
        <w:t>253.43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253.43</w:t>
      </w:r>
      <w:r>
        <w:rPr>
          <w:rFonts w:hint="eastAsia" w:ascii="仿宋_GB2312" w:hAnsi="仿宋_GB2312" w:eastAsia="仿宋_GB2312" w:cs="仿宋_GB2312"/>
          <w:sz w:val="32"/>
          <w:szCs w:val="32"/>
        </w:rPr>
        <w:t>）×100%＝100%</w:t>
      </w:r>
    </w:p>
    <w:p w14:paraId="007D4B1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000000"/>
          <w:kern w:val="0"/>
          <w:sz w:val="32"/>
          <w:szCs w:val="32"/>
          <w:shd w:val="clear" w:color="auto" w:fill="FFFFFF"/>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年总支出</w:t>
      </w:r>
      <w:r>
        <w:rPr>
          <w:rFonts w:hint="eastAsia" w:ascii="仿宋_GB2312" w:hAnsi="仿宋_GB2312" w:eastAsia="仿宋_GB2312" w:cs="仿宋_GB2312"/>
          <w:sz w:val="32"/>
          <w:szCs w:val="32"/>
          <w:lang w:val="en-US" w:eastAsia="zh-CN"/>
        </w:rPr>
        <w:t>253.43</w:t>
      </w:r>
      <w:r>
        <w:rPr>
          <w:rFonts w:hint="eastAsia" w:ascii="仿宋_GB2312" w:hAnsi="仿宋_GB2312" w:eastAsia="仿宋_GB2312" w:cs="仿宋_GB2312"/>
          <w:sz w:val="32"/>
          <w:szCs w:val="32"/>
        </w:rPr>
        <w:t>万元（基本支出</w:t>
      </w:r>
      <w:r>
        <w:rPr>
          <w:rFonts w:hint="eastAsia" w:ascii="仿宋_GB2312" w:hAnsi="仿宋_GB2312" w:eastAsia="仿宋_GB2312" w:cs="仿宋_GB2312"/>
          <w:sz w:val="32"/>
          <w:szCs w:val="32"/>
          <w:lang w:val="en-US" w:eastAsia="zh-CN"/>
        </w:rPr>
        <w:t>238.15</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15.29</w:t>
      </w:r>
      <w:r>
        <w:rPr>
          <w:rFonts w:hint="eastAsia" w:ascii="仿宋_GB2312" w:hAnsi="仿宋_GB2312" w:eastAsia="仿宋_GB2312" w:cs="仿宋_GB2312"/>
          <w:sz w:val="32"/>
          <w:szCs w:val="32"/>
        </w:rPr>
        <w:t>万元）。其中：</w:t>
      </w:r>
      <w:r>
        <w:rPr>
          <w:rFonts w:hint="eastAsia" w:ascii="仿宋_GB2312" w:hAnsi="仿宋_GB2312" w:eastAsia="仿宋_GB2312" w:cs="仿宋_GB2312"/>
          <w:sz w:val="32"/>
          <w:szCs w:val="32"/>
          <w:lang w:eastAsia="zh-CN"/>
        </w:rPr>
        <w:t>社会保障和就业支出</w:t>
      </w:r>
      <w:r>
        <w:rPr>
          <w:rFonts w:hint="eastAsia" w:ascii="仿宋_GB2312" w:hAnsi="仿宋_GB2312" w:eastAsia="仿宋_GB2312" w:cs="仿宋_GB2312"/>
          <w:sz w:val="32"/>
          <w:szCs w:val="32"/>
          <w:lang w:val="en-US" w:eastAsia="zh-CN"/>
        </w:rPr>
        <w:t>31.39</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卫生健康</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12.34</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住房保障</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16.61</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，灾害防治及应急管理</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193.09</w:t>
      </w:r>
      <w:r>
        <w:rPr>
          <w:rFonts w:hint="eastAsia" w:ascii="仿宋_GB2312" w:hAnsi="仿宋_GB2312" w:eastAsia="仿宋_GB2312" w:cs="仿宋_GB2312"/>
          <w:sz w:val="32"/>
          <w:szCs w:val="32"/>
        </w:rPr>
        <w:t>万元，占总支出</w:t>
      </w:r>
      <w:r>
        <w:rPr>
          <w:rFonts w:hint="eastAsia" w:ascii="仿宋_GB2312" w:hAnsi="仿宋_GB2312" w:eastAsia="仿宋_GB2312" w:cs="仿宋_GB2312"/>
          <w:sz w:val="32"/>
          <w:szCs w:val="32"/>
          <w:lang w:val="en-US" w:eastAsia="zh-CN"/>
        </w:rPr>
        <w:t>76</w:t>
      </w:r>
      <w:r>
        <w:rPr>
          <w:rFonts w:hint="eastAsia" w:ascii="仿宋_GB2312" w:hAnsi="仿宋_GB2312" w:eastAsia="仿宋_GB2312" w:cs="仿宋_GB2312"/>
          <w:sz w:val="32"/>
          <w:szCs w:val="32"/>
        </w:rPr>
        <w:t>%。</w:t>
      </w:r>
    </w:p>
    <w:p w14:paraId="21530322">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严格遵守县财政局经费来源和分配、管理、使用原则。一是规范账户管理。单位允许设立一个银行账户。严禁公款私存、私设小金库和账外账，所有资金收支必须在一个银行账户中反映。二是严格遵守支出审批制度。按照“量力而行、量入为出”的原则，合理安排经费。各</w:t>
      </w:r>
      <w:r>
        <w:rPr>
          <w:rFonts w:hint="eastAsia" w:ascii="仿宋_GB2312" w:hAnsi="仿宋_GB2312" w:eastAsia="仿宋_GB2312" w:cs="仿宋_GB2312"/>
          <w:color w:val="000000"/>
          <w:kern w:val="0"/>
          <w:sz w:val="32"/>
          <w:szCs w:val="32"/>
          <w:shd w:val="clear" w:color="auto" w:fill="FFFFFF"/>
          <w:lang w:eastAsia="zh-CN"/>
        </w:rPr>
        <w:t>股</w:t>
      </w:r>
      <w:r>
        <w:rPr>
          <w:rFonts w:hint="eastAsia" w:ascii="仿宋_GB2312" w:hAnsi="仿宋_GB2312" w:eastAsia="仿宋_GB2312" w:cs="仿宋_GB2312"/>
          <w:color w:val="000000"/>
          <w:kern w:val="0"/>
          <w:sz w:val="32"/>
          <w:szCs w:val="32"/>
          <w:shd w:val="clear" w:color="auto" w:fill="FFFFFF"/>
        </w:rPr>
        <w:t>室安排工作涉及1000</w:t>
      </w:r>
      <w:r>
        <w:rPr>
          <w:rFonts w:hint="eastAsia" w:ascii="仿宋_GB2312" w:hAnsi="仿宋_GB2312" w:eastAsia="仿宋_GB2312" w:cs="仿宋_GB2312"/>
          <w:color w:val="000000"/>
          <w:kern w:val="0"/>
          <w:sz w:val="32"/>
          <w:szCs w:val="32"/>
          <w:shd w:val="clear" w:color="auto" w:fill="FFFFFF"/>
          <w:lang w:val="en-US" w:eastAsia="zh-CN"/>
        </w:rPr>
        <w:t>0</w:t>
      </w:r>
      <w:r>
        <w:rPr>
          <w:rFonts w:hint="eastAsia" w:ascii="仿宋_GB2312" w:hAnsi="仿宋_GB2312" w:eastAsia="仿宋_GB2312" w:cs="仿宋_GB2312"/>
          <w:color w:val="000000"/>
          <w:kern w:val="0"/>
          <w:sz w:val="32"/>
          <w:szCs w:val="32"/>
          <w:shd w:val="clear" w:color="auto" w:fill="FFFFFF"/>
        </w:rPr>
        <w:t>元以上支出的，需事先编制工作方案，经分管财务的领导审核后实施。所有票据由经办人、科室负责人签署意见，送财务室对票据的合法性、支出的真实性进行审核，报分管财务领导审核。单项支出金额无论大小，均由分管财务的领导审核后，报主要领导审批。公务支出一律使用公务卡支付。无划卡条件的，原则上采取银行转账方式支付。三是严格遵守财务内审和监督制度。我</w:t>
      </w:r>
      <w:r>
        <w:rPr>
          <w:rFonts w:hint="eastAsia" w:ascii="仿宋_GB2312" w:hAnsi="仿宋_GB2312" w:eastAsia="仿宋_GB2312" w:cs="仿宋_GB2312"/>
          <w:color w:val="000000"/>
          <w:kern w:val="0"/>
          <w:sz w:val="32"/>
          <w:szCs w:val="32"/>
          <w:shd w:val="clear" w:color="auto" w:fill="FFFFFF"/>
          <w:lang w:eastAsia="zh-CN"/>
        </w:rPr>
        <w:t>中心</w:t>
      </w:r>
      <w:r>
        <w:rPr>
          <w:rFonts w:hint="eastAsia" w:ascii="仿宋_GB2312" w:hAnsi="仿宋_GB2312" w:eastAsia="仿宋_GB2312" w:cs="仿宋_GB2312"/>
          <w:color w:val="000000"/>
          <w:kern w:val="0"/>
          <w:sz w:val="32"/>
          <w:szCs w:val="32"/>
          <w:shd w:val="clear" w:color="auto" w:fill="FFFFFF"/>
        </w:rPr>
        <w:t>历来高度重视内部财务管理，建立了内部财务管理制度。内部财务管理制度中包含了经费管理、经费审批、借款管理、现金及支票管理和财务管理五个方面。根据中央八项规定、省委十项规定、州委和县委相关规定，对“三公</w:t>
      </w:r>
      <w:r>
        <w:rPr>
          <w:rFonts w:hint="eastAsia" w:ascii="仿宋_GB2312" w:hAnsi="仿宋_GB2312" w:eastAsia="仿宋_GB2312" w:cs="仿宋_GB2312"/>
          <w:color w:val="000000"/>
          <w:kern w:val="0"/>
          <w:sz w:val="32"/>
          <w:szCs w:val="32"/>
          <w:shd w:val="clear" w:color="auto" w:fill="FFFFFF"/>
          <w:lang w:eastAsia="zh-CN"/>
        </w:rPr>
        <w:t>”</w:t>
      </w:r>
      <w:r>
        <w:rPr>
          <w:rFonts w:hint="eastAsia" w:ascii="仿宋_GB2312" w:hAnsi="仿宋_GB2312" w:eastAsia="仿宋_GB2312" w:cs="仿宋_GB2312"/>
          <w:color w:val="000000"/>
          <w:kern w:val="0"/>
          <w:sz w:val="32"/>
          <w:szCs w:val="32"/>
          <w:shd w:val="clear" w:color="auto" w:fill="FFFFFF"/>
        </w:rPr>
        <w:t>经费、会议费、公务卡强制</w:t>
      </w:r>
      <w:r>
        <w:rPr>
          <w:rFonts w:hint="eastAsia" w:ascii="仿宋_GB2312" w:hAnsi="仿宋_GB2312" w:eastAsia="仿宋_GB2312" w:cs="仿宋_GB2312"/>
          <w:color w:val="000000"/>
          <w:kern w:val="0"/>
          <w:sz w:val="32"/>
          <w:szCs w:val="32"/>
          <w:shd w:val="clear" w:color="auto" w:fill="FFFFFF"/>
          <w:lang w:val="en-US" w:eastAsia="zh-CN"/>
        </w:rPr>
        <w:t>结</w:t>
      </w:r>
      <w:r>
        <w:rPr>
          <w:rFonts w:hint="eastAsia" w:ascii="仿宋_GB2312" w:hAnsi="仿宋_GB2312" w:eastAsia="仿宋_GB2312" w:cs="仿宋_GB2312"/>
          <w:color w:val="000000"/>
          <w:kern w:val="0"/>
          <w:sz w:val="32"/>
          <w:szCs w:val="32"/>
          <w:shd w:val="clear" w:color="auto" w:fill="FFFFFF"/>
        </w:rPr>
        <w:t>算目录制度等进行了完善，单位领导干部加强对财政预算资金的管理，机关干部、职工都严格遵守财经纪律，严格按照财务管理制度照章办事，没有发生违反财经纪律、违反财务管理制度的情况。党支部每季度听取一次单位财务工作汇报，了解掌握财务收支情况；单位的财务收支情况每年向党支部和职工大会公布，接受党支部和干部职工的监督。同时，在开支控制、办公用品采购、大宗印刷管理、车辆租赁等方面严格执行相关制度。</w:t>
      </w:r>
    </w:p>
    <w:p w14:paraId="4C91BBB1">
      <w:pPr>
        <w:spacing w:line="58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（三）结果应用情况。</w:t>
      </w:r>
    </w:p>
    <w:p w14:paraId="54C54CB9">
      <w:pPr>
        <w:keepNext w:val="0"/>
        <w:keepLines w:val="0"/>
        <w:pageBreakBefore w:val="0"/>
        <w:kinsoku/>
        <w:wordWrap/>
        <w:overflowPunct/>
        <w:topLinePunct w:val="0"/>
        <w:autoSpaceDE/>
        <w:autoSpaceDN/>
        <w:bidi w:val="0"/>
        <w:spacing w:line="560" w:lineRule="exact"/>
        <w:ind w:firstLine="600"/>
        <w:textAlignment w:val="auto"/>
        <w:rPr>
          <w:rFonts w:ascii="仿宋_GB2312" w:hAnsi="仿宋_GB2312" w:eastAsia="仿宋_GB2312" w:cs="仿宋_GB2312"/>
          <w:b/>
          <w:bCs/>
          <w:sz w:val="32"/>
          <w:szCs w:val="32"/>
          <w:lang w:val="zh-CN"/>
        </w:rPr>
      </w:pPr>
      <w:r>
        <w:rPr>
          <w:rFonts w:hint="eastAsia" w:ascii="仿宋_GB2312" w:hAnsi="仿宋_GB2312" w:eastAsia="仿宋_GB2312" w:cs="仿宋_GB2312"/>
          <w:sz w:val="32"/>
          <w:szCs w:val="32"/>
        </w:rPr>
        <w:t>我单位依据财政编审要求,在年度终了后,结合本单位当年全部预算收入、财政拨款收入及支出等,对全口径的资金收入、支出和预算管理、资产管理等工作进行的全面总结。通过编制部门决算报表,对本单位全年的资金管理、单位履行机构职能和受托责任等进行系统的思考检查,分析预算执行中的得失,以推动单位加强内部管理,制定适应本单位的内控制度以促进发展。为编报一份高质量的部门决算报表,还应当从日常工作、前期准备、报表分析等方面做好全过程精细化的财务管理。</w:t>
      </w:r>
    </w:p>
    <w:p w14:paraId="075B913B">
      <w:pPr>
        <w:spacing w:line="58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四、评价结论及建议</w:t>
      </w:r>
    </w:p>
    <w:p w14:paraId="556F728A">
      <w:pPr>
        <w:keepNext w:val="0"/>
        <w:keepLines w:val="0"/>
        <w:pageBreakBefore w:val="0"/>
        <w:kinsoku/>
        <w:wordWrap/>
        <w:overflowPunct/>
        <w:topLinePunct w:val="0"/>
        <w:autoSpaceDE/>
        <w:autoSpaceDN/>
        <w:bidi w:val="0"/>
        <w:spacing w:line="56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（一）评价结论。</w:t>
      </w:r>
    </w:p>
    <w:p w14:paraId="3FB2A643">
      <w:pPr>
        <w:keepNext w:val="0"/>
        <w:keepLines w:val="0"/>
        <w:pageBreakBefore w:val="0"/>
        <w:kinsoku/>
        <w:wordWrap/>
        <w:overflowPunct/>
        <w:topLinePunct w:val="0"/>
        <w:autoSpaceDE/>
        <w:autoSpaceDN/>
        <w:bidi w:val="0"/>
        <w:spacing w:line="560" w:lineRule="exact"/>
        <w:ind w:firstLine="640" w:firstLineChars="200"/>
        <w:textAlignment w:val="auto"/>
        <w:rPr>
          <w:rFonts w:ascii="仿宋_GB2312" w:hAnsi="仿宋" w:eastAsia="仿宋_GB2312" w:cs="仿宋_GB2312"/>
          <w:sz w:val="32"/>
          <w:szCs w:val="32"/>
        </w:rPr>
      </w:pPr>
      <w:r>
        <w:rPr>
          <w:rFonts w:hint="eastAsia" w:ascii="仿宋_GB2312" w:hAnsi="仿宋_GB2312" w:eastAsia="仿宋_GB2312" w:cs="仿宋_GB2312"/>
          <w:sz w:val="32"/>
          <w:szCs w:val="32"/>
        </w:rPr>
        <w:t>从自评情况来看，我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部门支出绩效水平较高，整体上完成了年初设定的绩效目标，保障了我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工作的正常运转，促进了我</w:t>
      </w:r>
      <w:r>
        <w:rPr>
          <w:rFonts w:hint="eastAsia" w:ascii="仿宋_GB2312" w:hAnsi="仿宋_GB2312" w:eastAsia="仿宋_GB2312" w:cs="仿宋_GB2312"/>
          <w:sz w:val="32"/>
          <w:szCs w:val="32"/>
          <w:lang w:eastAsia="zh-CN"/>
        </w:rPr>
        <w:t>中心</w:t>
      </w:r>
      <w:r>
        <w:rPr>
          <w:rFonts w:hint="eastAsia" w:ascii="仿宋_GB2312" w:hAnsi="仿宋_GB2312" w:eastAsia="仿宋_GB2312" w:cs="仿宋_GB2312"/>
          <w:sz w:val="32"/>
          <w:szCs w:val="32"/>
        </w:rPr>
        <w:t>的事业发展，充分发挥了财政资金的经济效益和社会效益。</w:t>
      </w:r>
    </w:p>
    <w:p w14:paraId="5567CC35">
      <w:pPr>
        <w:numPr>
          <w:numId w:val="0"/>
        </w:numPr>
        <w:spacing w:line="580" w:lineRule="exact"/>
        <w:ind w:firstLine="643" w:firstLineChars="200"/>
        <w:rPr>
          <w:rFonts w:hint="eastAsia" w:ascii="楷体_GB2312" w:hAnsi="楷体_GB2312" w:eastAsia="楷体_GB2312" w:cs="楷体_GB2312"/>
          <w:b/>
          <w:bCs/>
          <w:sz w:val="32"/>
          <w:szCs w:val="32"/>
        </w:rPr>
      </w:pPr>
      <w:bookmarkStart w:id="1" w:name="_GoBack"/>
      <w:bookmarkEnd w:id="1"/>
      <w:r>
        <w:rPr>
          <w:rFonts w:hint="eastAsia" w:ascii="楷体_GB2312" w:hAnsi="楷体_GB2312" w:eastAsia="楷体_GB2312" w:cs="楷体_GB2312"/>
          <w:b/>
          <w:bCs/>
          <w:sz w:val="32"/>
          <w:szCs w:val="32"/>
          <w:lang w:eastAsia="zh-CN"/>
        </w:rPr>
        <w:t>（二）</w:t>
      </w:r>
      <w:r>
        <w:rPr>
          <w:rFonts w:hint="eastAsia" w:ascii="楷体_GB2312" w:hAnsi="楷体_GB2312" w:eastAsia="楷体_GB2312" w:cs="楷体_GB2312"/>
          <w:b/>
          <w:bCs/>
          <w:sz w:val="32"/>
          <w:szCs w:val="32"/>
        </w:rPr>
        <w:t>存在问题。</w:t>
      </w:r>
    </w:p>
    <w:p w14:paraId="16029D2E">
      <w:pPr>
        <w:numPr>
          <w:numId w:val="0"/>
        </w:numPr>
        <w:spacing w:line="580" w:lineRule="exact"/>
        <w:ind w:leftChars="200"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3A6AA7FE">
      <w:pPr>
        <w:numPr>
          <w:ilvl w:val="0"/>
          <w:numId w:val="2"/>
        </w:numPr>
        <w:spacing w:line="580" w:lineRule="exact"/>
        <w:ind w:left="0" w:leftChars="0"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改进建议。</w:t>
      </w:r>
    </w:p>
    <w:p w14:paraId="66C9FF6B">
      <w:pPr>
        <w:numPr>
          <w:numId w:val="0"/>
        </w:numPr>
        <w:spacing w:line="580" w:lineRule="exact"/>
        <w:ind w:leftChars="200" w:firstLine="640" w:firstLineChars="200"/>
        <w:rPr>
          <w:rFonts w:hint="eastAsia" w:ascii="仿宋_GB2312" w:hAnsi="仿宋" w:eastAsia="仿宋_GB2312" w:cs="仿宋_GB2312"/>
          <w:sz w:val="32"/>
          <w:szCs w:val="32"/>
          <w:lang w:eastAsia="zh-CN"/>
        </w:rPr>
      </w:pPr>
      <w:r>
        <w:rPr>
          <w:rFonts w:hint="eastAsia" w:ascii="仿宋_GB2312" w:hAnsi="仿宋" w:eastAsia="仿宋_GB2312" w:cs="仿宋_GB2312"/>
          <w:sz w:val="32"/>
          <w:szCs w:val="32"/>
          <w:lang w:eastAsia="zh-CN"/>
        </w:rPr>
        <w:t>无</w:t>
      </w:r>
    </w:p>
    <w:p w14:paraId="495A15A9">
      <w:pPr>
        <w:spacing w:line="580" w:lineRule="exact"/>
        <w:ind w:firstLine="640" w:firstLineChars="200"/>
        <w:rPr>
          <w:rFonts w:ascii="仿宋_GB2312" w:hAnsi="仿宋_GB2312" w:eastAsia="仿宋_GB2312" w:cs="仿宋_GB2312"/>
          <w:sz w:val="32"/>
          <w:szCs w:val="32"/>
        </w:rPr>
      </w:pPr>
    </w:p>
    <w:p w14:paraId="596E61D0">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9A8D8"/>
    <w:multiLevelType w:val="singleLevel"/>
    <w:tmpl w:val="AFD9A8D8"/>
    <w:lvl w:ilvl="0" w:tentative="0">
      <w:start w:val="2"/>
      <w:numFmt w:val="chineseCounting"/>
      <w:suff w:val="nothing"/>
      <w:lvlText w:val="（%1）"/>
      <w:lvlJc w:val="left"/>
      <w:rPr>
        <w:rFonts w:hint="eastAsia"/>
      </w:rPr>
    </w:lvl>
  </w:abstractNum>
  <w:abstractNum w:abstractNumId="1">
    <w:nsid w:val="FF3E7D19"/>
    <w:multiLevelType w:val="singleLevel"/>
    <w:tmpl w:val="FF3E7D19"/>
    <w:lvl w:ilvl="0" w:tentative="0">
      <w:start w:val="3"/>
      <w:numFmt w:val="chineseCounting"/>
      <w:suff w:val="nothing"/>
      <w:lvlText w:val="%1、"/>
      <w:lvlJc w:val="left"/>
      <w:rPr>
        <w:rFonts w:hint="eastAsia"/>
      </w:rPr>
    </w:lvl>
  </w:abstractNum>
  <w:abstractNum w:abstractNumId="2">
    <w:nsid w:val="FFDCDE9F"/>
    <w:multiLevelType w:val="singleLevel"/>
    <w:tmpl w:val="FFDCDE9F"/>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0A672B05"/>
    <w:rsid w:val="1FEEAC8E"/>
    <w:rsid w:val="2F9C44A9"/>
    <w:rsid w:val="34D8C8AE"/>
    <w:rsid w:val="34EB1F43"/>
    <w:rsid w:val="36435EC2"/>
    <w:rsid w:val="39336AA4"/>
    <w:rsid w:val="3E7DFD32"/>
    <w:rsid w:val="3EAB2ED2"/>
    <w:rsid w:val="43EB7E23"/>
    <w:rsid w:val="458FBF14"/>
    <w:rsid w:val="4DD97D2F"/>
    <w:rsid w:val="57FF5957"/>
    <w:rsid w:val="5BD690FD"/>
    <w:rsid w:val="5CFE145D"/>
    <w:rsid w:val="5DBC28CF"/>
    <w:rsid w:val="5F676654"/>
    <w:rsid w:val="60D032A5"/>
    <w:rsid w:val="65EF4244"/>
    <w:rsid w:val="69FF24BB"/>
    <w:rsid w:val="6A3D6955"/>
    <w:rsid w:val="6BF7E025"/>
    <w:rsid w:val="7079109E"/>
    <w:rsid w:val="73F72F79"/>
    <w:rsid w:val="76F373DE"/>
    <w:rsid w:val="76FDF62D"/>
    <w:rsid w:val="7BFF99F9"/>
    <w:rsid w:val="7DDF8F58"/>
    <w:rsid w:val="7E1FD13A"/>
    <w:rsid w:val="7F0FF0B6"/>
    <w:rsid w:val="7F9DC8BC"/>
    <w:rsid w:val="7FEB7441"/>
    <w:rsid w:val="7FFB889A"/>
    <w:rsid w:val="8BAFF5D8"/>
    <w:rsid w:val="9EFBA3A9"/>
    <w:rsid w:val="B38F8385"/>
    <w:rsid w:val="BBB92F36"/>
    <w:rsid w:val="BCFFFEEF"/>
    <w:rsid w:val="BF67E092"/>
    <w:rsid w:val="BFEF552D"/>
    <w:rsid w:val="BFF915FD"/>
    <w:rsid w:val="C9FFF6F9"/>
    <w:rsid w:val="DD2F2653"/>
    <w:rsid w:val="DDFC8C57"/>
    <w:rsid w:val="DF5E52E6"/>
    <w:rsid w:val="DF9B15D8"/>
    <w:rsid w:val="DFFE995E"/>
    <w:rsid w:val="DFFF6B0F"/>
    <w:rsid w:val="E7F46EF9"/>
    <w:rsid w:val="EDFFF002"/>
    <w:rsid w:val="EFCF7D73"/>
    <w:rsid w:val="F3FF5D42"/>
    <w:rsid w:val="F47FBCA6"/>
    <w:rsid w:val="F4FFCB7A"/>
    <w:rsid w:val="F5FE062E"/>
    <w:rsid w:val="F77602C1"/>
    <w:rsid w:val="FA1D98FB"/>
    <w:rsid w:val="FBA31FCC"/>
    <w:rsid w:val="FD9CC8A7"/>
    <w:rsid w:val="FD9EB80F"/>
    <w:rsid w:val="FDED1966"/>
    <w:rsid w:val="FDFF4063"/>
    <w:rsid w:val="FEFE66F5"/>
    <w:rsid w:val="FFDF3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header"/>
    <w:basedOn w:val="1"/>
    <w:link w:val="6"/>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3">
    <w:name w:val="footer"/>
    <w:basedOn w:val="1"/>
    <w:link w:val="7"/>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character" w:customStyle="1" w:styleId="6">
    <w:name w:val="页眉 Char"/>
    <w:basedOn w:val="5"/>
    <w:link w:val="2"/>
    <w:semiHidden/>
    <w:qFormat/>
    <w:uiPriority w:val="99"/>
    <w:rPr>
      <w:sz w:val="18"/>
      <w:szCs w:val="18"/>
    </w:rPr>
  </w:style>
  <w:style w:type="character" w:customStyle="1" w:styleId="7">
    <w:name w:val="页脚 Char"/>
    <w:basedOn w:val="5"/>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332</Words>
  <Characters>337</Characters>
  <Lines>2</Lines>
  <Paragraphs>1</Paragraphs>
  <TotalTime>1</TotalTime>
  <ScaleCrop>false</ScaleCrop>
  <LinksUpToDate>false</LinksUpToDate>
  <CharactersWithSpaces>337</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XIAO</cp:lastModifiedBy>
  <dcterms:modified xsi:type="dcterms:W3CDTF">2026-08-13T10:36:10Z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3115989309D741DA945EE44A488D69E1</vt:lpwstr>
  </property>
</Properties>
</file>