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BD800">
      <w:pPr>
        <w:keepNext w:val="0"/>
        <w:keepLines w:val="0"/>
        <w:pageBreakBefore w:val="0"/>
        <w:kinsoku/>
        <w:wordWrap/>
        <w:overflowPunct/>
        <w:topLinePunct w:val="0"/>
        <w:autoSpaceDE/>
        <w:autoSpaceDN/>
        <w:bidi w:val="0"/>
        <w:adjustRightInd/>
        <w:spacing w:line="560" w:lineRule="exact"/>
        <w:jc w:val="center"/>
        <w:rPr>
          <w:rFonts w:hint="eastAsia" w:asciiTheme="majorEastAsia" w:hAnsiTheme="majorEastAsia" w:eastAsiaTheme="majorEastAsia" w:cstheme="majorEastAsia"/>
          <w:b/>
          <w:bCs w:val="0"/>
          <w:sz w:val="44"/>
          <w:szCs w:val="44"/>
        </w:rPr>
      </w:pPr>
      <w:r>
        <w:rPr>
          <w:rFonts w:hint="eastAsia" w:asciiTheme="majorEastAsia" w:hAnsiTheme="majorEastAsia" w:eastAsiaTheme="majorEastAsia" w:cstheme="majorEastAsia"/>
          <w:b/>
          <w:bCs w:val="0"/>
          <w:sz w:val="44"/>
          <w:szCs w:val="44"/>
        </w:rPr>
        <w:t>20</w:t>
      </w:r>
      <w:r>
        <w:rPr>
          <w:rFonts w:hint="eastAsia" w:asciiTheme="majorEastAsia" w:hAnsiTheme="majorEastAsia" w:eastAsiaTheme="majorEastAsia" w:cstheme="majorEastAsia"/>
          <w:b/>
          <w:bCs w:val="0"/>
          <w:sz w:val="44"/>
          <w:szCs w:val="44"/>
          <w:lang w:val="en-US" w:eastAsia="zh-CN"/>
        </w:rPr>
        <w:t>25年黑水县</w:t>
      </w:r>
      <w:r>
        <w:rPr>
          <w:rFonts w:hint="eastAsia" w:asciiTheme="majorEastAsia" w:hAnsiTheme="majorEastAsia" w:eastAsiaTheme="majorEastAsia" w:cstheme="majorEastAsia"/>
          <w:b/>
          <w:bCs w:val="0"/>
          <w:color w:val="auto"/>
          <w:kern w:val="2"/>
          <w:sz w:val="44"/>
          <w:szCs w:val="44"/>
          <w:highlight w:val="none"/>
          <w:lang w:val="en-US" w:eastAsia="zh-CN" w:bidi="ar-SA"/>
        </w:rPr>
        <w:t>地球物理台站建设技术服务政府采购</w:t>
      </w:r>
      <w:r>
        <w:rPr>
          <w:rFonts w:hint="eastAsia" w:asciiTheme="majorEastAsia" w:hAnsiTheme="majorEastAsia" w:eastAsiaTheme="majorEastAsia" w:cstheme="majorEastAsia"/>
          <w:b/>
          <w:bCs w:val="0"/>
          <w:sz w:val="44"/>
          <w:szCs w:val="44"/>
        </w:rPr>
        <w:t>项目支出绩效评价报告</w:t>
      </w:r>
    </w:p>
    <w:p w14:paraId="7462CF40">
      <w:pPr>
        <w:keepNext w:val="0"/>
        <w:keepLines w:val="0"/>
        <w:pageBreakBefore w:val="0"/>
        <w:kinsoku/>
        <w:wordWrap/>
        <w:overflowPunct/>
        <w:topLinePunct w:val="0"/>
        <w:autoSpaceDE/>
        <w:autoSpaceDN/>
        <w:bidi w:val="0"/>
        <w:adjustRightInd/>
        <w:spacing w:line="560" w:lineRule="exact"/>
        <w:ind w:firstLine="883" w:firstLineChars="200"/>
        <w:rPr>
          <w:rFonts w:hint="eastAsia" w:asciiTheme="majorEastAsia" w:hAnsiTheme="majorEastAsia" w:eastAsiaTheme="majorEastAsia" w:cstheme="majorEastAsia"/>
          <w:b/>
          <w:bCs w:val="0"/>
          <w:sz w:val="44"/>
          <w:szCs w:val="44"/>
        </w:rPr>
      </w:pPr>
    </w:p>
    <w:p w14:paraId="6797D5A1">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一、评价工作开展及项目情况</w:t>
      </w:r>
    </w:p>
    <w:p w14:paraId="654A5547">
      <w:pPr>
        <w:keepNext w:val="0"/>
        <w:keepLines w:val="0"/>
        <w:pageBreakBefore w:val="0"/>
        <w:widowControl w:val="0"/>
        <w:kinsoku/>
        <w:wordWrap/>
        <w:overflowPunct/>
        <w:topLinePunct w:val="0"/>
        <w:autoSpaceDE/>
        <w:autoSpaceDN/>
        <w:bidi w:val="0"/>
        <w:adjustRightInd/>
        <w:spacing w:line="560" w:lineRule="exact"/>
        <w:ind w:firstLine="640"/>
        <w:textAlignment w:val="auto"/>
        <w:outlineLvl w:val="9"/>
        <w:rPr>
          <w:rFonts w:hint="eastAsia" w:ascii="仿宋_GB2312" w:hAnsi="仿宋" w:eastAsia="仿宋_GB2312" w:cs="仿宋_GB2312"/>
          <w:sz w:val="32"/>
          <w:szCs w:val="32"/>
        </w:rPr>
      </w:pPr>
      <w:r>
        <w:rPr>
          <w:rFonts w:hint="eastAsia" w:ascii="仿宋_GB2312" w:hAnsi="仿宋_GB2312" w:eastAsia="仿宋_GB2312" w:cs="仿宋_GB2312"/>
          <w:sz w:val="32"/>
          <w:szCs w:val="32"/>
        </w:rPr>
        <w:t>为加强黑水县地球物理场观测站点建设，提升区域地震监测预警能力，2024年阿坝州人民政府安排部署了黑水县地球物理台站建设工作任务。台站建设经费由州本级财政支持，黑水县防震减灾事务中心负责实施。</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sz w:val="32"/>
          <w:szCs w:val="32"/>
        </w:rPr>
        <w:t>按照绩效评价指标体系，对资金支出使用全过程</w:t>
      </w:r>
      <w:r>
        <w:rPr>
          <w:rFonts w:hint="eastAsia" w:ascii="仿宋_GB2312" w:hAnsi="仿宋_GB2312" w:eastAsia="仿宋_GB2312" w:cs="仿宋_GB2312"/>
          <w:sz w:val="32"/>
          <w:szCs w:val="32"/>
          <w:lang w:val="en-US" w:eastAsia="zh-CN"/>
        </w:rPr>
        <w:t>进行全程监督，严格按照合同进度支付工程款。</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zh-CN" w:eastAsia="zh-CN"/>
        </w:rPr>
        <w:t>项目</w:t>
      </w:r>
      <w:r>
        <w:rPr>
          <w:rFonts w:hint="eastAsia" w:ascii="仿宋_GB2312" w:hAnsi="仿宋_GB2312" w:eastAsia="仿宋_GB2312" w:cs="仿宋_GB2312"/>
          <w:sz w:val="32"/>
          <w:szCs w:val="32"/>
          <w:lang w:val="en-US" w:eastAsia="zh-CN"/>
        </w:rPr>
        <w:t>业主单位、勘察设计单位全程在建设地点进行了实地调研踏勘。</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rPr>
        <w:t>通过了解项目情况，收集相关资料，综合分析相关情况后，采用单位自评法、实地勘察法、座谈调研法等多种方法对项目的立项必要性、投入经济性、目标合理性、方案可行性以及筹资合规性实施评估。</w:t>
      </w:r>
      <w:r>
        <w:rPr>
          <w:rFonts w:hint="eastAsia" w:ascii="仿宋_GB2312" w:hAnsi="仿宋_GB2312" w:eastAsia="仿宋_GB2312" w:cs="仿宋_GB2312"/>
          <w:b/>
          <w:bCs/>
          <w:sz w:val="32"/>
          <w:szCs w:val="32"/>
          <w:lang w:eastAsia="zh-CN"/>
        </w:rPr>
        <w:t>五是</w:t>
      </w:r>
      <w:r>
        <w:rPr>
          <w:rFonts w:hint="eastAsia" w:ascii="仿宋_GB2312" w:hAnsi="仿宋_GB2312" w:eastAsia="仿宋_GB2312" w:cs="仿宋_GB2312"/>
          <w:sz w:val="32"/>
          <w:szCs w:val="32"/>
        </w:rPr>
        <w:t>评价组人员</w:t>
      </w:r>
      <w:r>
        <w:rPr>
          <w:rFonts w:hint="eastAsia" w:ascii="仿宋_GB2312" w:hAnsi="仿宋_GB2312" w:eastAsia="仿宋_GB2312" w:cs="仿宋_GB2312"/>
          <w:sz w:val="32"/>
          <w:szCs w:val="32"/>
          <w:lang w:val="en-US" w:eastAsia="zh-CN"/>
        </w:rPr>
        <w:t>由黑水县防震减灾事务中心班子成员、各股室负责人</w:t>
      </w:r>
      <w:r>
        <w:rPr>
          <w:rFonts w:hint="eastAsia" w:ascii="仿宋_GB2312" w:hAnsi="仿宋_GB2312" w:eastAsia="仿宋_GB2312" w:cs="仿宋_GB2312"/>
          <w:sz w:val="32"/>
          <w:szCs w:val="32"/>
        </w:rPr>
        <w:t>构成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按照</w:t>
      </w:r>
      <w:r>
        <w:rPr>
          <w:rFonts w:hint="eastAsia" w:ascii="仿宋_GB2312" w:hAnsi="仿宋_GB2312" w:eastAsia="仿宋_GB2312" w:cs="仿宋_GB2312"/>
          <w:sz w:val="32"/>
          <w:szCs w:val="32"/>
        </w:rPr>
        <w:t>职责分工</w:t>
      </w:r>
      <w:r>
        <w:rPr>
          <w:rFonts w:hint="eastAsia" w:ascii="仿宋_GB2312" w:hAnsi="仿宋_GB2312" w:eastAsia="仿宋_GB2312" w:cs="仿宋_GB2312"/>
          <w:sz w:val="32"/>
          <w:szCs w:val="32"/>
          <w:lang w:val="en-US" w:eastAsia="zh-CN"/>
        </w:rPr>
        <w:t>处理相关事宜</w:t>
      </w:r>
      <w:r>
        <w:rPr>
          <w:rFonts w:hint="eastAsia" w:ascii="仿宋_GB2312" w:hAnsi="仿宋_GB2312" w:eastAsia="仿宋_GB2312" w:cs="仿宋_GB2312"/>
          <w:sz w:val="32"/>
          <w:szCs w:val="32"/>
          <w:lang w:eastAsia="zh-CN"/>
        </w:rPr>
        <w:t>。</w:t>
      </w:r>
    </w:p>
    <w:p w14:paraId="455BE7C3">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二、评价结论及绩效分析</w:t>
      </w:r>
    </w:p>
    <w:p w14:paraId="7E6C3AC2">
      <w:pPr>
        <w:keepNext w:val="0"/>
        <w:keepLines w:val="0"/>
        <w:pageBreakBefore w:val="0"/>
        <w:kinsoku/>
        <w:wordWrap/>
        <w:overflowPunct/>
        <w:topLinePunct w:val="0"/>
        <w:autoSpaceDE/>
        <w:autoSpaceDN/>
        <w:bidi w:val="0"/>
        <w:adjustRightInd/>
        <w:spacing w:line="56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（一）评价结论</w:t>
      </w:r>
    </w:p>
    <w:p w14:paraId="2668629A">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sz w:val="32"/>
          <w:szCs w:val="32"/>
          <w:highlight w:val="none"/>
          <w:lang w:val="zh-CN"/>
        </w:rPr>
      </w:pPr>
      <w:r>
        <w:rPr>
          <w:rFonts w:hint="eastAsia" w:ascii="Times New Roman" w:hAnsi="Times New Roman" w:eastAsia="仿宋_GB2312" w:cs="Times New Roman"/>
          <w:b w:val="0"/>
          <w:bCs w:val="0"/>
          <w:sz w:val="32"/>
          <w:szCs w:val="32"/>
          <w:highlight w:val="none"/>
          <w:lang w:val="zh-CN"/>
        </w:rPr>
        <w:t>该项目立项必要性和依据充分，绩效目标明确，具备实施条件，具有</w:t>
      </w:r>
      <w:r>
        <w:rPr>
          <w:rFonts w:hint="eastAsia" w:ascii="Times New Roman" w:eastAsia="仿宋_GB2312" w:cs="Times New Roman"/>
          <w:b w:val="0"/>
          <w:bCs w:val="0"/>
          <w:sz w:val="32"/>
          <w:szCs w:val="32"/>
          <w:highlight w:val="none"/>
          <w:lang w:val="en-US" w:eastAsia="zh-CN"/>
        </w:rPr>
        <w:t>社会公益</w:t>
      </w:r>
      <w:r>
        <w:rPr>
          <w:rFonts w:hint="eastAsia" w:ascii="Times New Roman" w:hAnsi="Times New Roman" w:eastAsia="仿宋_GB2312" w:cs="Times New Roman"/>
          <w:b w:val="0"/>
          <w:bCs w:val="0"/>
          <w:sz w:val="32"/>
          <w:szCs w:val="32"/>
          <w:highlight w:val="none"/>
          <w:lang w:val="zh-CN"/>
        </w:rPr>
        <w:t>性，符合财政资金支持方向</w:t>
      </w:r>
      <w:r>
        <w:rPr>
          <w:rFonts w:hint="eastAsia" w:ascii="Times New Roman" w:eastAsia="仿宋_GB2312" w:cs="Times New Roman"/>
          <w:b w:val="0"/>
          <w:bCs w:val="0"/>
          <w:sz w:val="32"/>
          <w:szCs w:val="32"/>
          <w:highlight w:val="none"/>
          <w:lang w:val="zh-CN"/>
        </w:rPr>
        <w:t>。</w:t>
      </w:r>
      <w:r>
        <w:rPr>
          <w:rFonts w:hint="default" w:ascii="Times New Roman" w:hAnsi="Times New Roman" w:eastAsia="仿宋_GB2312" w:cs="Times New Roman"/>
          <w:b w:val="0"/>
          <w:bCs w:val="0"/>
          <w:sz w:val="32"/>
          <w:szCs w:val="32"/>
          <w:highlight w:val="none"/>
          <w:lang w:val="zh-CN"/>
        </w:rPr>
        <w:t>项目实施情况</w:t>
      </w:r>
      <w:r>
        <w:rPr>
          <w:rFonts w:hint="eastAsia" w:ascii="Times New Roman" w:eastAsia="仿宋_GB2312" w:cs="Times New Roman"/>
          <w:b w:val="0"/>
          <w:bCs w:val="0"/>
          <w:sz w:val="32"/>
          <w:szCs w:val="32"/>
          <w:highlight w:val="none"/>
          <w:lang w:val="en-US" w:eastAsia="zh-CN"/>
        </w:rPr>
        <w:t>良好</w:t>
      </w:r>
      <w:r>
        <w:rPr>
          <w:rFonts w:hint="default" w:ascii="Times New Roman" w:hAnsi="Times New Roman" w:eastAsia="仿宋_GB2312" w:cs="Times New Roman"/>
          <w:b w:val="0"/>
          <w:bCs w:val="0"/>
          <w:sz w:val="32"/>
          <w:szCs w:val="32"/>
          <w:highlight w:val="none"/>
          <w:lang w:val="zh-CN"/>
        </w:rPr>
        <w:t>。</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63067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429AAF6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7E8B5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39D93AA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8BB6D8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黑水县地球物理台站建设技术服务政府采购项目</w:t>
            </w:r>
          </w:p>
        </w:tc>
      </w:tr>
      <w:tr w14:paraId="43CE4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5F003DD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9A1D52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黑水县防震减灾事务中心</w:t>
            </w:r>
          </w:p>
        </w:tc>
      </w:tr>
      <w:tr w14:paraId="6B246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34D6E49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8863783">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服务类</w:t>
            </w:r>
          </w:p>
        </w:tc>
      </w:tr>
      <w:tr w14:paraId="5E1B1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FB3546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81D54C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6F9E77F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8FBAF1C">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1C7DE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F7A31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419341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958D67F">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黑财建【2024】10号</w:t>
            </w:r>
          </w:p>
        </w:tc>
      </w:tr>
      <w:tr w14:paraId="57D30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9EE80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88C192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D961EE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1AAA627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3BF438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757602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700F2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06422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43BAC9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7F7F7B1">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阿</w:t>
            </w:r>
            <w:r>
              <w:rPr>
                <w:rFonts w:hint="eastAsia" w:eastAsia="宋体" w:cs="Times New Roman"/>
                <w:i w:val="0"/>
                <w:color w:val="000000"/>
                <w:sz w:val="24"/>
                <w:szCs w:val="24"/>
                <w:u w:val="none"/>
                <w:lang w:val="en-US" w:eastAsia="zh-CN"/>
              </w:rPr>
              <w:t>州财建【2024】27号</w:t>
            </w:r>
          </w:p>
        </w:tc>
      </w:tr>
      <w:tr w14:paraId="2FAE4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D1D19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EA35B4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7E66137">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黑水县地球物理台站建设技术服务</w:t>
            </w:r>
          </w:p>
        </w:tc>
      </w:tr>
      <w:tr w14:paraId="5F9BE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AC58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B07A6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AEF99FE">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1811E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D5F6D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1ED2A5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15BE16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2024年-2025年</w:t>
            </w:r>
          </w:p>
        </w:tc>
      </w:tr>
      <w:tr w14:paraId="2406F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3E150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515B620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28BBC6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FDC5C26">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cs="Times New Roman"/>
                <w:i w:val="0"/>
                <w:color w:val="000000"/>
                <w:sz w:val="24"/>
                <w:szCs w:val="24"/>
                <w:u w:val="none"/>
                <w:lang w:val="en-US" w:eastAsia="zh-CN"/>
              </w:rPr>
              <w:t>15.29</w:t>
            </w:r>
          </w:p>
        </w:tc>
      </w:tr>
      <w:tr w14:paraId="436BE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1AF22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386569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42AE4CA">
            <w:pPr>
              <w:keepNext w:val="0"/>
              <w:keepLines w:val="0"/>
              <w:pageBreakBefore w:val="0"/>
              <w:tabs>
                <w:tab w:val="left" w:pos="1676"/>
              </w:tabs>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cs="Times New Roman"/>
                <w:i w:val="0"/>
                <w:color w:val="000000"/>
                <w:sz w:val="24"/>
                <w:szCs w:val="24"/>
                <w:u w:val="none"/>
                <w:lang w:val="en-US" w:eastAsia="zh-CN"/>
              </w:rPr>
              <w:t>15.29</w:t>
            </w:r>
          </w:p>
        </w:tc>
      </w:tr>
      <w:tr w14:paraId="73127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B5B2D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355D932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0D4B7F0">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bookmarkStart w:id="0" w:name="_GoBack"/>
            <w:bookmarkEnd w:id="0"/>
          </w:p>
        </w:tc>
      </w:tr>
      <w:tr w14:paraId="6EB3B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76C96E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2EC0B90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3A45F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44D0A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76F0936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14:paraId="610A6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286DBBF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16F9DF2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7D0AD8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01B348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E265DC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E9E8B9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F26A0F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4B7DB1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490D3E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5063A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5F6B2F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C8086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A3B677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22F5A33">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新建地下流体观测井</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C08E272">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2F6C996">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803EC54">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5140886">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365B31E">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w:t>
            </w:r>
          </w:p>
        </w:tc>
      </w:tr>
      <w:tr w14:paraId="62287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708E30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9EFA5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3CEC0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8BFF9FA">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新建地下流体观测室</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0EDCF72">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84511BF">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D1E15F3">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C1FB776">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6AB3241">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r>
      <w:tr w14:paraId="41CC2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AAF575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263E5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AC5F06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9B35F26">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安装水位仪、水温仪、气象三要素监测设备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5D88B05">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CDD0434">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1F49623">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8BDD6B2">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0BB97E5">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14:paraId="5318C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511DAD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6636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88814A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C25BE18">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项目（工程）验收合格率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8FE1F86">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D5B7822">
            <w:pPr>
              <w:keepNext w:val="0"/>
              <w:keepLines w:val="0"/>
              <w:widowControl/>
              <w:suppressLineNumbers w:val="0"/>
              <w:jc w:val="center"/>
              <w:textAlignment w:val="center"/>
              <w:rPr>
                <w:rFonts w:hint="eastAsia"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按合同约定完成</w:t>
            </w:r>
            <w:r>
              <w:rPr>
                <w:rFonts w:hint="eastAsia" w:ascii="宋体" w:hAnsi="宋体" w:eastAsia="宋体" w:cs="宋体"/>
                <w:i w:val="0"/>
                <w:iCs w:val="0"/>
                <w:color w:val="000000"/>
                <w:kern w:val="0"/>
                <w:sz w:val="18"/>
                <w:szCs w:val="18"/>
                <w:u w:val="none"/>
                <w:lang w:val="en-US" w:eastAsia="zh-CN" w:bidi="ar"/>
              </w:rPr>
              <w:t>100</w:t>
            </w:r>
            <w:r>
              <w:rPr>
                <w:rFonts w:ascii="宋体" w:hAnsi="宋体" w:eastAsia="宋体" w:cs="宋体"/>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75D5556">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BFFE25C">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5868226">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r>
              <w:rPr>
                <w:rFonts w:ascii="宋体" w:hAnsi="宋体" w:eastAsia="宋体" w:cs="宋体"/>
                <w:i w:val="0"/>
                <w:iCs w:val="0"/>
                <w:color w:val="000000"/>
                <w:kern w:val="0"/>
                <w:sz w:val="18"/>
                <w:szCs w:val="18"/>
                <w:u w:val="none"/>
                <w:lang w:val="en-US" w:eastAsia="zh-CN" w:bidi="ar"/>
              </w:rPr>
              <w:t>%</w:t>
            </w:r>
          </w:p>
        </w:tc>
      </w:tr>
      <w:tr w14:paraId="0CA2B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5EBAEF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CB956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B606536">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940450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项目工程完成及时率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7F4838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C94804E">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8163637">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F25DB96">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704577A">
            <w:pPr>
              <w:keepNext w:val="0"/>
              <w:keepLines w:val="0"/>
              <w:widowControl/>
              <w:suppressLineNumbers w:val="0"/>
              <w:jc w:val="center"/>
              <w:textAlignment w:val="center"/>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优</w:t>
            </w:r>
          </w:p>
        </w:tc>
      </w:tr>
      <w:tr w14:paraId="574BB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E27607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1B7A0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right w:val="single" w:color="000000" w:sz="4" w:space="0"/>
            </w:tcBorders>
            <w:noWrap w:val="0"/>
            <w:vAlign w:val="center"/>
          </w:tcPr>
          <w:p w14:paraId="341A14F1">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可持续影响指标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FD43536">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全县防震减灾能力</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65724F0">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F47477B">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0EAC59C">
            <w:pPr>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7F8094F">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2C966FE">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优</w:t>
            </w:r>
          </w:p>
        </w:tc>
      </w:tr>
      <w:tr w14:paraId="6FB4A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D214E5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14:paraId="79E7BFE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14:paraId="5C6072C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14:paraId="637FC029">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9CEDEA9">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设备使用年限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A804CC0">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94736AC">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5A97C43">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40754BC">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C7B67A9">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98</w:t>
            </w:r>
          </w:p>
        </w:tc>
      </w:tr>
      <w:tr w14:paraId="49A73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DDEED7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42AE67A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01D72D8">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经济成本指标</w:t>
            </w:r>
          </w:p>
        </w:tc>
        <w:tc>
          <w:tcPr>
            <w:tcW w:w="1312" w:type="dxa"/>
            <w:tcBorders>
              <w:top w:val="single" w:color="000000" w:sz="4" w:space="0"/>
              <w:bottom w:val="single" w:color="000000" w:sz="4" w:space="0"/>
              <w:right w:val="single" w:color="000000" w:sz="4" w:space="0"/>
            </w:tcBorders>
            <w:noWrap w:val="0"/>
            <w:vAlign w:val="center"/>
          </w:tcPr>
          <w:p w14:paraId="15CD4B91">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受益人群满意度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2B67383">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08662EF">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80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940A40D">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A9C29B1">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ADB51D8">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80</w:t>
            </w:r>
          </w:p>
        </w:tc>
      </w:tr>
    </w:tbl>
    <w:p w14:paraId="130EFB4A">
      <w:pPr>
        <w:pStyle w:val="7"/>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14:paraId="6214E31A">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黑体" w:cs="Times New Roman"/>
          <w:sz w:val="24"/>
          <w:szCs w:val="24"/>
          <w:highlight w:val="none"/>
          <w:lang w:val="en-US" w:eastAsia="zh-CN"/>
        </w:rPr>
      </w:pPr>
    </w:p>
    <w:p w14:paraId="4EC17B9F">
      <w:pPr>
        <w:keepNext w:val="0"/>
        <w:keepLines w:val="0"/>
        <w:pageBreakBefore w:val="0"/>
        <w:kinsoku/>
        <w:wordWrap/>
        <w:overflowPunct/>
        <w:topLinePunct w:val="0"/>
        <w:autoSpaceDE/>
        <w:autoSpaceDN/>
        <w:bidi w:val="0"/>
        <w:adjustRightInd/>
        <w:spacing w:line="56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（二）绩效分析</w:t>
      </w:r>
    </w:p>
    <w:p w14:paraId="34AEE03F">
      <w:pPr>
        <w:keepNext w:val="0"/>
        <w:keepLines w:val="0"/>
        <w:pageBreakBefore w:val="0"/>
        <w:kinsoku/>
        <w:wordWrap/>
        <w:overflowPunct/>
        <w:topLinePunct w:val="0"/>
        <w:autoSpaceDE/>
        <w:autoSpaceDN/>
        <w:bidi w:val="0"/>
        <w:adjustRightInd/>
        <w:spacing w:line="56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2E6F7A27">
      <w:pPr>
        <w:pStyle w:val="14"/>
        <w:keepNext w:val="0"/>
        <w:keepLines w:val="0"/>
        <w:pageBreakBefore w:val="0"/>
        <w:numPr>
          <w:ilvl w:val="0"/>
          <w:numId w:val="0"/>
        </w:numPr>
        <w:kinsoku/>
        <w:wordWrap/>
        <w:overflowPunct/>
        <w:topLinePunct w:val="0"/>
        <w:autoSpaceDE/>
        <w:autoSpaceDN/>
        <w:bidi w:val="0"/>
        <w:adjustRightInd/>
        <w:spacing w:line="560" w:lineRule="exact"/>
        <w:ind w:firstLine="640" w:firstLineChars="200"/>
        <w:rPr>
          <w:rFonts w:hint="default" w:ascii="仿宋_GB2312" w:hAnsi="仿宋_GB2312" w:cs="仿宋_GB2312"/>
          <w:color w:val="auto"/>
          <w:kern w:val="0"/>
          <w:sz w:val="32"/>
          <w:szCs w:val="32"/>
          <w:highlight w:val="none"/>
          <w:u w:val="none"/>
          <w:shd w:val="clear" w:color="auto" w:fill="FFFFFF"/>
          <w:lang w:val="zh-CN" w:eastAsia="zh-CN"/>
        </w:rPr>
      </w:pPr>
      <w:r>
        <w:rPr>
          <w:rFonts w:hint="eastAsia" w:ascii="仿宋" w:hAnsi="仿宋" w:eastAsia="仿宋" w:cs="仿宋"/>
          <w:sz w:val="32"/>
          <w:szCs w:val="32"/>
        </w:rPr>
        <w:t>“十四五”时期是全面建成小康社会，主动适应社会主义现代化建设进程对推进防震减灾治理体系和治理能力现代化、全面提升安全保障能力提出更高要求</w:t>
      </w:r>
      <w:r>
        <w:rPr>
          <w:rFonts w:hint="eastAsia" w:ascii="仿宋" w:hAnsi="仿宋" w:eastAsia="仿宋" w:cs="仿宋"/>
          <w:sz w:val="32"/>
          <w:szCs w:val="32"/>
          <w:lang w:eastAsia="zh-CN"/>
        </w:rPr>
        <w:t>，</w:t>
      </w:r>
      <w:r>
        <w:rPr>
          <w:rFonts w:hint="eastAsia" w:ascii="仿宋" w:hAnsi="仿宋" w:eastAsia="仿宋" w:cs="仿宋"/>
          <w:sz w:val="32"/>
          <w:szCs w:val="32"/>
        </w:rPr>
        <w:t>建设地球物理站（地下流体），能够进一步丰富黑水县地震监测手段，提升地震监测能力，是应对严峻的震情形势的需要。</w:t>
      </w:r>
      <w:r>
        <w:rPr>
          <w:rFonts w:hint="eastAsia" w:ascii="仿宋_GB2312" w:hAnsi="仿宋_GB2312" w:eastAsia="仿宋_GB2312" w:cs="仿宋_GB2312"/>
          <w:b w:val="0"/>
          <w:bCs/>
          <w:color w:val="auto"/>
          <w:sz w:val="32"/>
          <w:szCs w:val="32"/>
          <w:highlight w:val="none"/>
          <w:u w:val="none"/>
          <w:lang w:val="zh-CN" w:eastAsia="zh-CN"/>
        </w:rPr>
        <w:t>黑水台拥有前兆监测的历史和经验，加强前兆观测，建设地球物理站，是提升黑水区域地震监测的可行方案，也是现阶段经济社会发展的需要。</w:t>
      </w:r>
      <w:r>
        <w:rPr>
          <w:rFonts w:hint="eastAsia" w:ascii="仿宋_GB2312" w:eastAsia="仿宋_GB2312"/>
        </w:rPr>
        <w:t>该项目立项必要性和依据充分，绩效目标明确，</w:t>
      </w:r>
      <w:r>
        <w:rPr>
          <w:rFonts w:hint="eastAsia" w:ascii="仿宋_GB2312" w:eastAsia="仿宋_GB2312"/>
          <w:u w:val="none"/>
        </w:rPr>
        <w:t>我单位进一步优化完善</w:t>
      </w:r>
      <w:r>
        <w:rPr>
          <w:rFonts w:hint="eastAsia" w:ascii="仿宋_GB2312"/>
          <w:u w:val="none"/>
          <w:lang w:eastAsia="zh-CN"/>
        </w:rPr>
        <w:t>了</w:t>
      </w:r>
      <w:r>
        <w:rPr>
          <w:rFonts w:hint="eastAsia" w:ascii="仿宋_GB2312" w:eastAsia="仿宋_GB2312"/>
          <w:u w:val="none"/>
        </w:rPr>
        <w:t>实施方案和绩效目标，加强运行监控，节约财政资金并提升资金效益，提升预算绩效管理水平</w:t>
      </w:r>
      <w:r>
        <w:rPr>
          <w:rFonts w:hint="eastAsia" w:ascii="仿宋_GB2312"/>
          <w:u w:val="none"/>
        </w:rPr>
        <w:t>和财政资金使用效益。</w:t>
      </w:r>
    </w:p>
    <w:p w14:paraId="51F53C17">
      <w:pPr>
        <w:keepNext w:val="0"/>
        <w:keepLines w:val="0"/>
        <w:pageBreakBefore w:val="0"/>
        <w:kinsoku/>
        <w:wordWrap/>
        <w:overflowPunct/>
        <w:topLinePunct w:val="0"/>
        <w:autoSpaceDE/>
        <w:autoSpaceDN/>
        <w:bidi w:val="0"/>
        <w:adjustRightInd/>
        <w:spacing w:line="56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16DD2918">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lang w:val="en-US" w:eastAsia="zh-CN"/>
        </w:rPr>
        <w:t>2024年下达州级防震减灾专项资金80万元，2024年实际使用金额63.84万元，2025年实际使用金额15.29万元，其中支付项目尾款12.9万元，转入黑水县地球物理台站建设项目运行维护费2.39万元到县财政代管账户，项目资金符合资金管理办法等相关规定，与资金计划相契合，保障项目能够如期开展。</w:t>
      </w:r>
    </w:p>
    <w:p w14:paraId="0B60672A">
      <w:pPr>
        <w:keepNext w:val="0"/>
        <w:keepLines w:val="0"/>
        <w:pageBreakBefore w:val="0"/>
        <w:kinsoku/>
        <w:wordWrap/>
        <w:overflowPunct/>
        <w:topLinePunct w:val="0"/>
        <w:autoSpaceDE/>
        <w:autoSpaceDN/>
        <w:bidi w:val="0"/>
        <w:adjustRightInd/>
        <w:spacing w:line="560" w:lineRule="exact"/>
        <w:ind w:firstLine="640" w:firstLineChars="200"/>
        <w:rPr>
          <w:rFonts w:ascii="仿宋_GB2312" w:hAnsi="仿宋" w:eastAsia="仿宋_GB2312" w:cs="仿宋_GB2312"/>
          <w:color w:val="000000" w:themeColor="text1"/>
          <w:sz w:val="32"/>
          <w:szCs w:val="32"/>
          <w14:textFill>
            <w14:solidFill>
              <w14:schemeClr w14:val="tx1"/>
            </w14:solidFill>
          </w14:textFill>
        </w:rPr>
      </w:pPr>
      <w:r>
        <w:rPr>
          <w:rFonts w:hint="eastAsia" w:ascii="仿宋_GB2312" w:hAnsi="仿宋" w:eastAsia="仿宋_GB2312" w:cs="仿宋_GB2312"/>
          <w:color w:val="000000" w:themeColor="text1"/>
          <w:sz w:val="32"/>
          <w:szCs w:val="32"/>
          <w14:textFill>
            <w14:solidFill>
              <w14:schemeClr w14:val="tx1"/>
            </w14:solidFill>
          </w14:textFill>
        </w:rPr>
        <w:t>3、项目绩效</w:t>
      </w:r>
    </w:p>
    <w:p w14:paraId="321B64BB">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产出指标</w:t>
      </w:r>
    </w:p>
    <w:p w14:paraId="2C4C66C5">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数量指标：计划为</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个地球物理台站提供建设技术服务，实际完成</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个，服务完成率100%；</w:t>
      </w:r>
    </w:p>
    <w:p w14:paraId="1B7B4887">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质量指标：经第三方验收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个台站选址均符合《地球物理台站建设规范》要求，技术服务质量达标率100%。</w:t>
      </w:r>
    </w:p>
    <w:p w14:paraId="7E3036E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时效指标：项目计划服务周期</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个月，实际在</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个月内完成所有台站技术服务</w:t>
      </w:r>
      <w:r>
        <w:rPr>
          <w:rFonts w:hint="eastAsia" w:ascii="仿宋_GB2312" w:hAnsi="仿宋_GB2312" w:eastAsia="仿宋_GB2312" w:cs="仿宋_GB2312"/>
          <w:sz w:val="32"/>
          <w:szCs w:val="32"/>
          <w:lang w:val="en-US" w:eastAsia="zh-CN"/>
        </w:rPr>
        <w:t>并进入试运行阶段，试运行数据正常，3个月试运行期限完成，数据正常完成竣工验收，</w:t>
      </w:r>
      <w:r>
        <w:rPr>
          <w:rFonts w:hint="eastAsia" w:ascii="仿宋_GB2312" w:hAnsi="仿宋_GB2312" w:eastAsia="仿宋_GB2312" w:cs="仿宋_GB2312"/>
          <w:sz w:val="32"/>
          <w:szCs w:val="32"/>
        </w:rPr>
        <w:t>按时完成率100%；</w:t>
      </w:r>
    </w:p>
    <w:p w14:paraId="13FC7006">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成本指标：项目</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15.29</w:t>
      </w:r>
      <w:r>
        <w:rPr>
          <w:rFonts w:hint="eastAsia" w:ascii="仿宋_GB2312" w:hAnsi="仿宋_GB2312" w:eastAsia="仿宋_GB2312" w:cs="仿宋_GB2312"/>
          <w:sz w:val="32"/>
          <w:szCs w:val="32"/>
        </w:rPr>
        <w:t>万元，预算执行率</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%，未超预算。</w:t>
      </w:r>
    </w:p>
    <w:p w14:paraId="316C6001">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效益指标</w:t>
      </w:r>
    </w:p>
    <w:p w14:paraId="37D8E7D3">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社会效益：台站投入运行后，可实时监测区域地质活动，为地震、地面沉降等地质灾害预警提供数据支撑，提升地方防灾减灾能力</w:t>
      </w:r>
      <w:r>
        <w:rPr>
          <w:rFonts w:hint="eastAsia" w:ascii="仿宋_GB2312" w:hAnsi="仿宋_GB2312" w:eastAsia="仿宋_GB2312" w:cs="仿宋_GB2312"/>
          <w:sz w:val="32"/>
          <w:szCs w:val="32"/>
          <w:lang w:eastAsia="zh-CN"/>
        </w:rPr>
        <w:t>。</w:t>
      </w:r>
    </w:p>
    <w:p w14:paraId="6B8F4D10">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可持续效益：建立“技术服务-后期咨询”长效机制，可随时响应台站运维技术需求，保障台站长期发挥监测效能。</w:t>
      </w:r>
    </w:p>
    <w:p w14:paraId="3187C36B">
      <w:pPr>
        <w:keepNext w:val="0"/>
        <w:keepLines w:val="0"/>
        <w:pageBreakBefore w:val="0"/>
        <w:numPr>
          <w:ilvl w:val="0"/>
          <w:numId w:val="1"/>
        </w:numPr>
        <w:kinsoku/>
        <w:wordWrap/>
        <w:overflowPunct/>
        <w:topLinePunct w:val="0"/>
        <w:autoSpaceDE/>
        <w:autoSpaceDN/>
        <w:bidi w:val="0"/>
        <w:adjustRightInd/>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 存在主要问题</w:t>
      </w:r>
    </w:p>
    <w:p w14:paraId="70D8E727">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rPr>
          <w:rFonts w:hint="eastAsia" w:ascii="Times New Roman" w:eastAsia="仿宋_GB2312" w:cs="Times New Roman"/>
          <w:b w:val="0"/>
          <w:bCs w:val="0"/>
          <w:kern w:val="0"/>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无</w:t>
      </w:r>
    </w:p>
    <w:p w14:paraId="6BC514A9">
      <w:pPr>
        <w:keepNext w:val="0"/>
        <w:keepLines w:val="0"/>
        <w:pageBreakBefore w:val="0"/>
        <w:numPr>
          <w:ilvl w:val="0"/>
          <w:numId w:val="1"/>
        </w:numPr>
        <w:kinsoku/>
        <w:wordWrap/>
        <w:overflowPunct/>
        <w:topLinePunct w:val="0"/>
        <w:autoSpaceDE/>
        <w:autoSpaceDN/>
        <w:bidi w:val="0"/>
        <w:adjustRightInd/>
        <w:spacing w:line="560" w:lineRule="exact"/>
        <w:ind w:left="0" w:leftChars="0" w:firstLine="640" w:firstLineChars="200"/>
        <w:rPr>
          <w:rFonts w:hint="eastAsia" w:ascii="黑体" w:hAnsi="黑体" w:eastAsia="黑体" w:cs="黑体"/>
          <w:sz w:val="32"/>
          <w:szCs w:val="32"/>
        </w:rPr>
      </w:pPr>
      <w:r>
        <w:rPr>
          <w:rFonts w:hint="eastAsia" w:ascii="黑体" w:hAnsi="黑体" w:eastAsia="黑体" w:cs="黑体"/>
          <w:sz w:val="32"/>
          <w:szCs w:val="32"/>
        </w:rPr>
        <w:t>相关措施建议</w:t>
      </w:r>
    </w:p>
    <w:p w14:paraId="1DFE9ECA">
      <w:pPr>
        <w:pStyle w:val="2"/>
        <w:keepNext w:val="0"/>
        <w:keepLines w:val="0"/>
        <w:pageBreakBefore w:val="0"/>
        <w:numPr>
          <w:ilvl w:val="0"/>
          <w:numId w:val="0"/>
        </w:numPr>
        <w:kinsoku/>
        <w:wordWrap/>
        <w:overflowPunct/>
        <w:topLinePunct w:val="0"/>
        <w:autoSpaceDE/>
        <w:autoSpaceDN/>
        <w:bidi w:val="0"/>
        <w:adjustRightInd/>
        <w:spacing w:line="560" w:lineRule="exact"/>
        <w:ind w:leftChars="200"/>
        <w:rPr>
          <w:rFonts w:hint="eastAsia"/>
        </w:rPr>
      </w:pPr>
    </w:p>
    <w:p w14:paraId="1D8FCACE">
      <w:pPr>
        <w:keepNext w:val="0"/>
        <w:keepLines w:val="0"/>
        <w:pageBreakBefore w:val="0"/>
        <w:kinsoku/>
        <w:wordWrap/>
        <w:overflowPunct/>
        <w:topLinePunct w:val="0"/>
        <w:autoSpaceDE/>
        <w:autoSpaceDN/>
        <w:bidi w:val="0"/>
        <w:adjustRightInd/>
        <w:spacing w:line="560" w:lineRule="exact"/>
        <w:ind w:firstLine="640" w:firstLineChars="200"/>
      </w:pPr>
      <w:r>
        <w:rPr>
          <w:rFonts w:hint="eastAsia" w:ascii="Times New Roman" w:eastAsia="仿宋_GB2312" w:cs="Times New Roman"/>
          <w:b w:val="0"/>
          <w:bCs w:val="0"/>
          <w:kern w:val="0"/>
          <w:position w:val="0"/>
          <w:sz w:val="32"/>
          <w:szCs w:val="32"/>
          <w:highlight w:val="none"/>
          <w:lang w:val="en-US" w:eastAsia="zh-CN" w:bidi="ar-SA"/>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Wingdings 2">
    <w:panose1 w:val="05020102010507070707"/>
    <w:charset w:val="02"/>
    <w:family w:val="auto"/>
    <w:pitch w:val="default"/>
    <w:sig w:usb0="00000000" w:usb1="00000000" w:usb2="00000000" w:usb3="00000000" w:csb0="80000000" w:csb1="00000000"/>
  </w:font>
  <w:font w:name="方正仿宋_GBK">
    <w:panose1 w:val="02000000000000000000"/>
    <w:charset w:val="86"/>
    <w:family w:val="auto"/>
    <w:pitch w:val="default"/>
    <w:sig w:usb0="00000001" w:usb1="0800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1795F4"/>
    <w:multiLevelType w:val="singleLevel"/>
    <w:tmpl w:val="961795F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iZjU3YWRkZGY4NzA4ZWU2ZDdkZDZhOWU1ODZlYTEifQ=="/>
  </w:docVars>
  <w:rsids>
    <w:rsidRoot w:val="004C22EC"/>
    <w:rsid w:val="00023651"/>
    <w:rsid w:val="002630BB"/>
    <w:rsid w:val="004C22EC"/>
    <w:rsid w:val="007B38C6"/>
    <w:rsid w:val="01774086"/>
    <w:rsid w:val="01E11B25"/>
    <w:rsid w:val="021D7820"/>
    <w:rsid w:val="04463D2B"/>
    <w:rsid w:val="06AB256C"/>
    <w:rsid w:val="0A546A76"/>
    <w:rsid w:val="0D8B0A01"/>
    <w:rsid w:val="0F5D461F"/>
    <w:rsid w:val="100566B3"/>
    <w:rsid w:val="10D6085B"/>
    <w:rsid w:val="126B2BAF"/>
    <w:rsid w:val="141C0605"/>
    <w:rsid w:val="17DB2585"/>
    <w:rsid w:val="18153CE9"/>
    <w:rsid w:val="18A41CCC"/>
    <w:rsid w:val="1B4A3EC4"/>
    <w:rsid w:val="1B7900EB"/>
    <w:rsid w:val="1D1B4FB6"/>
    <w:rsid w:val="1D7B2EEB"/>
    <w:rsid w:val="1EF328AA"/>
    <w:rsid w:val="1FC23005"/>
    <w:rsid w:val="1FDE6CDF"/>
    <w:rsid w:val="20623843"/>
    <w:rsid w:val="21972FB1"/>
    <w:rsid w:val="2439349C"/>
    <w:rsid w:val="244E01D1"/>
    <w:rsid w:val="26E36D60"/>
    <w:rsid w:val="2DB25117"/>
    <w:rsid w:val="2E536EC1"/>
    <w:rsid w:val="33DA011B"/>
    <w:rsid w:val="358B1B11"/>
    <w:rsid w:val="369462C9"/>
    <w:rsid w:val="37977DE6"/>
    <w:rsid w:val="37CB165B"/>
    <w:rsid w:val="39F51645"/>
    <w:rsid w:val="3BAB2871"/>
    <w:rsid w:val="3D606F05"/>
    <w:rsid w:val="3E774506"/>
    <w:rsid w:val="40055B41"/>
    <w:rsid w:val="409C64A6"/>
    <w:rsid w:val="423607D0"/>
    <w:rsid w:val="495E079C"/>
    <w:rsid w:val="4A0B0DD8"/>
    <w:rsid w:val="4ACD1A69"/>
    <w:rsid w:val="4BC62629"/>
    <w:rsid w:val="4EE12249"/>
    <w:rsid w:val="4F176D3E"/>
    <w:rsid w:val="4F302902"/>
    <w:rsid w:val="55704B34"/>
    <w:rsid w:val="577B6A5A"/>
    <w:rsid w:val="57B166CC"/>
    <w:rsid w:val="5B5D28E3"/>
    <w:rsid w:val="5C9D2D16"/>
    <w:rsid w:val="5DBC40E7"/>
    <w:rsid w:val="5E7FBD83"/>
    <w:rsid w:val="5F557AF4"/>
    <w:rsid w:val="604E7493"/>
    <w:rsid w:val="61291238"/>
    <w:rsid w:val="615D0EE2"/>
    <w:rsid w:val="62D376AD"/>
    <w:rsid w:val="68A11FFC"/>
    <w:rsid w:val="6C3C4515"/>
    <w:rsid w:val="6D1C60F5"/>
    <w:rsid w:val="6F4BEABC"/>
    <w:rsid w:val="732A4B37"/>
    <w:rsid w:val="77991202"/>
    <w:rsid w:val="7979799C"/>
    <w:rsid w:val="79CE4C1B"/>
    <w:rsid w:val="7B450F0D"/>
    <w:rsid w:val="7D0C69A6"/>
    <w:rsid w:val="7D43322A"/>
    <w:rsid w:val="7DB2D4C5"/>
    <w:rsid w:val="7DBD8009"/>
    <w:rsid w:val="7EFFA468"/>
    <w:rsid w:val="7FB8CCB8"/>
    <w:rsid w:val="7FFED932"/>
    <w:rsid w:val="B7ECBD32"/>
    <w:rsid w:val="DF63D793"/>
    <w:rsid w:val="FB8FFF61"/>
    <w:rsid w:val="FD7FC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Body Text First Indent 2"/>
    <w:basedOn w:val="5"/>
    <w:unhideWhenUsed/>
    <w:qFormat/>
    <w:uiPriority w:val="99"/>
    <w:pPr>
      <w:ind w:firstLine="420" w:firstLineChars="200"/>
    </w:pPr>
  </w:style>
  <w:style w:type="character" w:customStyle="1" w:styleId="10">
    <w:name w:val="页眉 Char"/>
    <w:basedOn w:val="9"/>
    <w:link w:val="6"/>
    <w:semiHidden/>
    <w:qFormat/>
    <w:uiPriority w:val="99"/>
    <w:rPr>
      <w:sz w:val="18"/>
      <w:szCs w:val="18"/>
    </w:rPr>
  </w:style>
  <w:style w:type="character" w:customStyle="1" w:styleId="11">
    <w:name w:val="页脚 Char"/>
    <w:basedOn w:val="9"/>
    <w:link w:val="2"/>
    <w:semiHidden/>
    <w:qFormat/>
    <w:uiPriority w:val="99"/>
    <w:rPr>
      <w:sz w:val="18"/>
      <w:szCs w:val="18"/>
    </w:rPr>
  </w:style>
  <w:style w:type="character" w:customStyle="1" w:styleId="12">
    <w:name w:val="标题 1 Char"/>
    <w:basedOn w:val="9"/>
    <w:link w:val="3"/>
    <w:qFormat/>
    <w:uiPriority w:val="9"/>
    <w:rPr>
      <w:rFonts w:ascii="Times New Roman" w:hAnsi="Times New Roman" w:eastAsia="宋体" w:cs="Times New Roman"/>
      <w:b/>
      <w:bCs/>
      <w:kern w:val="44"/>
      <w:sz w:val="44"/>
      <w:szCs w:val="44"/>
    </w:rPr>
  </w:style>
  <w:style w:type="paragraph" w:customStyle="1" w:styleId="1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4">
    <w:name w:val="NormalIndent"/>
    <w:next w:val="6"/>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1710</Words>
  <Characters>1799</Characters>
  <Lines>2</Lines>
  <Paragraphs>1</Paragraphs>
  <TotalTime>8</TotalTime>
  <ScaleCrop>false</ScaleCrop>
  <LinksUpToDate>false</LinksUpToDate>
  <CharactersWithSpaces>1826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XIAO</cp:lastModifiedBy>
  <dcterms:modified xsi:type="dcterms:W3CDTF">2026-08-19T09:36:23Z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CD14128851FF4C64A5534974F19A36DC</vt:lpwstr>
  </property>
  <property fmtid="{D5CDD505-2E9C-101B-9397-08002B2CF9AE}" pid="4" name="KSOTemplateDocerSaveRecord">
    <vt:lpwstr>eyJoZGlkIjoiZmQ5ZWI1YmRmODU0NjRlN2ExMDQwZmRlNWFhYjljYjEiLCJ1c2VySWQiOiIzNDMzMjcyNjYifQ==</vt:lpwstr>
  </property>
</Properties>
</file>