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center"/>
        <w:outlineLvl w:val="0"/>
        <w:rPr>
          <w:rFonts w:ascii="仿宋_GB2312" w:hAnsi="黑体" w:eastAsia="仿宋_GB2312" w:cs="方正小标宋简体"/>
          <w:b/>
          <w:sz w:val="32"/>
          <w:szCs w:val="32"/>
        </w:rPr>
      </w:pPr>
      <w:bookmarkStart w:id="0" w:name="_Toc15396616"/>
      <w:r>
        <w:rPr>
          <w:rFonts w:hint="eastAsia" w:ascii="仿宋_GB2312" w:hAnsi="黑体" w:eastAsia="仿宋_GB2312" w:cs="方正小标宋简体"/>
          <w:b/>
          <w:sz w:val="32"/>
          <w:szCs w:val="32"/>
          <w:lang w:eastAsia="zh-CN"/>
        </w:rPr>
        <w:t>黑水县档案馆</w:t>
      </w:r>
      <w:r>
        <w:rPr>
          <w:rFonts w:hint="eastAsia" w:ascii="仿宋_GB2312" w:hAnsi="黑体" w:eastAsia="仿宋_GB2312" w:cs="方正小标宋简体"/>
          <w:b/>
          <w:sz w:val="32"/>
          <w:szCs w:val="32"/>
        </w:rPr>
        <w:t>2021年部门</w:t>
      </w:r>
    </w:p>
    <w:p>
      <w:pPr>
        <w:spacing w:line="600" w:lineRule="exact"/>
        <w:jc w:val="center"/>
        <w:outlineLvl w:val="0"/>
        <w:rPr>
          <w:rFonts w:ascii="仿宋_GB2312" w:hAnsi="黑体" w:eastAsia="仿宋_GB2312" w:cs="方正小标宋简体"/>
          <w:b/>
          <w:sz w:val="32"/>
          <w:szCs w:val="32"/>
        </w:rPr>
      </w:pPr>
      <w:r>
        <w:rPr>
          <w:rFonts w:hint="eastAsia" w:ascii="仿宋_GB2312" w:hAnsi="黑体" w:eastAsia="仿宋_GB2312" w:cs="方正小标宋简体"/>
          <w:b/>
          <w:sz w:val="32"/>
          <w:szCs w:val="32"/>
        </w:rPr>
        <w:t>整体支出绩效评价报告</w:t>
      </w:r>
      <w:bookmarkEnd w:id="0"/>
    </w:p>
    <w:p>
      <w:pPr>
        <w:spacing w:line="580" w:lineRule="exact"/>
        <w:ind w:firstLine="643" w:firstLineChars="200"/>
        <w:rPr>
          <w:rFonts w:ascii="仿宋_GB2312" w:hAnsi="黑体" w:eastAsia="仿宋_GB2312" w:cs="黑体"/>
          <w:b/>
          <w:sz w:val="32"/>
          <w:szCs w:val="32"/>
        </w:rPr>
      </w:pPr>
    </w:p>
    <w:p>
      <w:pPr>
        <w:spacing w:line="580" w:lineRule="exact"/>
        <w:ind w:firstLine="640" w:firstLineChars="200"/>
        <w:rPr>
          <w:rFonts w:ascii="仿宋_GB2312" w:hAnsi="黑体" w:eastAsia="仿宋_GB2312" w:cs="黑体"/>
          <w:sz w:val="32"/>
          <w:szCs w:val="32"/>
        </w:rPr>
      </w:pPr>
      <w:r>
        <w:rPr>
          <w:rFonts w:hint="eastAsia" w:ascii="仿宋_GB2312" w:hAnsi="黑体" w:eastAsia="仿宋_GB2312" w:cs="黑体"/>
          <w:sz w:val="32"/>
          <w:szCs w:val="32"/>
        </w:rPr>
        <w:t>一、部门（单位）概况</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（一）机构组成。</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olor w:val="000000"/>
          <w:sz w:val="32"/>
          <w:szCs w:val="32"/>
        </w:rPr>
        <w:t>黑水县档案馆属一级预算单位，无下属二级预算单位。黑水县档案馆无下属二级预算单位。</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（二）机构职能。</w:t>
      </w:r>
    </w:p>
    <w:p>
      <w:pPr>
        <w:pStyle w:val="2"/>
        <w:adjustRightInd w:val="0"/>
        <w:snapToGrid w:val="0"/>
        <w:spacing w:before="93" w:line="600" w:lineRule="exact"/>
        <w:ind w:firstLine="672" w:firstLineChars="210"/>
        <w:outlineLvl w:val="2"/>
        <w:rPr>
          <w:rFonts w:hint="eastAsia" w:hAnsi="仿宋" w:cs="仿宋_GB2312"/>
          <w:sz w:val="32"/>
          <w:szCs w:val="32"/>
        </w:rPr>
      </w:pPr>
      <w:r>
        <w:rPr>
          <w:rFonts w:hint="eastAsia" w:hAnsi="仿宋"/>
          <w:color w:val="000000"/>
          <w:kern w:val="2"/>
          <w:sz w:val="32"/>
          <w:szCs w:val="32"/>
        </w:rPr>
        <w:t>认真贯彻落实《档案法》，国家档案局9号令、10号令,依法管理全档案事业,积极推进全馆档案馆（室）规范化建设,</w:t>
      </w:r>
      <w:r>
        <w:rPr>
          <w:rFonts w:ascii="Calibri" w:hAnsi="Calibri" w:cs="Calibri"/>
          <w:color w:val="000000"/>
          <w:kern w:val="2"/>
          <w:sz w:val="32"/>
          <w:szCs w:val="32"/>
        </w:rPr>
        <w:t> </w:t>
      </w:r>
      <w:r>
        <w:rPr>
          <w:rFonts w:hint="eastAsia" w:hAnsi="仿宋"/>
          <w:color w:val="000000"/>
          <w:kern w:val="2"/>
          <w:sz w:val="32"/>
          <w:szCs w:val="32"/>
        </w:rPr>
        <w:t>不断夯实档案基础业务,依法做好档案接收进馆和藏羌民族特色档案抢救保护工作,数字化馆建设工作，推进民生档案工作，做好档案宣传、教育和服务工作。</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（三）人员概况。</w:t>
      </w:r>
    </w:p>
    <w:p>
      <w:pPr>
        <w:spacing w:line="580" w:lineRule="exact"/>
        <w:ind w:left="420" w:leftChars="200"/>
        <w:rPr>
          <w:rFonts w:hint="eastAsia" w:ascii="仿宋_GB2312" w:hAnsi="仿宋" w:eastAsia="仿宋_GB2312" w:cs="仿宋_GB2312"/>
          <w:sz w:val="32"/>
          <w:szCs w:val="32"/>
        </w:rPr>
      </w:pPr>
      <w:r>
        <w:rPr>
          <w:rFonts w:hint="eastAsia" w:ascii="仿宋_GB2312" w:hAnsi="仿宋" w:eastAsia="仿宋_GB2312"/>
          <w:color w:val="000000"/>
          <w:sz w:val="32"/>
          <w:szCs w:val="32"/>
        </w:rPr>
        <w:t>我馆总编制9名，其中：参公编制</w:t>
      </w:r>
      <w:r>
        <w:rPr>
          <w:rFonts w:ascii="仿宋_GB2312" w:hAnsi="仿宋" w:eastAsia="仿宋_GB2312"/>
          <w:color w:val="000000"/>
          <w:sz w:val="32"/>
          <w:szCs w:val="32"/>
        </w:rPr>
        <w:t>9</w:t>
      </w:r>
      <w:r>
        <w:rPr>
          <w:rFonts w:hint="eastAsia" w:ascii="仿宋_GB2312" w:hAnsi="仿宋" w:eastAsia="仿宋_GB2312"/>
          <w:color w:val="000000"/>
          <w:sz w:val="32"/>
          <w:szCs w:val="32"/>
        </w:rPr>
        <w:t>名，工勤2名。在职人员总数</w:t>
      </w:r>
      <w:r>
        <w:rPr>
          <w:rFonts w:ascii="仿宋_GB2312" w:hAnsi="仿宋" w:eastAsia="仿宋_GB2312"/>
          <w:color w:val="000000"/>
          <w:sz w:val="32"/>
          <w:szCs w:val="32"/>
        </w:rPr>
        <w:t>10</w:t>
      </w:r>
      <w:r>
        <w:rPr>
          <w:rFonts w:hint="eastAsia" w:ascii="仿宋_GB2312" w:hAnsi="仿宋" w:eastAsia="仿宋_GB2312"/>
          <w:color w:val="000000"/>
          <w:sz w:val="32"/>
          <w:szCs w:val="32"/>
        </w:rPr>
        <w:t>人，退休人员6人。</w:t>
      </w:r>
    </w:p>
    <w:p>
      <w:pPr>
        <w:spacing w:line="580" w:lineRule="exact"/>
        <w:ind w:firstLine="640" w:firstLineChars="200"/>
        <w:rPr>
          <w:rFonts w:ascii="仿宋_GB2312" w:hAnsi="黑体" w:eastAsia="仿宋_GB2312" w:cs="黑体"/>
          <w:sz w:val="32"/>
          <w:szCs w:val="32"/>
        </w:rPr>
      </w:pPr>
      <w:r>
        <w:rPr>
          <w:rFonts w:hint="eastAsia" w:ascii="仿宋_GB2312" w:hAnsi="黑体" w:eastAsia="仿宋_GB2312" w:cs="黑体"/>
          <w:sz w:val="32"/>
          <w:szCs w:val="32"/>
        </w:rPr>
        <w:t>二、部门财政资金收支情况</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（一）部门财政资金收入情况</w:t>
      </w:r>
    </w:p>
    <w:p>
      <w:pPr>
        <w:spacing w:line="600" w:lineRule="exact"/>
        <w:ind w:firstLine="640" w:firstLineChars="200"/>
        <w:rPr>
          <w:rFonts w:hint="eastAsia" w:ascii="仿宋_GB2312" w:hAnsi="仿宋" w:eastAsia="仿宋_GB2312" w:cs="仿宋_GB2312"/>
          <w:sz w:val="32"/>
          <w:szCs w:val="32"/>
        </w:rPr>
      </w:pPr>
      <w:r>
        <w:rPr>
          <w:rFonts w:hint="eastAsia" w:ascii="仿宋_GB2312" w:hAnsi="仿宋" w:eastAsia="仿宋_GB2312"/>
          <w:color w:val="000000"/>
          <w:sz w:val="32"/>
          <w:szCs w:val="32"/>
        </w:rPr>
        <w:t>202</w:t>
      </w:r>
      <w:r>
        <w:rPr>
          <w:rFonts w:ascii="仿宋_GB2312" w:hAnsi="仿宋" w:eastAsia="仿宋_GB2312"/>
          <w:color w:val="000000"/>
          <w:sz w:val="32"/>
          <w:szCs w:val="32"/>
        </w:rPr>
        <w:t>1</w:t>
      </w:r>
      <w:r>
        <w:rPr>
          <w:rFonts w:hint="eastAsia" w:ascii="仿宋_GB2312" w:hAnsi="仿宋" w:eastAsia="仿宋_GB2312"/>
          <w:color w:val="000000"/>
          <w:sz w:val="32"/>
          <w:szCs w:val="32"/>
        </w:rPr>
        <w:t>年度收入总计</w:t>
      </w:r>
      <w:r>
        <w:rPr>
          <w:rFonts w:ascii="仿宋_GB2312" w:hAnsi="仿宋" w:eastAsia="仿宋_GB2312"/>
          <w:color w:val="000000"/>
          <w:sz w:val="32"/>
          <w:szCs w:val="32"/>
        </w:rPr>
        <w:t>180.97</w:t>
      </w:r>
      <w:r>
        <w:rPr>
          <w:rFonts w:hint="eastAsia" w:ascii="仿宋_GB2312" w:hAnsi="仿宋" w:eastAsia="仿宋_GB2312"/>
          <w:color w:val="000000"/>
          <w:sz w:val="32"/>
          <w:szCs w:val="32"/>
        </w:rPr>
        <w:t>万元，其中：一般公共性预算财政拨款收入为1</w:t>
      </w:r>
      <w:r>
        <w:rPr>
          <w:rFonts w:ascii="仿宋_GB2312" w:hAnsi="仿宋" w:eastAsia="仿宋_GB2312"/>
          <w:color w:val="000000"/>
          <w:sz w:val="32"/>
          <w:szCs w:val="32"/>
        </w:rPr>
        <w:t>80.97</w:t>
      </w:r>
      <w:r>
        <w:rPr>
          <w:rFonts w:hint="eastAsia" w:ascii="仿宋_GB2312" w:hAnsi="仿宋" w:eastAsia="仿宋_GB2312"/>
          <w:color w:val="000000"/>
          <w:sz w:val="32"/>
          <w:szCs w:val="32"/>
        </w:rPr>
        <w:t>万元，占比1</w:t>
      </w:r>
      <w:r>
        <w:rPr>
          <w:rFonts w:ascii="仿宋_GB2312" w:hAnsi="仿宋" w:eastAsia="仿宋_GB2312"/>
          <w:color w:val="000000"/>
          <w:sz w:val="32"/>
          <w:szCs w:val="32"/>
        </w:rPr>
        <w:t>00%</w:t>
      </w:r>
      <w:r>
        <w:rPr>
          <w:rFonts w:hint="eastAsia" w:ascii="仿宋_GB2312" w:hAnsi="仿宋" w:eastAsia="仿宋_GB2312"/>
          <w:color w:val="000000"/>
          <w:sz w:val="32"/>
          <w:szCs w:val="32"/>
        </w:rPr>
        <w:t>；政府性基金预算财政拨款收入为</w:t>
      </w:r>
      <w:r>
        <w:rPr>
          <w:rFonts w:ascii="仿宋_GB2312" w:hAnsi="仿宋" w:eastAsia="仿宋_GB2312"/>
          <w:color w:val="000000"/>
          <w:sz w:val="32"/>
          <w:szCs w:val="32"/>
        </w:rPr>
        <w:t>0.00</w:t>
      </w:r>
      <w:r>
        <w:rPr>
          <w:rFonts w:hint="eastAsia" w:ascii="仿宋_GB2312" w:hAnsi="仿宋" w:eastAsia="仿宋_GB2312"/>
          <w:color w:val="000000"/>
          <w:sz w:val="32"/>
          <w:szCs w:val="32"/>
        </w:rPr>
        <w:t>万元，占比1</w:t>
      </w:r>
      <w:r>
        <w:rPr>
          <w:rFonts w:ascii="仿宋_GB2312" w:hAnsi="仿宋" w:eastAsia="仿宋_GB2312"/>
          <w:color w:val="000000"/>
          <w:sz w:val="32"/>
          <w:szCs w:val="32"/>
        </w:rPr>
        <w:t>00%</w:t>
      </w:r>
      <w:r>
        <w:rPr>
          <w:rFonts w:hint="eastAsia" w:ascii="仿宋_GB2312" w:hAnsi="仿宋" w:eastAsia="仿宋_GB2312"/>
          <w:color w:val="000000"/>
          <w:sz w:val="32"/>
          <w:szCs w:val="32"/>
        </w:rPr>
        <w:t>；国有资本经营预算财政拨款收入为0</w:t>
      </w:r>
      <w:r>
        <w:rPr>
          <w:rFonts w:ascii="仿宋_GB2312" w:hAnsi="仿宋" w:eastAsia="仿宋_GB2312"/>
          <w:color w:val="000000"/>
          <w:sz w:val="32"/>
          <w:szCs w:val="32"/>
        </w:rPr>
        <w:t>.00</w:t>
      </w:r>
      <w:r>
        <w:rPr>
          <w:rFonts w:hint="eastAsia" w:ascii="仿宋_GB2312" w:hAnsi="仿宋" w:eastAsia="仿宋_GB2312"/>
          <w:color w:val="000000"/>
          <w:sz w:val="32"/>
          <w:szCs w:val="32"/>
        </w:rPr>
        <w:t>万元，占比1</w:t>
      </w:r>
      <w:r>
        <w:rPr>
          <w:rFonts w:ascii="仿宋_GB2312" w:hAnsi="仿宋" w:eastAsia="仿宋_GB2312"/>
          <w:color w:val="000000"/>
          <w:sz w:val="32"/>
          <w:szCs w:val="32"/>
        </w:rPr>
        <w:t>00%</w:t>
      </w:r>
      <w:r>
        <w:rPr>
          <w:rFonts w:hint="eastAsia" w:ascii="仿宋_GB2312" w:hAnsi="仿宋" w:eastAsia="仿宋_GB2312"/>
          <w:color w:val="000000"/>
          <w:sz w:val="32"/>
          <w:szCs w:val="32"/>
        </w:rPr>
        <w:t>；上级补助收入预算财政拨款收入为0</w:t>
      </w:r>
      <w:r>
        <w:rPr>
          <w:rFonts w:ascii="仿宋_GB2312" w:hAnsi="仿宋" w:eastAsia="仿宋_GB2312"/>
          <w:color w:val="000000"/>
          <w:sz w:val="32"/>
          <w:szCs w:val="32"/>
        </w:rPr>
        <w:t>.00</w:t>
      </w:r>
      <w:r>
        <w:rPr>
          <w:rFonts w:hint="eastAsia" w:ascii="仿宋_GB2312" w:hAnsi="仿宋" w:eastAsia="仿宋_GB2312"/>
          <w:color w:val="000000"/>
          <w:sz w:val="32"/>
          <w:szCs w:val="32"/>
        </w:rPr>
        <w:t>万元，占比1</w:t>
      </w:r>
      <w:r>
        <w:rPr>
          <w:rFonts w:ascii="仿宋_GB2312" w:hAnsi="仿宋" w:eastAsia="仿宋_GB2312"/>
          <w:color w:val="000000"/>
          <w:sz w:val="32"/>
          <w:szCs w:val="32"/>
        </w:rPr>
        <w:t>00%</w:t>
      </w:r>
      <w:r>
        <w:rPr>
          <w:rFonts w:hint="eastAsia" w:ascii="仿宋_GB2312" w:hAnsi="仿宋" w:eastAsia="仿宋_GB2312"/>
          <w:color w:val="000000"/>
          <w:sz w:val="32"/>
          <w:szCs w:val="32"/>
        </w:rPr>
        <w:t>；事业收入预算财政拨款收入为0</w:t>
      </w:r>
      <w:r>
        <w:rPr>
          <w:rFonts w:ascii="仿宋_GB2312" w:hAnsi="仿宋" w:eastAsia="仿宋_GB2312"/>
          <w:color w:val="000000"/>
          <w:sz w:val="32"/>
          <w:szCs w:val="32"/>
        </w:rPr>
        <w:t>.00</w:t>
      </w:r>
      <w:r>
        <w:rPr>
          <w:rFonts w:hint="eastAsia" w:ascii="仿宋_GB2312" w:hAnsi="仿宋" w:eastAsia="仿宋_GB2312"/>
          <w:color w:val="000000"/>
          <w:sz w:val="32"/>
          <w:szCs w:val="32"/>
        </w:rPr>
        <w:t>万元，占比1</w:t>
      </w:r>
      <w:r>
        <w:rPr>
          <w:rFonts w:ascii="仿宋_GB2312" w:hAnsi="仿宋" w:eastAsia="仿宋_GB2312"/>
          <w:color w:val="000000"/>
          <w:sz w:val="32"/>
          <w:szCs w:val="32"/>
        </w:rPr>
        <w:t>00%</w:t>
      </w:r>
      <w:r>
        <w:rPr>
          <w:rFonts w:hint="eastAsia" w:ascii="仿宋_GB2312" w:hAnsi="仿宋" w:eastAsia="仿宋_GB2312"/>
          <w:color w:val="000000"/>
          <w:sz w:val="32"/>
          <w:szCs w:val="32"/>
        </w:rPr>
        <w:t>；经营收入预算财政拨款收入为0</w:t>
      </w:r>
      <w:r>
        <w:rPr>
          <w:rFonts w:ascii="仿宋_GB2312" w:hAnsi="仿宋" w:eastAsia="仿宋_GB2312"/>
          <w:color w:val="000000"/>
          <w:sz w:val="32"/>
          <w:szCs w:val="32"/>
        </w:rPr>
        <w:t>.00</w:t>
      </w:r>
      <w:r>
        <w:rPr>
          <w:rFonts w:hint="eastAsia" w:ascii="仿宋_GB2312" w:hAnsi="仿宋" w:eastAsia="仿宋_GB2312"/>
          <w:color w:val="000000"/>
          <w:sz w:val="32"/>
          <w:szCs w:val="32"/>
        </w:rPr>
        <w:t>万元，占比1</w:t>
      </w:r>
      <w:r>
        <w:rPr>
          <w:rFonts w:ascii="仿宋_GB2312" w:hAnsi="仿宋" w:eastAsia="仿宋_GB2312"/>
          <w:color w:val="000000"/>
          <w:sz w:val="32"/>
          <w:szCs w:val="32"/>
        </w:rPr>
        <w:t>00%</w:t>
      </w:r>
      <w:r>
        <w:rPr>
          <w:rFonts w:hint="eastAsia" w:ascii="仿宋_GB2312" w:hAnsi="仿宋" w:eastAsia="仿宋_GB2312"/>
          <w:color w:val="000000"/>
          <w:sz w:val="32"/>
          <w:szCs w:val="32"/>
        </w:rPr>
        <w:t>；附属单位上缴收入预算财政拨款收入为0</w:t>
      </w:r>
      <w:r>
        <w:rPr>
          <w:rFonts w:ascii="仿宋_GB2312" w:hAnsi="仿宋" w:eastAsia="仿宋_GB2312"/>
          <w:color w:val="000000"/>
          <w:sz w:val="32"/>
          <w:szCs w:val="32"/>
        </w:rPr>
        <w:t>.00</w:t>
      </w:r>
      <w:r>
        <w:rPr>
          <w:rFonts w:hint="eastAsia" w:ascii="仿宋_GB2312" w:hAnsi="仿宋" w:eastAsia="仿宋_GB2312"/>
          <w:color w:val="000000"/>
          <w:sz w:val="32"/>
          <w:szCs w:val="32"/>
        </w:rPr>
        <w:t>万元，占比1</w:t>
      </w:r>
      <w:r>
        <w:rPr>
          <w:rFonts w:ascii="仿宋_GB2312" w:hAnsi="仿宋" w:eastAsia="仿宋_GB2312"/>
          <w:color w:val="000000"/>
          <w:sz w:val="32"/>
          <w:szCs w:val="32"/>
        </w:rPr>
        <w:t>00%</w:t>
      </w:r>
      <w:r>
        <w:rPr>
          <w:rFonts w:hint="eastAsia" w:ascii="仿宋_GB2312" w:hAnsi="仿宋" w:eastAsia="仿宋_GB2312"/>
          <w:color w:val="000000"/>
          <w:sz w:val="32"/>
          <w:szCs w:val="32"/>
        </w:rPr>
        <w:t>；其他收入预算财政拨款收入为0</w:t>
      </w:r>
      <w:r>
        <w:rPr>
          <w:rFonts w:ascii="仿宋_GB2312" w:hAnsi="仿宋" w:eastAsia="仿宋_GB2312"/>
          <w:color w:val="000000"/>
          <w:sz w:val="32"/>
          <w:szCs w:val="32"/>
        </w:rPr>
        <w:t>.00</w:t>
      </w:r>
      <w:r>
        <w:rPr>
          <w:rFonts w:hint="eastAsia" w:ascii="仿宋_GB2312" w:hAnsi="仿宋" w:eastAsia="仿宋_GB2312"/>
          <w:color w:val="000000"/>
          <w:sz w:val="32"/>
          <w:szCs w:val="32"/>
        </w:rPr>
        <w:t>万元，占比1</w:t>
      </w:r>
      <w:r>
        <w:rPr>
          <w:rFonts w:ascii="仿宋_GB2312" w:hAnsi="仿宋" w:eastAsia="仿宋_GB2312"/>
          <w:color w:val="000000"/>
          <w:sz w:val="32"/>
          <w:szCs w:val="32"/>
        </w:rPr>
        <w:t>00%</w:t>
      </w:r>
      <w:r>
        <w:rPr>
          <w:rFonts w:hint="eastAsia" w:ascii="仿宋_GB2312" w:hAnsi="仿宋" w:eastAsia="仿宋_GB2312" w:cs="仿宋_GB2312"/>
          <w:sz w:val="32"/>
          <w:szCs w:val="32"/>
        </w:rPr>
        <w:t xml:space="preserve"> 。</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（二）部门财政资金支出情况。</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本年度总支出为2</w:t>
      </w:r>
      <w:r>
        <w:rPr>
          <w:rFonts w:ascii="仿宋_GB2312" w:hAnsi="仿宋" w:eastAsia="仿宋_GB2312" w:cs="仿宋_GB2312"/>
          <w:sz w:val="32"/>
          <w:szCs w:val="32"/>
        </w:rPr>
        <w:t>05.62</w:t>
      </w:r>
      <w:r>
        <w:rPr>
          <w:rFonts w:hint="eastAsia" w:ascii="仿宋_GB2312" w:hAnsi="仿宋" w:eastAsia="仿宋_GB2312" w:cs="仿宋_GB2312"/>
          <w:sz w:val="32"/>
          <w:szCs w:val="32"/>
        </w:rPr>
        <w:t>万元，其中：一般公共服务支出为1</w:t>
      </w:r>
      <w:r>
        <w:rPr>
          <w:rFonts w:ascii="仿宋_GB2312" w:hAnsi="仿宋" w:eastAsia="仿宋_GB2312" w:cs="仿宋_GB2312"/>
          <w:sz w:val="32"/>
          <w:szCs w:val="32"/>
        </w:rPr>
        <w:t>62.71</w:t>
      </w:r>
      <w:r>
        <w:rPr>
          <w:rFonts w:hint="eastAsia" w:ascii="仿宋_GB2312" w:hAnsi="仿宋" w:eastAsia="仿宋_GB2312" w:cs="仿宋_GB2312"/>
          <w:sz w:val="32"/>
          <w:szCs w:val="32"/>
        </w:rPr>
        <w:t>万元，占比</w:t>
      </w:r>
      <w:r>
        <w:rPr>
          <w:rFonts w:ascii="仿宋_GB2312" w:hAnsi="仿宋" w:eastAsia="仿宋_GB2312" w:cs="仿宋_GB2312"/>
          <w:sz w:val="32"/>
          <w:szCs w:val="32"/>
        </w:rPr>
        <w:t>79%</w:t>
      </w:r>
      <w:r>
        <w:rPr>
          <w:rFonts w:hint="eastAsia" w:ascii="仿宋_GB2312" w:hAnsi="仿宋" w:eastAsia="仿宋_GB2312" w:cs="仿宋_GB2312"/>
          <w:sz w:val="32"/>
          <w:szCs w:val="32"/>
        </w:rPr>
        <w:t>；社会保障和就业支出为2</w:t>
      </w:r>
      <w:r>
        <w:rPr>
          <w:rFonts w:ascii="仿宋_GB2312" w:hAnsi="仿宋" w:eastAsia="仿宋_GB2312" w:cs="仿宋_GB2312"/>
          <w:sz w:val="32"/>
          <w:szCs w:val="32"/>
        </w:rPr>
        <w:t>0.43</w:t>
      </w:r>
      <w:r>
        <w:rPr>
          <w:rFonts w:hint="eastAsia" w:ascii="仿宋_GB2312" w:hAnsi="仿宋" w:eastAsia="仿宋_GB2312" w:cs="仿宋_GB2312"/>
          <w:sz w:val="32"/>
          <w:szCs w:val="32"/>
        </w:rPr>
        <w:t>万元，占比</w:t>
      </w:r>
      <w:r>
        <w:rPr>
          <w:rFonts w:ascii="仿宋_GB2312" w:hAnsi="仿宋" w:eastAsia="仿宋_GB2312" w:cs="仿宋_GB2312"/>
          <w:sz w:val="32"/>
          <w:szCs w:val="32"/>
        </w:rPr>
        <w:t>10%</w:t>
      </w:r>
      <w:r>
        <w:rPr>
          <w:rFonts w:hint="eastAsia" w:ascii="仿宋_GB2312" w:hAnsi="仿宋" w:eastAsia="仿宋_GB2312" w:cs="仿宋_GB2312"/>
          <w:sz w:val="32"/>
          <w:szCs w:val="32"/>
        </w:rPr>
        <w:t>；卫生健康支出为9</w:t>
      </w:r>
      <w:r>
        <w:rPr>
          <w:rFonts w:ascii="仿宋_GB2312" w:hAnsi="仿宋" w:eastAsia="仿宋_GB2312" w:cs="仿宋_GB2312"/>
          <w:sz w:val="32"/>
          <w:szCs w:val="32"/>
        </w:rPr>
        <w:t>.37</w:t>
      </w:r>
      <w:r>
        <w:rPr>
          <w:rFonts w:hint="eastAsia" w:ascii="仿宋_GB2312" w:hAnsi="仿宋" w:eastAsia="仿宋_GB2312" w:cs="仿宋_GB2312"/>
          <w:sz w:val="32"/>
          <w:szCs w:val="32"/>
        </w:rPr>
        <w:t>万元，占比</w:t>
      </w:r>
      <w:r>
        <w:rPr>
          <w:rFonts w:ascii="仿宋_GB2312" w:hAnsi="仿宋" w:eastAsia="仿宋_GB2312" w:cs="仿宋_GB2312"/>
          <w:sz w:val="32"/>
          <w:szCs w:val="32"/>
        </w:rPr>
        <w:t>5%;</w:t>
      </w:r>
      <w:r>
        <w:rPr>
          <w:rFonts w:hint="eastAsia" w:ascii="仿宋_GB2312" w:hAnsi="仿宋" w:eastAsia="仿宋_GB2312" w:cs="仿宋_GB2312"/>
          <w:sz w:val="32"/>
          <w:szCs w:val="32"/>
        </w:rPr>
        <w:t>住房保障支出为1</w:t>
      </w:r>
      <w:r>
        <w:rPr>
          <w:rFonts w:ascii="仿宋_GB2312" w:hAnsi="仿宋" w:eastAsia="仿宋_GB2312" w:cs="仿宋_GB2312"/>
          <w:sz w:val="32"/>
          <w:szCs w:val="32"/>
        </w:rPr>
        <w:t>3.11</w:t>
      </w:r>
      <w:r>
        <w:rPr>
          <w:rFonts w:hint="eastAsia" w:ascii="仿宋_GB2312" w:hAnsi="仿宋" w:eastAsia="仿宋_GB2312" w:cs="仿宋_GB2312"/>
          <w:sz w:val="32"/>
          <w:szCs w:val="32"/>
        </w:rPr>
        <w:t>万元，占比</w:t>
      </w:r>
      <w:r>
        <w:rPr>
          <w:rFonts w:ascii="仿宋_GB2312" w:hAnsi="仿宋" w:eastAsia="仿宋_GB2312" w:cs="仿宋_GB2312"/>
          <w:sz w:val="32"/>
          <w:szCs w:val="32"/>
        </w:rPr>
        <w:t>6%.</w:t>
      </w:r>
      <w:r>
        <w:rPr>
          <w:rFonts w:hint="eastAsia" w:ascii="仿宋_GB2312" w:hAnsi="仿宋" w:eastAsia="仿宋_GB2312" w:cs="仿宋_GB2312"/>
          <w:sz w:val="32"/>
          <w:szCs w:val="32"/>
        </w:rPr>
        <w:t>。</w:t>
      </w:r>
    </w:p>
    <w:p>
      <w:pPr>
        <w:spacing w:line="240" w:lineRule="auto"/>
        <w:rPr>
          <w:rFonts w:hint="eastAsia" w:ascii="仿宋_GB2312" w:hAnsi="仿宋" w:eastAsia="仿宋_GB2312" w:cs="仿宋_GB2312"/>
          <w:sz w:val="32"/>
          <w:szCs w:val="32"/>
        </w:rPr>
      </w:pPr>
      <w:r>
        <w:rPr>
          <w:rFonts w:hint="eastAsia" w:ascii="仿宋_GB2312" w:hAnsi="仿宋" w:eastAsia="仿宋_GB2312" w:cs="仿宋_GB2312"/>
          <w:sz w:val="32"/>
          <w:szCs w:val="32"/>
          <w:lang w:eastAsia="zh-CN"/>
        </w:rPr>
        <w:drawing>
          <wp:inline distT="0" distB="0" distL="114300" distR="114300">
            <wp:extent cx="4584065" cy="2613025"/>
            <wp:effectExtent l="0" t="0" r="6985" b="15875"/>
            <wp:docPr id="4" name="图片 4"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图片1"/>
                    <pic:cNvPicPr>
                      <a:picLocks noChangeAspect="1"/>
                    </pic:cNvPicPr>
                  </pic:nvPicPr>
                  <pic:blipFill>
                    <a:blip r:embed="rId4"/>
                    <a:stretch>
                      <a:fillRect/>
                    </a:stretch>
                  </pic:blipFill>
                  <pic:spPr>
                    <a:xfrm>
                      <a:off x="0" y="0"/>
                      <a:ext cx="4584065" cy="2613025"/>
                    </a:xfrm>
                    <a:prstGeom prst="rect">
                      <a:avLst/>
                    </a:prstGeom>
                  </pic:spPr>
                </pic:pic>
              </a:graphicData>
            </a:graphic>
          </wp:inline>
        </w:drawing>
      </w:r>
    </w:p>
    <w:p>
      <w:pPr>
        <w:spacing w:line="580" w:lineRule="exact"/>
        <w:ind w:firstLine="640" w:firstLineChars="200"/>
        <w:rPr>
          <w:rFonts w:hint="eastAsia" w:ascii="仿宋_GB2312" w:hAnsi="黑体" w:eastAsia="仿宋_GB2312" w:cs="黑体"/>
          <w:sz w:val="32"/>
          <w:szCs w:val="32"/>
        </w:rPr>
      </w:pPr>
      <w:r>
        <w:rPr>
          <w:rFonts w:hint="eastAsia" w:ascii="仿宋_GB2312" w:hAnsi="黑体" w:eastAsia="仿宋_GB2312" w:cs="黑体"/>
          <w:sz w:val="32"/>
          <w:szCs w:val="32"/>
          <w:lang w:eastAsia="zh-CN"/>
        </w:rPr>
        <w:t>本年度一般公共预算财政拨款收入相比上年度增加</w:t>
      </w:r>
      <w:r>
        <w:rPr>
          <w:rFonts w:hint="eastAsia" w:ascii="仿宋_GB2312" w:hAnsi="黑体" w:eastAsia="仿宋_GB2312" w:cs="黑体"/>
          <w:sz w:val="32"/>
          <w:szCs w:val="32"/>
          <w:lang w:val="en-US" w:eastAsia="zh-CN"/>
        </w:rPr>
        <w:t>46.08万元，主要原因人员变动，增加两人；社会保障支出</w:t>
      </w:r>
      <w:r>
        <w:rPr>
          <w:rFonts w:hint="eastAsia" w:ascii="仿宋_GB2312" w:hAnsi="黑体" w:eastAsia="仿宋_GB2312" w:cs="黑体"/>
          <w:sz w:val="32"/>
          <w:szCs w:val="32"/>
          <w:lang w:eastAsia="zh-CN"/>
        </w:rPr>
        <w:t>相比上年度增加</w:t>
      </w:r>
      <w:r>
        <w:rPr>
          <w:rFonts w:hint="eastAsia" w:ascii="仿宋_GB2312" w:hAnsi="黑体" w:eastAsia="仿宋_GB2312" w:cs="黑体"/>
          <w:sz w:val="32"/>
          <w:szCs w:val="32"/>
          <w:lang w:val="en-US" w:eastAsia="zh-CN"/>
        </w:rPr>
        <w:t>2.34万元，主要原因人员变动，增加两人；</w:t>
      </w:r>
      <w:r>
        <w:rPr>
          <w:rFonts w:hint="eastAsia" w:ascii="仿宋_GB2312" w:hAnsi="仿宋" w:eastAsia="仿宋_GB2312" w:cs="仿宋_GB2312"/>
          <w:sz w:val="32"/>
          <w:szCs w:val="32"/>
        </w:rPr>
        <w:t>卫生健康</w:t>
      </w:r>
      <w:r>
        <w:rPr>
          <w:rFonts w:hint="eastAsia" w:ascii="仿宋_GB2312" w:hAnsi="仿宋" w:eastAsia="仿宋_GB2312" w:cs="仿宋_GB2312"/>
          <w:sz w:val="32"/>
          <w:szCs w:val="32"/>
          <w:lang w:eastAsia="zh-CN"/>
        </w:rPr>
        <w:t>收入相比上年度增加</w:t>
      </w:r>
      <w:r>
        <w:rPr>
          <w:rFonts w:hint="eastAsia" w:ascii="仿宋_GB2312" w:hAnsi="仿宋" w:eastAsia="仿宋_GB2312" w:cs="仿宋_GB2312"/>
          <w:sz w:val="32"/>
          <w:szCs w:val="32"/>
          <w:lang w:val="en-US" w:eastAsia="zh-CN"/>
        </w:rPr>
        <w:t>2.83万元，</w:t>
      </w:r>
      <w:r>
        <w:rPr>
          <w:rFonts w:hint="eastAsia" w:ascii="仿宋_GB2312" w:hAnsi="黑体" w:eastAsia="仿宋_GB2312" w:cs="黑体"/>
          <w:sz w:val="32"/>
          <w:szCs w:val="32"/>
          <w:lang w:val="en-US" w:eastAsia="zh-CN"/>
        </w:rPr>
        <w:t>主要原因人员变动，增加两人；住房保障收入相比上年度增加3.59万元，主要原因人员变动，增加两人。</w:t>
      </w:r>
      <w:r>
        <w:rPr>
          <w:rFonts w:hint="eastAsia" w:ascii="仿宋_GB2312" w:hAnsi="仿宋" w:eastAsia="仿宋_GB2312"/>
          <w:color w:val="000000"/>
          <w:sz w:val="32"/>
          <w:szCs w:val="32"/>
        </w:rPr>
        <w:t>政府性基金预算财政拨款收入</w:t>
      </w:r>
      <w:r>
        <w:rPr>
          <w:rFonts w:hint="eastAsia" w:ascii="仿宋_GB2312" w:hAnsi="黑体" w:eastAsia="仿宋_GB2312" w:cs="黑体"/>
          <w:sz w:val="32"/>
          <w:szCs w:val="32"/>
          <w:lang w:eastAsia="zh-CN"/>
        </w:rPr>
        <w:t>相比上年度减少</w:t>
      </w:r>
      <w:r>
        <w:rPr>
          <w:rFonts w:hint="eastAsia" w:ascii="仿宋_GB2312" w:hAnsi="黑体" w:eastAsia="仿宋_GB2312" w:cs="黑体"/>
          <w:sz w:val="32"/>
          <w:szCs w:val="32"/>
          <w:lang w:val="en-US" w:eastAsia="zh-CN"/>
        </w:rPr>
        <w:t>0.00万元，主要原因无变动；</w:t>
      </w:r>
      <w:r>
        <w:rPr>
          <w:rFonts w:hint="eastAsia" w:ascii="仿宋_GB2312" w:hAnsi="仿宋" w:eastAsia="仿宋_GB2312"/>
          <w:color w:val="000000"/>
          <w:sz w:val="32"/>
          <w:szCs w:val="32"/>
        </w:rPr>
        <w:t>国有资本经营预算财政拨款收入</w:t>
      </w:r>
      <w:r>
        <w:rPr>
          <w:rFonts w:hint="eastAsia" w:ascii="仿宋_GB2312" w:hAnsi="黑体" w:eastAsia="仿宋_GB2312" w:cs="黑体"/>
          <w:sz w:val="32"/>
          <w:szCs w:val="32"/>
          <w:lang w:eastAsia="zh-CN"/>
        </w:rPr>
        <w:t>相比上年度减少</w:t>
      </w:r>
      <w:r>
        <w:rPr>
          <w:rFonts w:hint="eastAsia" w:ascii="仿宋_GB2312" w:hAnsi="黑体" w:eastAsia="仿宋_GB2312" w:cs="黑体"/>
          <w:sz w:val="32"/>
          <w:szCs w:val="32"/>
          <w:lang w:val="en-US" w:eastAsia="zh-CN"/>
        </w:rPr>
        <w:t>0.00万元，主要原因无变动；</w:t>
      </w:r>
      <w:r>
        <w:rPr>
          <w:rFonts w:hint="eastAsia" w:ascii="仿宋_GB2312" w:hAnsi="仿宋" w:eastAsia="仿宋_GB2312"/>
          <w:color w:val="000000"/>
          <w:sz w:val="32"/>
          <w:szCs w:val="32"/>
        </w:rPr>
        <w:t>上级补助收入预算财政拨款收入</w:t>
      </w:r>
      <w:r>
        <w:rPr>
          <w:rFonts w:hint="eastAsia" w:ascii="仿宋_GB2312" w:hAnsi="黑体" w:eastAsia="仿宋_GB2312" w:cs="黑体"/>
          <w:sz w:val="32"/>
          <w:szCs w:val="32"/>
          <w:lang w:eastAsia="zh-CN"/>
        </w:rPr>
        <w:t>相比上年度减少</w:t>
      </w:r>
      <w:r>
        <w:rPr>
          <w:rFonts w:hint="eastAsia" w:ascii="仿宋_GB2312" w:hAnsi="黑体" w:eastAsia="仿宋_GB2312" w:cs="黑体"/>
          <w:sz w:val="32"/>
          <w:szCs w:val="32"/>
          <w:lang w:val="en-US" w:eastAsia="zh-CN"/>
        </w:rPr>
        <w:t>0.00万元，主要原因无变动；</w:t>
      </w:r>
      <w:r>
        <w:rPr>
          <w:rFonts w:hint="eastAsia" w:ascii="仿宋_GB2312" w:hAnsi="仿宋" w:eastAsia="仿宋_GB2312"/>
          <w:color w:val="000000"/>
          <w:sz w:val="32"/>
          <w:szCs w:val="32"/>
        </w:rPr>
        <w:t>事业收入预算财政拨款收入</w:t>
      </w:r>
      <w:r>
        <w:rPr>
          <w:rFonts w:hint="eastAsia" w:ascii="仿宋_GB2312" w:hAnsi="黑体" w:eastAsia="仿宋_GB2312" w:cs="黑体"/>
          <w:sz w:val="32"/>
          <w:szCs w:val="32"/>
          <w:lang w:eastAsia="zh-CN"/>
        </w:rPr>
        <w:t>相比上年度减少</w:t>
      </w:r>
      <w:r>
        <w:rPr>
          <w:rFonts w:hint="eastAsia" w:ascii="仿宋_GB2312" w:hAnsi="黑体" w:eastAsia="仿宋_GB2312" w:cs="黑体"/>
          <w:sz w:val="32"/>
          <w:szCs w:val="32"/>
          <w:lang w:val="en-US" w:eastAsia="zh-CN"/>
        </w:rPr>
        <w:t>0.00万元，主要原因无变动；</w:t>
      </w:r>
      <w:r>
        <w:rPr>
          <w:rFonts w:hint="eastAsia" w:ascii="仿宋_GB2312" w:hAnsi="仿宋" w:eastAsia="仿宋_GB2312"/>
          <w:color w:val="000000"/>
          <w:sz w:val="32"/>
          <w:szCs w:val="32"/>
        </w:rPr>
        <w:t>经营收入预算财政拨款收入</w:t>
      </w:r>
      <w:r>
        <w:rPr>
          <w:rFonts w:hint="eastAsia" w:ascii="仿宋_GB2312" w:hAnsi="黑体" w:eastAsia="仿宋_GB2312" w:cs="黑体"/>
          <w:sz w:val="32"/>
          <w:szCs w:val="32"/>
          <w:lang w:eastAsia="zh-CN"/>
        </w:rPr>
        <w:t>相比上年度减少</w:t>
      </w:r>
      <w:r>
        <w:rPr>
          <w:rFonts w:hint="eastAsia" w:ascii="仿宋_GB2312" w:hAnsi="黑体" w:eastAsia="仿宋_GB2312" w:cs="黑体"/>
          <w:sz w:val="32"/>
          <w:szCs w:val="32"/>
          <w:lang w:val="en-US" w:eastAsia="zh-CN"/>
        </w:rPr>
        <w:t>0.00万元，主要原因无变动。</w:t>
      </w:r>
    </w:p>
    <w:p>
      <w:pPr>
        <w:pStyle w:val="5"/>
        <w:keepNext w:val="0"/>
        <w:keepLines w:val="0"/>
        <w:widowControl/>
        <w:suppressLineNumbers w:val="0"/>
        <w:shd w:val="clear" w:fill="FFFFFF"/>
        <w:spacing w:before="0" w:beforeAutospacing="0" w:after="0" w:afterAutospacing="0" w:line="560" w:lineRule="exact"/>
        <w:ind w:left="0" w:right="0" w:firstLine="643" w:firstLineChars="200"/>
        <w:jc w:val="both"/>
        <w:rPr>
          <w:rFonts w:hint="eastAsia" w:ascii="仿宋_GB2312" w:hAnsi="Times New Roman" w:eastAsia="仿宋_GB2312" w:cs="仿宋_GB2312"/>
          <w:kern w:val="2"/>
          <w:sz w:val="32"/>
          <w:szCs w:val="32"/>
          <w:shd w:val="clear" w:fill="FFFFFF"/>
          <w:lang w:val="en-US"/>
        </w:rPr>
      </w:pPr>
      <w:r>
        <w:rPr>
          <w:rFonts w:hint="eastAsia" w:ascii="仿宋_GB2312" w:hAnsi="Times New Roman" w:eastAsia="仿宋_GB2312" w:cs="仿宋_GB2312"/>
          <w:b/>
          <w:kern w:val="2"/>
          <w:sz w:val="32"/>
          <w:szCs w:val="32"/>
          <w:shd w:val="clear" w:fill="FFFFFF"/>
          <w:lang w:val="en-US" w:eastAsia="zh-CN" w:bidi="ar"/>
        </w:rPr>
        <w:t>3．支出按经济分类科目分析。</w:t>
      </w:r>
    </w:p>
    <w:p>
      <w:pPr>
        <w:pStyle w:val="5"/>
        <w:keepNext w:val="0"/>
        <w:keepLines w:val="0"/>
        <w:widowControl/>
        <w:suppressLineNumbers w:val="0"/>
        <w:shd w:val="clear" w:fill="FFFFFF"/>
        <w:spacing w:before="0" w:beforeAutospacing="0" w:after="0" w:afterAutospacing="0" w:line="560" w:lineRule="exact"/>
        <w:ind w:left="0" w:right="0" w:firstLine="640" w:firstLineChars="200"/>
        <w:jc w:val="both"/>
        <w:rPr>
          <w:rFonts w:hint="eastAsia" w:ascii="仿宋_GB2312" w:hAnsi="Times New Roman" w:eastAsia="仿宋_GB2312" w:cs="仿宋_GB2312"/>
          <w:kern w:val="2"/>
          <w:sz w:val="32"/>
          <w:szCs w:val="32"/>
          <w:shd w:val="clear" w:fill="FFFFFF"/>
          <w:lang w:val="en-US"/>
        </w:rPr>
      </w:pPr>
      <w:r>
        <w:rPr>
          <w:rFonts w:hint="eastAsia" w:ascii="仿宋_GB2312" w:hAnsi="Times New Roman" w:eastAsia="仿宋_GB2312" w:cs="仿宋_GB2312"/>
          <w:kern w:val="2"/>
          <w:sz w:val="32"/>
          <w:szCs w:val="32"/>
          <w:shd w:val="clear" w:fill="FFFFFF"/>
          <w:lang w:val="en-US" w:eastAsia="zh-CN" w:bidi="ar"/>
        </w:rPr>
        <w:t>（1） “三公”经费支出情况：本单位本年度“三公”经费支出决算数为</w:t>
      </w:r>
      <w:r>
        <w:rPr>
          <w:rFonts w:hint="eastAsia" w:ascii="仿宋_GB2312" w:eastAsia="仿宋_GB2312" w:cs="仿宋_GB2312"/>
          <w:kern w:val="2"/>
          <w:sz w:val="32"/>
          <w:szCs w:val="32"/>
          <w:shd w:val="clear" w:fill="FFFFFF"/>
          <w:lang w:val="en-US" w:eastAsia="zh-CN" w:bidi="ar"/>
        </w:rPr>
        <w:t>3.70</w:t>
      </w:r>
      <w:r>
        <w:rPr>
          <w:rFonts w:hint="eastAsia" w:ascii="仿宋_GB2312" w:hAnsi="Times New Roman" w:eastAsia="仿宋_GB2312" w:cs="仿宋_GB2312"/>
          <w:kern w:val="2"/>
          <w:sz w:val="32"/>
          <w:szCs w:val="32"/>
          <w:shd w:val="clear" w:fill="FFFFFF"/>
          <w:lang w:val="en-US" w:eastAsia="zh-CN" w:bidi="ar"/>
        </w:rPr>
        <w:t>万元。其中:因公出国（境）费支出决算数为0.00万元，相比上年度减少0.00万元；公务用车购置及运行维护费支出决算数为</w:t>
      </w:r>
      <w:r>
        <w:rPr>
          <w:rFonts w:hint="eastAsia" w:ascii="仿宋_GB2312" w:eastAsia="仿宋_GB2312" w:cs="仿宋_GB2312"/>
          <w:kern w:val="2"/>
          <w:sz w:val="32"/>
          <w:szCs w:val="32"/>
          <w:shd w:val="clear" w:fill="FFFFFF"/>
          <w:lang w:val="en-US" w:eastAsia="zh-CN" w:bidi="ar"/>
        </w:rPr>
        <w:t>3.70</w:t>
      </w:r>
      <w:r>
        <w:rPr>
          <w:rFonts w:hint="eastAsia" w:ascii="仿宋_GB2312" w:hAnsi="Times New Roman" w:eastAsia="仿宋_GB2312" w:cs="仿宋_GB2312"/>
          <w:kern w:val="2"/>
          <w:sz w:val="32"/>
          <w:szCs w:val="32"/>
          <w:shd w:val="clear" w:fill="FFFFFF"/>
          <w:lang w:val="en-US" w:eastAsia="zh-CN" w:bidi="ar"/>
        </w:rPr>
        <w:t>万元，相比上年度</w:t>
      </w:r>
      <w:r>
        <w:rPr>
          <w:rFonts w:hint="eastAsia" w:ascii="仿宋_GB2312" w:eastAsia="仿宋_GB2312" w:cs="仿宋_GB2312"/>
          <w:kern w:val="2"/>
          <w:sz w:val="32"/>
          <w:szCs w:val="32"/>
          <w:shd w:val="clear" w:fill="FFFFFF"/>
          <w:lang w:val="en-US" w:eastAsia="zh-CN" w:bidi="ar"/>
        </w:rPr>
        <w:t>减少0.26</w:t>
      </w:r>
      <w:r>
        <w:rPr>
          <w:rFonts w:hint="eastAsia" w:ascii="仿宋_GB2312" w:hAnsi="Times New Roman" w:eastAsia="仿宋_GB2312" w:cs="仿宋_GB2312"/>
          <w:kern w:val="2"/>
          <w:sz w:val="32"/>
          <w:szCs w:val="32"/>
          <w:shd w:val="clear" w:fill="FFFFFF"/>
          <w:lang w:val="en-US" w:eastAsia="zh-CN" w:bidi="ar"/>
        </w:rPr>
        <w:t>万元，主要原</w:t>
      </w:r>
      <w:r>
        <w:rPr>
          <w:rFonts w:hint="eastAsia" w:ascii="仿宋_GB2312" w:eastAsia="仿宋_GB2312" w:cs="仿宋_GB2312"/>
          <w:kern w:val="2"/>
          <w:sz w:val="32"/>
          <w:szCs w:val="32"/>
          <w:shd w:val="clear" w:fill="FFFFFF"/>
          <w:lang w:val="en-US" w:eastAsia="zh-CN" w:bidi="ar"/>
        </w:rPr>
        <w:t>公务用车次数减少</w:t>
      </w:r>
      <w:r>
        <w:rPr>
          <w:rFonts w:hint="eastAsia" w:ascii="仿宋_GB2312" w:hAnsi="Times New Roman" w:eastAsia="仿宋_GB2312" w:cs="仿宋_GB2312"/>
          <w:kern w:val="2"/>
          <w:sz w:val="32"/>
          <w:szCs w:val="32"/>
          <w:shd w:val="clear" w:fill="FFFFFF"/>
          <w:lang w:val="en-US" w:eastAsia="zh-CN" w:bidi="ar"/>
        </w:rPr>
        <w:t>；公务接待费支出决算数为0.00万元，相比上年度减少0.00万元。 本年度决算数为</w:t>
      </w:r>
      <w:r>
        <w:rPr>
          <w:rFonts w:hint="eastAsia" w:ascii="仿宋_GB2312" w:eastAsia="仿宋_GB2312" w:cs="仿宋_GB2312"/>
          <w:kern w:val="2"/>
          <w:sz w:val="32"/>
          <w:szCs w:val="32"/>
          <w:shd w:val="clear" w:fill="FFFFFF"/>
          <w:lang w:val="en-US" w:eastAsia="zh-CN" w:bidi="ar"/>
        </w:rPr>
        <w:t>3.70</w:t>
      </w:r>
      <w:r>
        <w:rPr>
          <w:rFonts w:hint="eastAsia" w:ascii="仿宋_GB2312" w:hAnsi="Times New Roman" w:eastAsia="仿宋_GB2312" w:cs="仿宋_GB2312"/>
          <w:kern w:val="2"/>
          <w:sz w:val="32"/>
          <w:szCs w:val="32"/>
          <w:shd w:val="clear" w:fill="FFFFFF"/>
          <w:lang w:val="en-US" w:eastAsia="zh-CN" w:bidi="ar"/>
        </w:rPr>
        <w:t>万元</w:t>
      </w:r>
      <w:r>
        <w:rPr>
          <w:rFonts w:hint="eastAsia" w:ascii="仿宋_GB2312" w:eastAsia="仿宋_GB2312" w:cs="仿宋_GB2312"/>
          <w:kern w:val="2"/>
          <w:sz w:val="32"/>
          <w:szCs w:val="32"/>
          <w:shd w:val="clear" w:fill="FFFFFF"/>
          <w:lang w:val="en-US" w:eastAsia="zh-CN" w:bidi="ar"/>
        </w:rPr>
        <w:t>，</w:t>
      </w:r>
      <w:r>
        <w:rPr>
          <w:rFonts w:hint="eastAsia" w:ascii="仿宋_GB2312" w:hAnsi="Times New Roman" w:eastAsia="仿宋_GB2312" w:cs="仿宋_GB2312"/>
          <w:kern w:val="2"/>
          <w:sz w:val="32"/>
          <w:szCs w:val="32"/>
          <w:shd w:val="clear" w:fill="FFFFFF"/>
          <w:lang w:val="en-US" w:eastAsia="zh-CN" w:bidi="ar"/>
        </w:rPr>
        <w:t>本年度因 公出国（境）费人均支出为0.00万元，公务用车购置及运行维护费人均支出为</w:t>
      </w:r>
      <w:r>
        <w:rPr>
          <w:rFonts w:hint="eastAsia" w:ascii="仿宋_GB2312" w:eastAsia="仿宋_GB2312" w:cs="仿宋_GB2312"/>
          <w:kern w:val="2"/>
          <w:sz w:val="32"/>
          <w:szCs w:val="32"/>
          <w:shd w:val="clear" w:fill="FFFFFF"/>
          <w:lang w:val="en-US" w:eastAsia="zh-CN" w:bidi="ar"/>
        </w:rPr>
        <w:t>0.37</w:t>
      </w:r>
      <w:r>
        <w:rPr>
          <w:rFonts w:hint="eastAsia" w:ascii="仿宋_GB2312" w:hAnsi="Times New Roman" w:eastAsia="仿宋_GB2312" w:cs="仿宋_GB2312"/>
          <w:kern w:val="2"/>
          <w:sz w:val="32"/>
          <w:szCs w:val="32"/>
          <w:shd w:val="clear" w:fill="FFFFFF"/>
          <w:lang w:val="en-US" w:eastAsia="zh-CN" w:bidi="ar"/>
        </w:rPr>
        <w:t>万元，公务接待费人均支出为0.00万元。</w:t>
      </w:r>
    </w:p>
    <w:p>
      <w:pPr>
        <w:pStyle w:val="5"/>
        <w:keepNext w:val="0"/>
        <w:keepLines w:val="0"/>
        <w:widowControl/>
        <w:suppressLineNumbers w:val="0"/>
        <w:shd w:val="clear" w:fill="FFFFFF"/>
        <w:spacing w:before="0" w:beforeAutospacing="0" w:after="0" w:afterAutospacing="0" w:line="560" w:lineRule="exact"/>
        <w:ind w:left="0" w:right="0" w:firstLine="640" w:firstLineChars="200"/>
        <w:jc w:val="both"/>
        <w:rPr>
          <w:rFonts w:hint="eastAsia" w:ascii="仿宋_GB2312" w:hAnsi="黑体" w:eastAsia="仿宋_GB2312" w:cs="黑体"/>
          <w:sz w:val="32"/>
          <w:szCs w:val="32"/>
        </w:rPr>
      </w:pPr>
      <w:r>
        <w:rPr>
          <w:rFonts w:hint="eastAsia" w:ascii="仿宋_GB2312" w:eastAsia="仿宋_GB2312" w:cs="仿宋_GB2312"/>
          <w:kern w:val="2"/>
          <w:sz w:val="32"/>
          <w:szCs w:val="32"/>
          <w:shd w:val="clear" w:fill="FFFFFF"/>
          <w:lang w:val="en-US" w:eastAsia="zh-CN" w:bidi="ar"/>
        </w:rPr>
        <w:t>（2）</w:t>
      </w:r>
      <w:r>
        <w:rPr>
          <w:rFonts w:hint="eastAsia" w:ascii="仿宋_GB2312" w:hAnsi="Times New Roman" w:eastAsia="仿宋_GB2312" w:cs="仿宋_GB2312"/>
          <w:kern w:val="2"/>
          <w:sz w:val="32"/>
          <w:szCs w:val="32"/>
          <w:shd w:val="clear" w:fill="FFFFFF"/>
          <w:lang w:val="en-US" w:eastAsia="zh-CN" w:bidi="ar"/>
        </w:rPr>
        <w:t>培训费支出情况：本单位本年度培训费支出决算数为</w:t>
      </w:r>
      <w:r>
        <w:rPr>
          <w:rFonts w:hint="eastAsia" w:ascii="仿宋_GB2312" w:eastAsia="仿宋_GB2312" w:cs="仿宋_GB2312"/>
          <w:kern w:val="2"/>
          <w:sz w:val="32"/>
          <w:szCs w:val="32"/>
          <w:shd w:val="clear" w:fill="FFFFFF"/>
          <w:lang w:val="en-US" w:eastAsia="zh-CN" w:bidi="ar"/>
        </w:rPr>
        <w:t>1.06</w:t>
      </w:r>
      <w:r>
        <w:rPr>
          <w:rFonts w:hint="eastAsia" w:ascii="仿宋_GB2312" w:hAnsi="Times New Roman" w:eastAsia="仿宋_GB2312" w:cs="仿宋_GB2312"/>
          <w:kern w:val="2"/>
          <w:sz w:val="32"/>
          <w:szCs w:val="32"/>
          <w:shd w:val="clear" w:fill="FFFFFF"/>
          <w:lang w:val="en-US" w:eastAsia="zh-CN" w:bidi="ar"/>
        </w:rPr>
        <w:t>万元，相比上年度增加</w:t>
      </w:r>
      <w:r>
        <w:rPr>
          <w:rFonts w:hint="eastAsia" w:ascii="仿宋_GB2312" w:eastAsia="仿宋_GB2312" w:cs="仿宋_GB2312"/>
          <w:kern w:val="2"/>
          <w:sz w:val="32"/>
          <w:szCs w:val="32"/>
          <w:shd w:val="clear" w:fill="FFFFFF"/>
          <w:lang w:val="en-US" w:eastAsia="zh-CN" w:bidi="ar"/>
        </w:rPr>
        <w:t>0.98</w:t>
      </w:r>
      <w:r>
        <w:rPr>
          <w:rFonts w:hint="eastAsia" w:ascii="仿宋_GB2312" w:hAnsi="Times New Roman" w:eastAsia="仿宋_GB2312" w:cs="仿宋_GB2312"/>
          <w:kern w:val="2"/>
          <w:sz w:val="32"/>
          <w:szCs w:val="32"/>
          <w:shd w:val="clear" w:fill="FFFFFF"/>
          <w:lang w:val="en-US" w:eastAsia="zh-CN" w:bidi="ar"/>
        </w:rPr>
        <w:t>万元，主要原因</w:t>
      </w:r>
      <w:r>
        <w:rPr>
          <w:rFonts w:hint="eastAsia" w:ascii="仿宋_GB2312" w:eastAsia="仿宋_GB2312" w:cs="仿宋_GB2312"/>
          <w:kern w:val="2"/>
          <w:sz w:val="32"/>
          <w:szCs w:val="32"/>
          <w:shd w:val="clear" w:fill="FFFFFF"/>
          <w:lang w:val="en-US" w:eastAsia="zh-CN" w:bidi="ar"/>
        </w:rPr>
        <w:t>人员变动</w:t>
      </w:r>
      <w:r>
        <w:rPr>
          <w:rFonts w:hint="eastAsia" w:ascii="仿宋_GB2312" w:hAnsi="Times New Roman" w:eastAsia="仿宋_GB2312" w:cs="仿宋_GB2312"/>
          <w:kern w:val="2"/>
          <w:sz w:val="32"/>
          <w:szCs w:val="32"/>
          <w:shd w:val="clear" w:fill="FFFFFF"/>
          <w:lang w:val="en-US" w:eastAsia="zh-CN" w:bidi="ar"/>
        </w:rPr>
        <w:t>；培训费人均支出为</w:t>
      </w:r>
      <w:r>
        <w:rPr>
          <w:rFonts w:hint="eastAsia" w:ascii="仿宋_GB2312" w:eastAsia="仿宋_GB2312" w:cs="仿宋_GB2312"/>
          <w:kern w:val="2"/>
          <w:sz w:val="32"/>
          <w:szCs w:val="32"/>
          <w:shd w:val="clear" w:fill="FFFFFF"/>
          <w:lang w:val="en-US" w:eastAsia="zh-CN" w:bidi="ar"/>
        </w:rPr>
        <w:t>0.11</w:t>
      </w:r>
      <w:r>
        <w:rPr>
          <w:rFonts w:hint="eastAsia" w:ascii="仿宋_GB2312" w:hAnsi="Times New Roman" w:eastAsia="仿宋_GB2312" w:cs="仿宋_GB2312"/>
          <w:kern w:val="2"/>
          <w:sz w:val="32"/>
          <w:szCs w:val="32"/>
          <w:shd w:val="clear" w:fill="FFFFFF"/>
          <w:lang w:val="en-US" w:eastAsia="zh-CN" w:bidi="ar"/>
        </w:rPr>
        <w:t>万元。</w:t>
      </w:r>
    </w:p>
    <w:p>
      <w:pPr>
        <w:spacing w:line="240" w:lineRule="auto"/>
        <w:ind w:firstLine="640" w:firstLineChars="200"/>
        <w:rPr>
          <w:rFonts w:hint="eastAsia" w:ascii="仿宋_GB2312" w:hAnsi="黑体" w:eastAsia="仿宋_GB2312" w:cs="黑体"/>
          <w:sz w:val="32"/>
          <w:szCs w:val="32"/>
        </w:rPr>
      </w:pPr>
      <w:r>
        <w:rPr>
          <w:rFonts w:hint="eastAsia" w:ascii="仿宋_GB2312" w:hAnsi="黑体" w:eastAsia="仿宋_GB2312" w:cs="黑体"/>
          <w:sz w:val="32"/>
          <w:szCs w:val="32"/>
          <w:lang w:eastAsia="zh-CN"/>
        </w:rPr>
        <w:drawing>
          <wp:inline distT="0" distB="0" distL="114300" distR="114300">
            <wp:extent cx="4584065" cy="2251075"/>
            <wp:effectExtent l="0" t="0" r="6985" b="15875"/>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5"/>
                    <a:stretch>
                      <a:fillRect/>
                    </a:stretch>
                  </pic:blipFill>
                  <pic:spPr>
                    <a:xfrm>
                      <a:off x="0" y="0"/>
                      <a:ext cx="4584065" cy="2251075"/>
                    </a:xfrm>
                    <a:prstGeom prst="rect">
                      <a:avLst/>
                    </a:prstGeom>
                  </pic:spPr>
                </pic:pic>
              </a:graphicData>
            </a:graphic>
          </wp:inline>
        </w:drawing>
      </w:r>
    </w:p>
    <w:p>
      <w:pPr>
        <w:spacing w:line="580" w:lineRule="exact"/>
        <w:ind w:firstLine="640" w:firstLineChars="200"/>
        <w:rPr>
          <w:rFonts w:hint="eastAsia" w:ascii="仿宋_GB2312" w:hAnsi="黑体" w:eastAsia="仿宋_GB2312" w:cs="黑体"/>
          <w:sz w:val="32"/>
          <w:szCs w:val="32"/>
        </w:rPr>
      </w:pPr>
    </w:p>
    <w:p>
      <w:pPr>
        <w:spacing w:line="580" w:lineRule="exact"/>
        <w:ind w:firstLine="640" w:firstLineChars="200"/>
        <w:rPr>
          <w:rFonts w:ascii="仿宋_GB2312" w:hAnsi="黑体" w:eastAsia="仿宋_GB2312" w:cs="黑体"/>
          <w:sz w:val="32"/>
          <w:szCs w:val="32"/>
        </w:rPr>
      </w:pPr>
      <w:r>
        <w:rPr>
          <w:rFonts w:hint="eastAsia" w:ascii="仿宋_GB2312" w:hAnsi="黑体" w:eastAsia="仿宋_GB2312" w:cs="黑体"/>
          <w:sz w:val="32"/>
          <w:szCs w:val="32"/>
        </w:rPr>
        <w:t>三、部门整体预算绩效管理情况（根据适用指标体系进行调整）</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（一）部门预算管理。</w:t>
      </w:r>
    </w:p>
    <w:p>
      <w:pPr>
        <w:keepNext w:val="0"/>
        <w:keepLines w:val="0"/>
        <w:widowControl w:val="0"/>
        <w:suppressLineNumbers w:val="0"/>
        <w:spacing w:before="0" w:beforeAutospacing="0" w:after="0" w:afterAutospacing="0" w:line="560" w:lineRule="exact"/>
        <w:ind w:left="0" w:right="0" w:firstLine="640" w:firstLineChars="200"/>
        <w:jc w:val="both"/>
        <w:rPr>
          <w:rFonts w:hint="eastAsia" w:ascii="仿宋_GB2312" w:hAnsi="仿宋" w:eastAsia="仿宋_GB2312" w:cs="仿宋_GB2312"/>
          <w:sz w:val="32"/>
          <w:szCs w:val="32"/>
          <w:lang w:val="en-US"/>
        </w:rPr>
      </w:pPr>
      <w:bookmarkStart w:id="1" w:name="OLE_LINK11"/>
      <w:bookmarkStart w:id="2" w:name="OLE_LINK10"/>
      <w:r>
        <w:rPr>
          <w:rFonts w:hint="eastAsia" w:ascii="仿宋_GB2312" w:hAnsi="仿宋" w:eastAsia="仿宋_GB2312" w:cs="仿宋_GB2312"/>
          <w:kern w:val="2"/>
          <w:sz w:val="32"/>
          <w:szCs w:val="32"/>
          <w:lang w:val="en-US" w:eastAsia="zh-CN" w:bidi="ar"/>
        </w:rPr>
        <w:t>严格按照州、县预算编制要求，按时完成了基础信息、项目库的报送工作，完成基础信息的更新，按时完成预算编制并提交部门预算草案。预算编制中，特别注意对预算编制准确性的把握，并严格按照要求进行预算执行调整。按时完成待批复提前细化。部门预算在财政部门批复后及时填报预算公示报表报财政审核在政府信息公开网上公示。本单位2021年年初预算安排收入</w:t>
      </w:r>
      <w:r>
        <w:rPr>
          <w:rFonts w:hint="eastAsia" w:ascii="仿宋_GB2312" w:hAnsi="仿宋_GB2312" w:eastAsia="仿宋_GB2312" w:cs="仿宋_GB2312"/>
          <w:sz w:val="32"/>
          <w:szCs w:val="32"/>
        </w:rPr>
        <w:t>137.12万元</w:t>
      </w:r>
      <w:r>
        <w:rPr>
          <w:rFonts w:hint="eastAsia" w:ascii="仿宋_GB2312" w:hAnsi="仿宋" w:eastAsia="仿宋_GB2312" w:cs="仿宋_GB2312"/>
          <w:kern w:val="2"/>
          <w:sz w:val="32"/>
          <w:szCs w:val="32"/>
          <w:lang w:val="en-US" w:eastAsia="zh-CN" w:bidi="ar"/>
        </w:rPr>
        <w:t>, 本年预算支出205.62万元。</w:t>
      </w:r>
      <w:bookmarkEnd w:id="1"/>
      <w:bookmarkEnd w:id="2"/>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（二）专项预算管理。</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lang w:val="en-US" w:eastAsia="zh-CN"/>
        </w:rPr>
        <w:t>本单位严格按照专项预算项目支付，制定相应的执行情况，规划合理。</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（三）结果应用情况。</w:t>
      </w:r>
    </w:p>
    <w:p>
      <w:pPr>
        <w:keepNext w:val="0"/>
        <w:keepLines w:val="0"/>
        <w:widowControl w:val="0"/>
        <w:suppressLineNumbers w:val="0"/>
        <w:spacing w:before="0" w:beforeAutospacing="0" w:after="0" w:afterAutospacing="0" w:line="560" w:lineRule="exact"/>
        <w:ind w:left="0" w:right="0" w:firstLine="640" w:firstLineChars="200"/>
        <w:jc w:val="both"/>
        <w:rPr>
          <w:rFonts w:ascii="仿宋_GB2312" w:hAnsi="仿宋" w:eastAsia="仿宋_GB2312" w:cs="仿宋_GB2312"/>
          <w:sz w:val="32"/>
          <w:szCs w:val="32"/>
        </w:rPr>
      </w:pPr>
      <w:bookmarkStart w:id="3" w:name="OLE_LINK13"/>
      <w:bookmarkStart w:id="4" w:name="OLE_LINK15"/>
      <w:bookmarkStart w:id="5" w:name="OLE_LINK14"/>
      <w:r>
        <w:rPr>
          <w:rFonts w:hint="eastAsia" w:ascii="仿宋_GB2312" w:hAnsi="仿宋" w:eastAsia="仿宋_GB2312" w:cs="仿宋_GB2312"/>
          <w:kern w:val="2"/>
          <w:sz w:val="32"/>
          <w:szCs w:val="32"/>
          <w:lang w:val="en-US" w:eastAsia="zh-CN" w:bidi="ar"/>
        </w:rPr>
        <w:t>严格执行“厉行节约、反对浪费”的规定，严格控制“三公”经费支出，加强公务用车管理，努力降低燃修费用，“三公”经费较上年有所减少。本年三公经费支出3.70万元，其中：公务用车运行维护费3.70万元，公务接待0万元。上年三公经费支出3.96万元，其中：公务用车运行维护费3.96万元，公务接待0万元。</w:t>
      </w:r>
      <w:bookmarkEnd w:id="3"/>
      <w:bookmarkEnd w:id="4"/>
      <w:bookmarkEnd w:id="5"/>
    </w:p>
    <w:p>
      <w:pPr>
        <w:spacing w:line="580" w:lineRule="exact"/>
        <w:ind w:firstLine="640" w:firstLineChars="200"/>
        <w:rPr>
          <w:rFonts w:ascii="仿宋_GB2312" w:hAnsi="黑体" w:eastAsia="仿宋_GB2312" w:cs="黑体"/>
          <w:sz w:val="32"/>
          <w:szCs w:val="32"/>
        </w:rPr>
      </w:pPr>
      <w:r>
        <w:rPr>
          <w:rFonts w:hint="eastAsia" w:ascii="仿宋_GB2312" w:hAnsi="黑体" w:eastAsia="仿宋_GB2312" w:cs="黑体"/>
          <w:sz w:val="32"/>
          <w:szCs w:val="32"/>
        </w:rPr>
        <w:t>四、评价结论及建议</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（一）评价结论。</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从自评情况来看，我</w:t>
      </w:r>
      <w:r>
        <w:rPr>
          <w:rFonts w:hint="eastAsia" w:ascii="仿宋_GB2312" w:hAnsi="仿宋" w:eastAsia="仿宋_GB2312" w:cs="仿宋_GB2312"/>
          <w:sz w:val="32"/>
          <w:szCs w:val="32"/>
          <w:lang w:eastAsia="zh-CN"/>
        </w:rPr>
        <w:t>馆</w:t>
      </w:r>
      <w:r>
        <w:rPr>
          <w:rFonts w:hint="eastAsia" w:ascii="仿宋_GB2312" w:hAnsi="仿宋" w:eastAsia="仿宋_GB2312" w:cs="仿宋_GB2312"/>
          <w:sz w:val="32"/>
          <w:szCs w:val="32"/>
        </w:rPr>
        <w:t>部门支出绩效水平较高，整体上完成了年初设定的绩效目标，保障了我</w:t>
      </w:r>
      <w:r>
        <w:rPr>
          <w:rFonts w:hint="eastAsia" w:ascii="仿宋_GB2312" w:hAnsi="仿宋" w:eastAsia="仿宋_GB2312" w:cs="仿宋_GB2312"/>
          <w:sz w:val="32"/>
          <w:szCs w:val="32"/>
          <w:lang w:eastAsia="zh-CN"/>
        </w:rPr>
        <w:t>馆</w:t>
      </w:r>
      <w:r>
        <w:rPr>
          <w:rFonts w:hint="eastAsia" w:ascii="仿宋_GB2312" w:hAnsi="仿宋" w:eastAsia="仿宋_GB2312" w:cs="仿宋_GB2312"/>
          <w:sz w:val="32"/>
          <w:szCs w:val="32"/>
        </w:rPr>
        <w:t>工作的正常运转，</w:t>
      </w:r>
      <w:r>
        <w:rPr>
          <w:rFonts w:hint="eastAsia" w:ascii="仿宋_GB2312" w:hAnsi="仿宋" w:eastAsia="仿宋_GB2312" w:cs="仿宋_GB2312"/>
          <w:kern w:val="2"/>
          <w:sz w:val="32"/>
          <w:szCs w:val="32"/>
          <w:lang w:val="zh-CN" w:eastAsia="zh-CN" w:bidi="ar"/>
        </w:rPr>
        <w:t>圆满完成了州县下达的各项目标任务，</w:t>
      </w:r>
      <w:r>
        <w:rPr>
          <w:rFonts w:hint="eastAsia" w:ascii="仿宋_GB2312" w:hAnsi="仿宋" w:eastAsia="仿宋_GB2312" w:cs="仿宋_GB2312"/>
          <w:sz w:val="32"/>
          <w:szCs w:val="32"/>
        </w:rPr>
        <w:t>促进了我</w:t>
      </w:r>
      <w:r>
        <w:rPr>
          <w:rFonts w:hint="eastAsia" w:ascii="仿宋_GB2312" w:hAnsi="仿宋" w:eastAsia="仿宋_GB2312" w:cs="仿宋_GB2312"/>
          <w:sz w:val="32"/>
          <w:szCs w:val="32"/>
          <w:lang w:eastAsia="zh-CN"/>
        </w:rPr>
        <w:t>单位</w:t>
      </w:r>
      <w:r>
        <w:rPr>
          <w:rFonts w:hint="eastAsia" w:ascii="仿宋_GB2312" w:hAnsi="仿宋" w:eastAsia="仿宋_GB2312" w:cs="仿宋_GB2312"/>
          <w:sz w:val="32"/>
          <w:szCs w:val="32"/>
        </w:rPr>
        <w:t>的事业发展，充分发挥了财政资金的经济效益和社会效益。</w:t>
      </w:r>
    </w:p>
    <w:p>
      <w:pPr>
        <w:numPr>
          <w:ilvl w:val="0"/>
          <w:numId w:val="1"/>
        </w:numPr>
        <w:spacing w:line="580" w:lineRule="exact"/>
        <w:ind w:firstLine="640" w:firstLineChars="200"/>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rPr>
        <w:t>存在问题。</w:t>
      </w:r>
      <w:r>
        <w:rPr>
          <w:rFonts w:hint="eastAsia" w:ascii="仿宋_GB2312" w:hAnsi="仿宋" w:eastAsia="仿宋_GB2312" w:cs="仿宋_GB2312"/>
          <w:sz w:val="32"/>
          <w:szCs w:val="32"/>
          <w:lang w:eastAsia="zh-CN"/>
        </w:rPr>
        <w:t>、</w:t>
      </w:r>
    </w:p>
    <w:p>
      <w:pPr>
        <w:numPr>
          <w:ilvl w:val="0"/>
          <w:numId w:val="0"/>
        </w:numPr>
        <w:spacing w:line="580" w:lineRule="exact"/>
        <w:ind w:firstLine="640" w:firstLineChars="200"/>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rPr>
        <w:t>从绩效评价看，部门支出预算还存在部分项目无法用量化指标来进行考评的问题。</w:t>
      </w:r>
    </w:p>
    <w:p>
      <w:pPr>
        <w:numPr>
          <w:ilvl w:val="0"/>
          <w:numId w:val="1"/>
        </w:numPr>
        <w:spacing w:line="580" w:lineRule="exact"/>
        <w:ind w:left="0" w:leftChars="0"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改进建议。</w:t>
      </w:r>
    </w:p>
    <w:p>
      <w:pPr>
        <w:keepNext w:val="0"/>
        <w:keepLines w:val="0"/>
        <w:widowControl w:val="0"/>
        <w:suppressLineNumbers w:val="0"/>
        <w:spacing w:before="0" w:beforeAutospacing="0" w:after="0" w:afterAutospacing="0" w:line="560" w:lineRule="exact"/>
        <w:ind w:left="0" w:right="0" w:firstLine="640" w:firstLineChars="200"/>
        <w:jc w:val="both"/>
        <w:rPr>
          <w:rFonts w:hint="eastAsia" w:ascii="仿宋_GB2312" w:hAnsi="仿宋" w:eastAsia="仿宋_GB2312" w:cs="仿宋_GB2312"/>
          <w:sz w:val="32"/>
          <w:szCs w:val="32"/>
          <w:lang w:val="en-US"/>
        </w:rPr>
      </w:pPr>
      <w:r>
        <w:rPr>
          <w:rFonts w:hint="eastAsia" w:ascii="仿宋_GB2312" w:hAnsi="仿宋" w:eastAsia="仿宋_GB2312" w:cs="仿宋_GB2312"/>
          <w:kern w:val="2"/>
          <w:sz w:val="32"/>
          <w:szCs w:val="32"/>
          <w:lang w:val="en-US" w:eastAsia="zh-CN" w:bidi="ar"/>
        </w:rPr>
        <w:t>加强资金的管理，在公共运行维护资金的使用范围上严格把关，按照规定进行公示。</w:t>
      </w:r>
    </w:p>
    <w:p>
      <w:pPr>
        <w:numPr>
          <w:ilvl w:val="0"/>
          <w:numId w:val="0"/>
        </w:numPr>
        <w:spacing w:line="580" w:lineRule="exact"/>
        <w:ind w:leftChars="0" w:firstLine="640" w:firstLineChars="200"/>
        <w:rPr>
          <w:rFonts w:hint="eastAsia" w:ascii="仿宋_GB2312" w:hAnsi="仿宋" w:eastAsia="仿宋_GB2312" w:cs="仿宋_GB2312"/>
          <w:sz w:val="32"/>
          <w:szCs w:val="32"/>
        </w:rPr>
      </w:pPr>
      <w:bookmarkStart w:id="6" w:name="_GoBack"/>
      <w:bookmarkEnd w:id="6"/>
      <w:r>
        <w:rPr>
          <w:rFonts w:hint="eastAsia" w:ascii="仿宋_GB2312" w:hAnsi="仿宋" w:eastAsia="仿宋_GB2312" w:cs="仿宋_GB2312"/>
          <w:sz w:val="32"/>
          <w:szCs w:val="32"/>
        </w:rPr>
        <w:t>加强对绩效评价工作的培训和指导，进一步优化项目绩效考核指标体系，做到合理性与可操作性的有机统一。</w:t>
      </w:r>
    </w:p>
    <w:p>
      <w:pPr>
        <w:numPr>
          <w:numId w:val="0"/>
        </w:numPr>
        <w:spacing w:line="580" w:lineRule="exact"/>
        <w:rPr>
          <w:rFonts w:hint="eastAsia" w:ascii="仿宋_GB2312" w:hAnsi="仿宋" w:eastAsia="仿宋_GB2312" w:cs="仿宋_GB2312"/>
          <w:sz w:val="32"/>
          <w:szCs w:val="32"/>
        </w:rPr>
      </w:pPr>
    </w:p>
    <w:p>
      <w:pPr>
        <w:spacing w:line="580" w:lineRule="exact"/>
        <w:ind w:firstLine="640" w:firstLineChars="200"/>
        <w:rPr>
          <w:rFonts w:ascii="仿宋_GB2312" w:hAnsi="仿宋_GB2312" w:eastAsia="仿宋_GB2312" w:cs="仿宋_GB2312"/>
          <w:sz w:val="32"/>
          <w:szCs w:val="32"/>
        </w:rPr>
      </w:pPr>
    </w:p>
    <w:p>
      <w:pPr>
        <w:widowControl/>
        <w:jc w:val="left"/>
        <w:rPr>
          <w:rFonts w:ascii="仿宋_GB2312" w:hAnsi="仿宋_GB2312" w:eastAsia="仿宋_GB2312" w:cs="仿宋_GB2312"/>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4E9AD55"/>
    <w:multiLevelType w:val="singleLevel"/>
    <w:tmpl w:val="C4E9AD55"/>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QwY2JmZTczZjI4OTAzYzQ0YmYxY2E1YzI1NWRkMjMifQ=="/>
  </w:docVars>
  <w:rsids>
    <w:rsidRoot w:val="00491B22"/>
    <w:rsid w:val="00291808"/>
    <w:rsid w:val="0044575D"/>
    <w:rsid w:val="00463079"/>
    <w:rsid w:val="00491B22"/>
    <w:rsid w:val="0052390C"/>
    <w:rsid w:val="00563ECF"/>
    <w:rsid w:val="00A46A46"/>
    <w:rsid w:val="00B56857"/>
    <w:rsid w:val="0ECD3B6F"/>
    <w:rsid w:val="124820F3"/>
    <w:rsid w:val="34EB1F43"/>
    <w:rsid w:val="36435EC2"/>
    <w:rsid w:val="4DFA63B7"/>
    <w:rsid w:val="60D032A5"/>
    <w:rsid w:val="6A7742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2">
    <w:name w:val="Body Text"/>
    <w:basedOn w:val="1"/>
    <w:link w:val="10"/>
    <w:qFormat/>
    <w:uiPriority w:val="99"/>
    <w:pPr>
      <w:spacing w:beforeLines="30"/>
    </w:pPr>
    <w:rPr>
      <w:rFonts w:ascii="仿宋_GB2312" w:eastAsia="仿宋_GB2312"/>
      <w:kern w:val="0"/>
      <w:sz w:val="30"/>
    </w:rPr>
  </w:style>
  <w:style w:type="paragraph" w:styleId="3">
    <w:name w:val="footer"/>
    <w:basedOn w:val="1"/>
    <w:link w:val="9"/>
    <w:semiHidden/>
    <w:unhideWhenUsed/>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4">
    <w:name w:val="header"/>
    <w:basedOn w:val="1"/>
    <w:link w:val="8"/>
    <w:semiHidden/>
    <w:unhideWhenUsed/>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5">
    <w:name w:val="Normal (Web)"/>
    <w:basedOn w:val="1"/>
    <w:semiHidden/>
    <w:unhideWhenUsed/>
    <w:qFormat/>
    <w:uiPriority w:val="99"/>
    <w:rPr>
      <w:sz w:val="24"/>
    </w:rPr>
  </w:style>
  <w:style w:type="character" w:customStyle="1" w:styleId="8">
    <w:name w:val="页眉 字符"/>
    <w:basedOn w:val="7"/>
    <w:link w:val="4"/>
    <w:semiHidden/>
    <w:uiPriority w:val="99"/>
    <w:rPr>
      <w:sz w:val="18"/>
      <w:szCs w:val="18"/>
    </w:rPr>
  </w:style>
  <w:style w:type="character" w:customStyle="1" w:styleId="9">
    <w:name w:val="页脚 字符"/>
    <w:basedOn w:val="7"/>
    <w:link w:val="3"/>
    <w:semiHidden/>
    <w:qFormat/>
    <w:uiPriority w:val="99"/>
    <w:rPr>
      <w:sz w:val="18"/>
      <w:szCs w:val="18"/>
    </w:rPr>
  </w:style>
  <w:style w:type="character" w:customStyle="1" w:styleId="10">
    <w:name w:val="正文文本 字符"/>
    <w:basedOn w:val="7"/>
    <w:link w:val="2"/>
    <w:qFormat/>
    <w:uiPriority w:val="99"/>
    <w:rPr>
      <w:rFonts w:ascii="仿宋_GB2312" w:hAnsi="Times New Roman" w:eastAsia="仿宋_GB2312" w:cs="Times New Roman"/>
      <w:sz w:val="30"/>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Sky123.Org</Company>
  <Pages>3</Pages>
  <Words>1099</Words>
  <Characters>1219</Characters>
  <Lines>6</Lines>
  <Paragraphs>1</Paragraphs>
  <TotalTime>0</TotalTime>
  <ScaleCrop>false</ScaleCrop>
  <LinksUpToDate>false</LinksUpToDate>
  <CharactersWithSpaces>1221</CharactersWithSpaces>
  <Application>WPS Office_11.1.0.12302_F1E327BC-269C-435d-A152-05C5408002CA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2019-08-19T01:06:00Z</dcterms:created>
  <dc:creator>Sky123.Org</dc:creator>
  <cp:lastModifiedBy>lenovo</cp:lastModifiedBy>
  <dcterms:modified xsi:type="dcterms:W3CDTF">2022-08-19T04:28:36Z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2052-11.1.0.12302</vt:lpwstr>
  </property>
  <property fmtid="{D5CDD505-2E9C-101B-9397-08002B2CF9AE}" pid="3" name="ICV">
    <vt:lpwstr>9BBD81F0B18146599FEB004A283DE57F</vt:lpwstr>
  </property>
</Properties>
</file>