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0"/>
          <w:szCs w:val="40"/>
          <w:lang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sz w:val="40"/>
          <w:szCs w:val="40"/>
          <w:lang w:eastAsia="zh-CN"/>
        </w:rPr>
        <w:t>2025年黑水县数字档案事业建设项目（二次）项目支出绩效评价报告</w:t>
      </w:r>
      <w:bookmarkEnd w:id="0"/>
    </w:p>
    <w:p>
      <w:pPr>
        <w:spacing w:line="580" w:lineRule="exact"/>
        <w:ind w:firstLine="640" w:firstLineChars="200"/>
        <w:rPr>
          <w:rFonts w:ascii="仿宋_GB2312" w:hAnsi="仿宋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一、评价工作开展及项目情况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为确保2030年前全面完成档案馆建设任务并通过测评验收，加快档案资源数字化转型，搭建数字档案基础支撑体系，完成机房、数字化加工中心、查档服务中心物理空间改造，配齐软硬件设备，实现档案存储、处理、服务环境达标。本项目年初预算0万元，调整预算286万元，资金遵循“按需分配、重点保障、合理高效”原则，分配至机房建设、场馆改造、软硬件购置、系统建设、档案数字化服务等板块。</w:t>
      </w:r>
    </w:p>
    <w:p>
      <w:pPr>
        <w:spacing w:line="58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二、评价结论及绩效分析</w:t>
      </w:r>
    </w:p>
    <w:p>
      <w:pPr>
        <w:spacing w:line="580" w:lineRule="exact"/>
        <w:ind w:firstLine="642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（一）评价结论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本项目自评总分100分，自评得分98.25分。项目整体实施有序，成效显著，严格落实专款专用，完成机房建设、场馆改造、档案数字化扫描等既定工作任务；项目预算执行率87.66%，项目推进进度偏缓，整体绩效目标基本实现，项目实施达到预期效果。</w:t>
      </w:r>
    </w:p>
    <w:p>
      <w:pPr>
        <w:spacing w:line="580" w:lineRule="exact"/>
        <w:ind w:firstLine="642" w:firstLineChars="200"/>
        <w:rPr>
          <w:rFonts w:hint="eastAsia" w:ascii="楷体" w:hAnsi="楷体" w:eastAsia="楷体" w:cs="楷体"/>
          <w:b/>
          <w:bCs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sz w:val="32"/>
          <w:szCs w:val="32"/>
        </w:rPr>
        <w:t>（二）绩效分析</w:t>
      </w:r>
    </w:p>
    <w:p>
      <w:pPr>
        <w:spacing w:line="580" w:lineRule="exact"/>
        <w:ind w:firstLine="642" w:firstLineChars="200"/>
        <w:rPr>
          <w:rFonts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1、项目决策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本项目立足档案馆现实工作需要，依据档案事业发展相关工作要求，推动档案资源数字化转型，建立档案数字资源体系，搭建在线服务平台，构建安全防护体系，完成存量档案数字化处理，提升档案服务便捷性、安全性，满足各部门及社会公众用档需求。项目规划论证充分，绩效目标设置科学合理；项目资金投向匹配单位重点工作任务，项目决策程序规范，软硬件采购严格执行政府采购相关规定。</w:t>
      </w:r>
    </w:p>
    <w:p>
      <w:pPr>
        <w:spacing w:line="580" w:lineRule="exact"/>
        <w:ind w:firstLine="642" w:firstLineChars="200"/>
        <w:rPr>
          <w:rFonts w:hint="eastAsia"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2、项目管理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资金年初预算0万元，调整预算数286万元，其中财政拨款120万元，单位资金166万元。资金分配依据充分，分配管理流程规范；经费开支严格执行财务管理制度，资金拨付审批手续完整，会计核算规范，财务资料齐全。按财政要求完成绩效目标设置上报，常态化开展绩效监管。项目资金用途、拨付流程均符合财经法规与专项资金管理规定，专款专用，不存在截留、挤占、挪用、虚列支出等情况。</w:t>
      </w:r>
    </w:p>
    <w:p>
      <w:pPr>
        <w:spacing w:line="580" w:lineRule="exact"/>
        <w:ind w:firstLine="642" w:firstLineChars="200"/>
        <w:rPr>
          <w:rFonts w:hint="eastAsia" w:ascii="仿宋_GB2312" w:hAnsi="仿宋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" w:eastAsia="仿宋_GB2312" w:cs="仿宋_GB2312"/>
          <w:b/>
          <w:bCs/>
          <w:sz w:val="32"/>
          <w:szCs w:val="32"/>
        </w:rPr>
        <w:t>3、项目绩效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数量上，</w:t>
      </w:r>
      <w:r>
        <w:rPr>
          <w:rFonts w:hint="eastAsia" w:ascii="仿宋_GB2312" w:hAnsi="仿宋" w:eastAsia="仿宋_GB2312" w:cs="仿宋_GB2312"/>
          <w:sz w:val="32"/>
          <w:szCs w:val="32"/>
        </w:rPr>
        <w:t>完成机房改造、软硬件设备采购、档案数字化扫描200万页等全部既定产出任务；质量上，档案数字化处理质量达标率≥99%，系统安全运行率99.5%，跨部门档案共享实现率88%，项目质量合格率100%；时效上，项目实际完成时间与计划时间保持一致；成本上项目总投入控制在286万元预算以内</w:t>
      </w:r>
      <w:r>
        <w:rPr>
          <w:rFonts w:hint="eastAsia" w:ascii="仿宋_GB2312" w:hAnsi="仿宋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_GB2312"/>
          <w:sz w:val="32"/>
          <w:szCs w:val="32"/>
        </w:rPr>
        <w:t>档案查阅利用率得到提升，节约纸质资源，为群众、机关单位提供档案查阅服务，档案服务覆盖面扩大；实现档案数字化成果长期保存，减少实体档案磨损；服务对象满意度98%，群众、机关单位对档案服务整体评价较好。资金使用效率较高，受益群体覆盖面达到预期。</w:t>
      </w:r>
    </w:p>
    <w:p>
      <w:pPr>
        <w:spacing w:line="58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存在主要问题</w:t>
      </w:r>
    </w:p>
    <w:p>
      <w:pPr>
        <w:numPr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项目推进进度较为缓慢，项目管理精细化水平有待提升，项目预算执行率87.66%，未实现100%执行。</w:t>
      </w:r>
    </w:p>
    <w:p>
      <w:pPr>
        <w:spacing w:line="580" w:lineRule="exact"/>
        <w:ind w:firstLine="640" w:firstLineChars="200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四、相关措施建议</w:t>
      </w:r>
    </w:p>
    <w:p>
      <w:pPr>
        <w:numPr>
          <w:ilvl w:val="0"/>
          <w:numId w:val="0"/>
        </w:num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  <w:r>
        <w:rPr>
          <w:rFonts w:hint="eastAsia" w:ascii="仿宋_GB2312" w:hAnsi="仿宋" w:eastAsia="仿宋_GB2312" w:cs="仿宋_GB2312"/>
          <w:sz w:val="32"/>
          <w:szCs w:val="32"/>
        </w:rPr>
        <w:t>进一步强化项目统筹调度，紧盯项目实施各个环节，加快项目推进实施进度，着力解决项目滞后问题；持续提升项目管理精细化水平，科学做好预算编制，强化预算执行管控；完善档案数字化运维管理，持续发挥数字档案项目建设成效，更好保障档案业务开展。</w:t>
      </w:r>
    </w:p>
    <w:p>
      <w:pPr>
        <w:spacing w:line="580" w:lineRule="exact"/>
        <w:ind w:firstLine="640" w:firstLineChars="200"/>
        <w:rPr>
          <w:rFonts w:hint="eastAsia" w:ascii="仿宋_GB2312" w:hAnsi="仿宋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4C22EC"/>
    <w:rsid w:val="004C22EC"/>
    <w:rsid w:val="007B38C6"/>
    <w:rsid w:val="100566B3"/>
    <w:rsid w:val="1B4A3EC4"/>
    <w:rsid w:val="1F887BDD"/>
    <w:rsid w:val="2439349C"/>
    <w:rsid w:val="244E01D1"/>
    <w:rsid w:val="33DA011B"/>
    <w:rsid w:val="358B1B11"/>
    <w:rsid w:val="35F7D1FD"/>
    <w:rsid w:val="423607D0"/>
    <w:rsid w:val="4A0B0DD8"/>
    <w:rsid w:val="4DC7607F"/>
    <w:rsid w:val="55704B34"/>
    <w:rsid w:val="57B166CC"/>
    <w:rsid w:val="5DBC40E7"/>
    <w:rsid w:val="77991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iPriority="99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unhideWhenUsed/>
    <w:qFormat/>
    <w:uiPriority w:val="99"/>
    <w:pPr>
      <w:ind w:left="1680" w:leftChars="800"/>
      <w:jc w:val="left"/>
    </w:pPr>
  </w:style>
  <w:style w:type="paragraph" w:styleId="4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7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7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11">
    <w:name w:val="标题 5（有编号）（绿盟科技）"/>
    <w:next w:val="1"/>
    <w:qFormat/>
    <w:uiPriority w:val="99"/>
    <w:pPr>
      <w:keepNext/>
      <w:keepLines/>
      <w:widowControl w:val="0"/>
      <w:spacing w:before="280" w:after="156" w:line="377" w:lineRule="auto"/>
      <w:outlineLvl w:val="4"/>
    </w:pPr>
    <w:rPr>
      <w:rFonts w:ascii="Arial" w:hAnsi="Arial" w:eastAsia="黑体" w:cs="Times New Roman"/>
      <w:b/>
      <w:kern w:val="2"/>
      <w:sz w:val="24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1</Pages>
  <Words>327</Words>
  <Characters>335</Characters>
  <Lines>2</Lines>
  <Paragraphs>1</Paragraphs>
  <TotalTime>16</TotalTime>
  <ScaleCrop>false</ScaleCrop>
  <LinksUpToDate>false</LinksUpToDate>
  <CharactersWithSpaces>335</CharactersWithSpaces>
  <Application>WPS Office_11.8.2.12128_F1E327BC-269C-435d-A152-05C5408002CA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2026-08-20T16:43:47Z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2052-11.8.2.12128</vt:lpwstr>
  </property>
  <property fmtid="{D5CDD505-2E9C-101B-9397-08002B2CF9AE}" pid="3" name="ICV">
    <vt:lpwstr>E3C2C648A4936FC443BE866A068DD285</vt:lpwstr>
  </property>
</Properties>
</file>