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contextualSpacing/>
        <w:rPr>
          <w:rFonts w:eastAsia="黑体"/>
          <w:szCs w:val="32"/>
          <w:lang w:val="zh-CN"/>
        </w:rPr>
      </w:pPr>
      <w:bookmarkStart w:id="0" w:name="_GoBack"/>
      <w:bookmarkEnd w:id="0"/>
      <w:r>
        <w:rPr>
          <w:rFonts w:hint="eastAsia" w:ascii="方正小标宋简体" w:hAnsi="黑体" w:eastAsia="方正小标宋简体"/>
          <w:sz w:val="44"/>
          <w:szCs w:val="44"/>
        </w:rPr>
        <w:drawing>
          <wp:anchor distT="0" distB="0" distL="114300" distR="114300" simplePos="0" relativeHeight="251659264" behindDoc="1" locked="0" layoutInCell="1" allowOverlap="1">
            <wp:simplePos x="0" y="0"/>
            <wp:positionH relativeFrom="column">
              <wp:posOffset>-25400</wp:posOffset>
            </wp:positionH>
            <wp:positionV relativeFrom="page">
              <wp:posOffset>1235710</wp:posOffset>
            </wp:positionV>
            <wp:extent cx="5257800" cy="1428750"/>
            <wp:effectExtent l="0" t="0" r="0" b="0"/>
            <wp:wrapNone/>
            <wp:docPr id="1" name="Image1" descr="020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0202202"/>
                    <pic:cNvPicPr>
                      <a:picLocks noChangeAspect="1"/>
                    </pic:cNvPicPr>
                  </pic:nvPicPr>
                  <pic:blipFill>
                    <a:blip r:embed="rId6"/>
                    <a:srcRect l="241" b="82564"/>
                    <a:stretch>
                      <a:fillRect/>
                    </a:stretch>
                  </pic:blipFill>
                  <pic:spPr>
                    <a:xfrm>
                      <a:off x="0" y="0"/>
                      <a:ext cx="5257800" cy="1428750"/>
                    </a:xfrm>
                    <a:prstGeom prst="rect">
                      <a:avLst/>
                    </a:prstGeom>
                    <a:noFill/>
                    <a:ln>
                      <a:noFill/>
                    </a:ln>
                  </pic:spPr>
                </pic:pic>
              </a:graphicData>
            </a:graphic>
          </wp:anchor>
        </w:drawing>
      </w:r>
    </w:p>
    <w:p>
      <w:pPr>
        <w:widowControl/>
        <w:spacing w:line="578" w:lineRule="exact"/>
        <w:contextualSpacing/>
        <w:rPr>
          <w:rFonts w:eastAsia="宋体"/>
          <w:b/>
          <w:sz w:val="44"/>
          <w:szCs w:val="44"/>
          <w:shd w:val="clear" w:color="auto" w:fill="FFFFFF"/>
        </w:rPr>
      </w:pPr>
    </w:p>
    <w:p>
      <w:pPr>
        <w:widowControl/>
        <w:spacing w:line="578" w:lineRule="exact"/>
        <w:contextualSpacing/>
        <w:jc w:val="center"/>
        <w:rPr>
          <w:rFonts w:hint="eastAsia" w:eastAsia="方正小标宋简体"/>
          <w:bCs/>
          <w:sz w:val="44"/>
          <w:szCs w:val="44"/>
          <w:shd w:val="clear" w:color="auto" w:fill="FFFFFF"/>
          <w:lang w:val="en-US" w:eastAsia="zh-CN"/>
        </w:rPr>
      </w:pPr>
    </w:p>
    <w:p>
      <w:pPr>
        <w:widowControl/>
        <w:spacing w:line="578" w:lineRule="exact"/>
        <w:contextualSpacing/>
        <w:jc w:val="center"/>
        <w:rPr>
          <w:rFonts w:hint="eastAsia" w:ascii="方正小标宋_GBK" w:hAnsi="方正小标宋_GBK" w:eastAsia="方正小标宋_GBK" w:cs="方正小标宋_GBK"/>
          <w:bCs/>
          <w:sz w:val="44"/>
          <w:szCs w:val="44"/>
          <w:shd w:val="clear" w:color="auto" w:fill="FFFFFF"/>
          <w:lang w:val="en-US" w:eastAsia="zh-CN"/>
        </w:rPr>
      </w:pPr>
      <w:r>
        <w:rPr>
          <w:rFonts w:hint="eastAsia" w:ascii="方正小标宋_GBK" w:hAnsi="方正小标宋_GBK" w:eastAsia="方正小标宋_GBK" w:cs="方正小标宋_GBK"/>
          <w:bCs/>
          <w:sz w:val="44"/>
          <w:szCs w:val="44"/>
          <w:shd w:val="clear" w:color="auto" w:fill="FFFFFF"/>
          <w:lang w:val="en-US" w:eastAsia="zh-CN"/>
        </w:rPr>
        <w:t>黑水县融媒体中心</w:t>
      </w:r>
    </w:p>
    <w:p>
      <w:pPr>
        <w:widowControl/>
        <w:spacing w:line="578" w:lineRule="exact"/>
        <w:contextualSpacing/>
        <w:jc w:val="center"/>
        <w:rPr>
          <w:rFonts w:hint="eastAsia"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rPr>
        <w:t>部门预算绩效评价报告</w:t>
      </w:r>
    </w:p>
    <w:p>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78" w:lineRule="exact"/>
        <w:ind w:firstLine="640" w:firstLineChars="200"/>
        <w:contextualSpacing/>
        <w:jc w:val="left"/>
        <w:rPr>
          <w:szCs w:val="32"/>
        </w:rPr>
      </w:pPr>
      <w:r>
        <w:rPr>
          <w:rFonts w:hint="eastAsia" w:eastAsia="黑体"/>
          <w:color w:val="000000"/>
          <w:kern w:val="0"/>
          <w:szCs w:val="32"/>
          <w:shd w:val="clear" w:color="auto" w:fill="FFFFFF"/>
          <w:lang w:val="zh-CN"/>
        </w:rPr>
        <w:t>一、</w:t>
      </w:r>
      <w:r>
        <w:rPr>
          <w:rFonts w:eastAsia="黑体"/>
          <w:color w:val="000000"/>
          <w:kern w:val="0"/>
          <w:szCs w:val="32"/>
          <w:shd w:val="clear" w:color="auto" w:fill="FFFFFF"/>
          <w:lang w:val="zh-CN"/>
        </w:rPr>
        <w:t>部门（单位）基本情况</w:t>
      </w:r>
    </w:p>
    <w:p>
      <w:pPr>
        <w:widowControl/>
        <w:adjustRightInd w:val="0"/>
        <w:snapToGrid w:val="0"/>
        <w:spacing w:line="578" w:lineRule="exact"/>
        <w:ind w:firstLine="642" w:firstLineChars="200"/>
        <w:contextualSpacing/>
        <w:jc w:val="left"/>
        <w:rPr>
          <w:rFonts w:hint="eastAsia"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lang w:val="zh-CN"/>
        </w:rPr>
        <w:t>（一）</w:t>
      </w:r>
      <w:r>
        <w:rPr>
          <w:rFonts w:eastAsia="楷体_GB2312"/>
          <w:b/>
          <w:bCs/>
          <w:color w:val="000000"/>
          <w:kern w:val="0"/>
          <w:szCs w:val="32"/>
          <w:shd w:val="clear" w:color="auto" w:fill="FFFFFF"/>
          <w:lang w:val="zh-CN"/>
        </w:rPr>
        <w:t>机构组成</w:t>
      </w:r>
    </w:p>
    <w:p>
      <w:pPr>
        <w:ind w:firstLine="640" w:firstLineChars="200"/>
        <w:rPr>
          <w:rFonts w:ascii="仿宋_GB2312" w:hAnsi="黑体" w:cs="黑体"/>
          <w:bCs/>
          <w:szCs w:val="32"/>
        </w:rPr>
      </w:pPr>
      <w:r>
        <w:rPr>
          <w:rFonts w:hint="eastAsia" w:ascii="仿宋_GB2312" w:hAnsi="黑体" w:cs="黑体"/>
          <w:bCs/>
          <w:szCs w:val="32"/>
        </w:rPr>
        <w:t>部门内设6个股室，分别为综合股、新闻信息采集中心、新闻信息编辑中心、运维传输中心、运营中心、舆情中心。</w:t>
      </w:r>
    </w:p>
    <w:p>
      <w:pPr>
        <w:widowControl/>
        <w:adjustRightInd w:val="0"/>
        <w:snapToGrid w:val="0"/>
        <w:spacing w:line="578" w:lineRule="exact"/>
        <w:ind w:firstLine="803" w:firstLineChars="250"/>
        <w:contextualSpacing/>
        <w:jc w:val="left"/>
        <w:rPr>
          <w:rFonts w:hint="eastAsia"/>
          <w:szCs w:val="32"/>
        </w:rPr>
      </w:pPr>
      <w:r>
        <w:rPr>
          <w:rFonts w:eastAsia="楷体_GB2312"/>
          <w:b/>
          <w:bCs/>
          <w:color w:val="000000"/>
          <w:kern w:val="0"/>
          <w:szCs w:val="32"/>
          <w:shd w:val="clear" w:color="auto" w:fill="FFFFFF"/>
          <w:lang w:val="zh-CN"/>
        </w:rPr>
        <w:t>（二）机构职能</w:t>
      </w:r>
    </w:p>
    <w:p>
      <w:pPr>
        <w:spacing w:line="560" w:lineRule="exact"/>
        <w:ind w:firstLine="640" w:firstLineChars="200"/>
        <w:rPr>
          <w:rFonts w:ascii="仿宋_GB2312" w:hAnsi="黑体" w:cs="黑体"/>
          <w:bCs/>
          <w:szCs w:val="32"/>
        </w:rPr>
      </w:pPr>
      <w:r>
        <w:rPr>
          <w:rFonts w:hint="eastAsia" w:ascii="仿宋_GB2312" w:hAnsi="黑体" w:cs="黑体"/>
          <w:bCs/>
          <w:szCs w:val="32"/>
        </w:rPr>
        <w:t>县融媒体中心贯彻落实党中央关于推动传统媒体、新兴媒体融合发展的方针政策和省委、州委、县委的决策部署，在履行职责过程中坚持和加强党对融媒体中心工作的集中统一领导。主要职责是：</w:t>
      </w:r>
    </w:p>
    <w:p>
      <w:pPr>
        <w:spacing w:line="560" w:lineRule="exact"/>
        <w:ind w:firstLine="642" w:firstLineChars="200"/>
        <w:rPr>
          <w:rFonts w:ascii="仿宋_GB2312" w:hAnsi="黑体" w:cs="黑体"/>
          <w:bCs/>
          <w:szCs w:val="32"/>
        </w:rPr>
      </w:pPr>
      <w:r>
        <w:rPr>
          <w:rFonts w:hint="eastAsia" w:ascii="仿宋_GB2312" w:hAnsi="黑体" w:cs="黑体"/>
          <w:b/>
          <w:bCs w:val="0"/>
          <w:szCs w:val="32"/>
          <w:lang w:val="en-US" w:eastAsia="zh-CN"/>
        </w:rPr>
        <w:t>1.</w:t>
      </w:r>
      <w:r>
        <w:rPr>
          <w:rFonts w:hint="eastAsia" w:ascii="仿宋_GB2312" w:hAnsi="黑体" w:cs="黑体"/>
          <w:bCs/>
          <w:szCs w:val="32"/>
        </w:rPr>
        <w:t>贯彻落实党的新闻宣传方针政策，宣传党的理论、路线和各项方针政策，把握新闻宣传基调，坚持正面宣传、发挥主流媒体传播力、引导力、影响力、公信力，为全县经济社会发展提供舆论支持。</w:t>
      </w:r>
    </w:p>
    <w:p>
      <w:pPr>
        <w:spacing w:line="560" w:lineRule="exact"/>
        <w:ind w:firstLine="642" w:firstLineChars="200"/>
        <w:rPr>
          <w:rFonts w:ascii="仿宋_GB2312" w:hAnsi="黑体" w:cs="黑体"/>
          <w:bCs/>
          <w:szCs w:val="32"/>
        </w:rPr>
      </w:pPr>
      <w:r>
        <w:rPr>
          <w:rFonts w:hint="eastAsia" w:ascii="仿宋_GB2312" w:hAnsi="黑体" w:cs="黑体"/>
          <w:b/>
          <w:bCs w:val="0"/>
          <w:szCs w:val="32"/>
          <w:lang w:val="en-US" w:eastAsia="zh-CN"/>
        </w:rPr>
        <w:t>2.</w:t>
      </w:r>
      <w:r>
        <w:rPr>
          <w:rFonts w:hint="eastAsia" w:ascii="仿宋_GB2312" w:hAnsi="黑体" w:cs="黑体"/>
          <w:bCs/>
          <w:szCs w:val="32"/>
        </w:rPr>
        <w:t>围绕县委、县政府中心工作，积极开展新闻内外宣传，落实全县新闻报道计划，完成上级下达的各项内外宣传和创优任务。</w:t>
      </w:r>
    </w:p>
    <w:p>
      <w:pPr>
        <w:spacing w:line="560" w:lineRule="exact"/>
        <w:ind w:firstLine="642" w:firstLineChars="200"/>
        <w:rPr>
          <w:rFonts w:ascii="仿宋_GB2312" w:hAnsi="黑体" w:cs="黑体"/>
          <w:bCs/>
          <w:szCs w:val="32"/>
        </w:rPr>
      </w:pPr>
      <w:r>
        <w:rPr>
          <w:rFonts w:hint="eastAsia" w:ascii="仿宋_GB2312" w:hAnsi="黑体" w:cs="黑体"/>
          <w:b/>
          <w:bCs w:val="0"/>
          <w:szCs w:val="32"/>
          <w:lang w:val="en-US" w:eastAsia="zh-CN"/>
        </w:rPr>
        <w:t>3.</w:t>
      </w:r>
      <w:r>
        <w:rPr>
          <w:rFonts w:hint="eastAsia" w:ascii="仿宋_GB2312" w:hAnsi="黑体" w:cs="黑体"/>
          <w:bCs/>
          <w:szCs w:val="32"/>
        </w:rPr>
        <w:t>负责全县新闻业务管理和对外通联工作，抓好全县新闻宣传阵地和人才队伍建设。</w:t>
      </w:r>
    </w:p>
    <w:p>
      <w:pPr>
        <w:spacing w:line="560" w:lineRule="exact"/>
        <w:ind w:firstLine="642" w:firstLineChars="200"/>
        <w:rPr>
          <w:rFonts w:ascii="仿宋_GB2312" w:hAnsi="黑体" w:cs="黑体"/>
          <w:bCs/>
          <w:szCs w:val="32"/>
        </w:rPr>
      </w:pPr>
      <w:r>
        <w:rPr>
          <w:rFonts w:hint="eastAsia" w:ascii="仿宋_GB2312" w:hAnsi="黑体" w:cs="黑体"/>
          <w:b/>
          <w:bCs w:val="0"/>
          <w:szCs w:val="32"/>
          <w:lang w:val="en-US" w:eastAsia="zh-CN"/>
        </w:rPr>
        <w:t>4.</w:t>
      </w:r>
      <w:r>
        <w:rPr>
          <w:rFonts w:hint="eastAsia" w:ascii="仿宋_GB2312" w:hAnsi="黑体" w:cs="黑体"/>
          <w:bCs/>
          <w:szCs w:val="32"/>
        </w:rPr>
        <w:t>承担黑水县广播电视以及“两微一端”等新媒体的新闻</w:t>
      </w:r>
      <w:r>
        <w:rPr>
          <w:rFonts w:hint="eastAsia" w:ascii="仿宋_GB2312" w:hAnsi="黑体" w:cs="黑体"/>
          <w:bCs/>
          <w:szCs w:val="32"/>
          <w:lang w:val="en-US" w:eastAsia="zh-CN"/>
        </w:rPr>
        <w:t>策、</w:t>
      </w:r>
      <w:r>
        <w:rPr>
          <w:rFonts w:hint="eastAsia" w:ascii="仿宋_GB2312" w:hAnsi="黑体" w:cs="黑体"/>
          <w:bCs/>
          <w:szCs w:val="32"/>
        </w:rPr>
        <w:t>采、编、审、发以及对外宣传、节目信息</w:t>
      </w:r>
      <w:r>
        <w:rPr>
          <w:rFonts w:hint="eastAsia" w:ascii="仿宋_GB2312" w:hAnsi="黑体" w:cs="黑体"/>
          <w:bCs/>
          <w:szCs w:val="32"/>
          <w:lang w:val="en-US" w:eastAsia="zh-CN"/>
        </w:rPr>
        <w:t>报</w:t>
      </w:r>
      <w:r>
        <w:rPr>
          <w:rFonts w:hint="eastAsia" w:ascii="仿宋_GB2312" w:hAnsi="黑体" w:cs="黑体"/>
          <w:bCs/>
          <w:szCs w:val="32"/>
        </w:rPr>
        <w:t>送等工作。协助配合上级媒体和新闻单位来县采访及其他工作。</w:t>
      </w:r>
    </w:p>
    <w:p>
      <w:pPr>
        <w:spacing w:line="560" w:lineRule="exact"/>
        <w:ind w:firstLine="642" w:firstLineChars="200"/>
        <w:rPr>
          <w:rFonts w:ascii="仿宋_GB2312" w:hAnsi="黑体" w:cs="黑体"/>
          <w:bCs/>
          <w:szCs w:val="32"/>
        </w:rPr>
      </w:pPr>
      <w:r>
        <w:rPr>
          <w:rFonts w:hint="eastAsia" w:ascii="仿宋_GB2312" w:hAnsi="黑体" w:cs="黑体"/>
          <w:b/>
          <w:bCs w:val="0"/>
          <w:szCs w:val="32"/>
          <w:lang w:val="en-US" w:eastAsia="zh-CN"/>
        </w:rPr>
        <w:t>5.</w:t>
      </w:r>
      <w:r>
        <w:rPr>
          <w:rFonts w:hint="eastAsia" w:ascii="仿宋_GB2312" w:hAnsi="黑体" w:cs="黑体"/>
          <w:bCs/>
          <w:szCs w:val="32"/>
        </w:rPr>
        <w:t>坚持正确的舆论引导，承担网络舆情监控工作，减少网络舆情对全县的负面影响，维护县内舆论安全。</w:t>
      </w:r>
    </w:p>
    <w:p>
      <w:pPr>
        <w:spacing w:line="560" w:lineRule="exact"/>
        <w:ind w:firstLine="642" w:firstLineChars="200"/>
        <w:rPr>
          <w:rFonts w:ascii="仿宋_GB2312" w:hAnsi="黑体" w:cs="黑体"/>
          <w:bCs/>
          <w:szCs w:val="32"/>
        </w:rPr>
      </w:pPr>
      <w:r>
        <w:rPr>
          <w:rFonts w:hint="eastAsia" w:ascii="仿宋_GB2312" w:hAnsi="黑体" w:cs="黑体"/>
          <w:b/>
          <w:bCs w:val="0"/>
          <w:szCs w:val="32"/>
          <w:lang w:val="en-US" w:eastAsia="zh-CN"/>
        </w:rPr>
        <w:t>6.</w:t>
      </w:r>
      <w:r>
        <w:rPr>
          <w:rFonts w:hint="eastAsia" w:ascii="仿宋_GB2312" w:hAnsi="黑体" w:cs="黑体"/>
          <w:bCs/>
          <w:szCs w:val="32"/>
        </w:rPr>
        <w:t>参与编制并实施全县广播电视工作的目标、事业和技术发展规划。</w:t>
      </w:r>
    </w:p>
    <w:p>
      <w:pPr>
        <w:spacing w:line="560" w:lineRule="exact"/>
        <w:ind w:firstLine="642" w:firstLineChars="200"/>
        <w:rPr>
          <w:rFonts w:ascii="仿宋_GB2312" w:hAnsi="黑体" w:cs="黑体"/>
          <w:bCs/>
          <w:szCs w:val="32"/>
        </w:rPr>
      </w:pPr>
      <w:r>
        <w:rPr>
          <w:rFonts w:hint="eastAsia" w:ascii="仿宋_GB2312" w:hAnsi="黑体" w:cs="黑体"/>
          <w:b/>
          <w:bCs w:val="0"/>
          <w:szCs w:val="32"/>
          <w:lang w:val="en-US" w:eastAsia="zh-CN"/>
        </w:rPr>
        <w:t>7.</w:t>
      </w:r>
      <w:r>
        <w:rPr>
          <w:rFonts w:hint="eastAsia" w:ascii="仿宋_GB2312" w:hAnsi="黑体" w:cs="黑体"/>
          <w:bCs/>
          <w:szCs w:val="32"/>
        </w:rPr>
        <w:t>负责有线电视传输网络维护维修调试及巡查，确保网络安全运行、广播电视节目安全播出。</w:t>
      </w:r>
    </w:p>
    <w:p>
      <w:pPr>
        <w:spacing w:line="560" w:lineRule="exact"/>
        <w:ind w:firstLine="642" w:firstLineChars="200"/>
        <w:rPr>
          <w:rFonts w:ascii="仿宋_GB2312" w:hAnsi="黑体" w:cs="黑体"/>
          <w:bCs/>
          <w:szCs w:val="32"/>
        </w:rPr>
      </w:pPr>
      <w:r>
        <w:rPr>
          <w:rFonts w:hint="eastAsia" w:ascii="仿宋_GB2312" w:hAnsi="黑体" w:cs="黑体"/>
          <w:b/>
          <w:bCs w:val="0"/>
          <w:szCs w:val="32"/>
          <w:lang w:val="en-US" w:eastAsia="zh-CN"/>
        </w:rPr>
        <w:t>8.</w:t>
      </w:r>
      <w:r>
        <w:rPr>
          <w:rFonts w:hint="eastAsia" w:ascii="仿宋_GB2312" w:hAnsi="黑体" w:cs="黑体"/>
          <w:bCs/>
          <w:szCs w:val="32"/>
        </w:rPr>
        <w:t>负责职责范围内的安全生产和职业健康生态环境保护、便民化服务。</w:t>
      </w:r>
    </w:p>
    <w:p>
      <w:pPr>
        <w:spacing w:line="560" w:lineRule="exact"/>
        <w:ind w:firstLine="642" w:firstLineChars="200"/>
        <w:rPr>
          <w:rFonts w:ascii="仿宋_GB2312" w:hAnsi="黑体" w:cs="黑体"/>
          <w:bCs/>
          <w:szCs w:val="32"/>
        </w:rPr>
      </w:pPr>
      <w:r>
        <w:rPr>
          <w:rFonts w:hint="eastAsia" w:ascii="仿宋_GB2312" w:hAnsi="黑体" w:cs="黑体"/>
          <w:b/>
          <w:bCs w:val="0"/>
          <w:szCs w:val="32"/>
          <w:lang w:val="en-US" w:eastAsia="zh-CN"/>
        </w:rPr>
        <w:t>9.</w:t>
      </w:r>
      <w:r>
        <w:rPr>
          <w:rFonts w:hint="eastAsia" w:ascii="仿宋_GB2312" w:hAnsi="黑体" w:cs="黑体"/>
          <w:bCs/>
          <w:szCs w:val="32"/>
        </w:rPr>
        <w:t>完成县委、县政府交办的其他任务。</w:t>
      </w:r>
    </w:p>
    <w:p>
      <w:pPr>
        <w:spacing w:line="560" w:lineRule="exact"/>
        <w:ind w:firstLine="642" w:firstLineChars="200"/>
        <w:rPr>
          <w:rFonts w:ascii="仿宋_GB2312" w:hAnsi="黑体" w:cs="黑体"/>
          <w:bCs/>
          <w:szCs w:val="32"/>
        </w:rPr>
      </w:pPr>
      <w:r>
        <w:rPr>
          <w:rFonts w:hint="eastAsia" w:ascii="仿宋_GB2312" w:hAnsi="黑体" w:cs="黑体"/>
          <w:b/>
          <w:bCs w:val="0"/>
          <w:szCs w:val="32"/>
          <w:lang w:val="en-US" w:eastAsia="zh-CN"/>
        </w:rPr>
        <w:t>10.</w:t>
      </w:r>
      <w:r>
        <w:rPr>
          <w:rFonts w:hint="eastAsia" w:ascii="仿宋_GB2312" w:hAnsi="黑体" w:cs="黑体"/>
          <w:bCs/>
          <w:szCs w:val="32"/>
        </w:rPr>
        <w:t>有关职责分工</w:t>
      </w:r>
    </w:p>
    <w:p>
      <w:pPr>
        <w:widowControl/>
        <w:adjustRightInd w:val="0"/>
        <w:snapToGrid w:val="0"/>
        <w:spacing w:line="578" w:lineRule="exact"/>
        <w:ind w:firstLine="803" w:firstLineChars="250"/>
        <w:contextualSpacing/>
        <w:jc w:val="left"/>
        <w:rPr>
          <w:rFonts w:hint="eastAsia"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）人员概况</w:t>
      </w:r>
    </w:p>
    <w:p>
      <w:pPr>
        <w:ind w:firstLine="640" w:firstLineChars="200"/>
        <w:rPr>
          <w:rFonts w:ascii="仿宋_GB2312" w:hAnsi="黑体" w:cs="黑体"/>
          <w:bCs/>
          <w:szCs w:val="32"/>
        </w:rPr>
      </w:pPr>
      <w:r>
        <w:rPr>
          <w:rFonts w:hint="eastAsia" w:ascii="仿宋_GB2312" w:hAnsi="黑体" w:cs="黑体"/>
          <w:bCs/>
          <w:szCs w:val="32"/>
        </w:rPr>
        <w:t>单位总编制22名，其中：事业编制22名。在职20人（其中：事业编制20名），退休5人，遗属1人。</w:t>
      </w:r>
    </w:p>
    <w:p>
      <w:pPr>
        <w:widowControl/>
        <w:adjustRightInd w:val="0"/>
        <w:snapToGrid w:val="0"/>
        <w:spacing w:line="578"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二、部门资金收支情况</w:t>
      </w:r>
    </w:p>
    <w:p>
      <w:pPr>
        <w:widowControl/>
        <w:adjustRightInd w:val="0"/>
        <w:snapToGrid w:val="0"/>
        <w:spacing w:line="578" w:lineRule="exact"/>
        <w:ind w:firstLine="642" w:firstLineChars="200"/>
        <w:contextualSpacing/>
        <w:jc w:val="left"/>
        <w:rPr>
          <w:rFonts w:hint="eastAsia"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收入情况</w:t>
      </w:r>
    </w:p>
    <w:p>
      <w:pPr>
        <w:spacing w:line="560" w:lineRule="exact"/>
        <w:ind w:firstLine="640" w:firstLineChars="200"/>
        <w:rPr>
          <w:rFonts w:hint="eastAsia" w:ascii="仿宋_GB2312" w:hAnsi="黑体" w:cs="黑体"/>
          <w:bCs/>
          <w:szCs w:val="32"/>
        </w:rPr>
      </w:pPr>
      <w:r>
        <w:rPr>
          <w:rFonts w:hint="eastAsia" w:ascii="仿宋_GB2312" w:hAnsi="黑体" w:cs="黑体"/>
          <w:bCs/>
          <w:szCs w:val="32"/>
        </w:rPr>
        <w:t>2023年一般公共预算收入588.92万元，年初结转结余0万元，共计588.92万元。其中基本收入379.52万元，项目收入209.4万元。主要用于2023年融媒体中心职工日常人员经费、公用经费等支出，切实保证中心的正常运转。</w:t>
      </w:r>
    </w:p>
    <w:p>
      <w:pPr>
        <w:spacing w:line="560" w:lineRule="exact"/>
        <w:ind w:firstLine="640" w:firstLineChars="200"/>
        <w:rPr>
          <w:rFonts w:hint="eastAsia" w:ascii="仿宋_GB2312" w:hAnsi="黑体" w:cs="黑体"/>
          <w:bCs/>
          <w:szCs w:val="32"/>
        </w:rPr>
      </w:pPr>
      <w:r>
        <w:rPr>
          <w:rFonts w:ascii="仿宋_GB2312" w:hAnsi="黑体" w:cs="黑体"/>
          <w:bCs/>
          <w:szCs w:val="32"/>
        </w:rPr>
        <w:t>20</w:t>
      </w:r>
      <w:r>
        <w:rPr>
          <w:rFonts w:hint="eastAsia" w:ascii="仿宋_GB2312" w:hAnsi="黑体" w:cs="黑体"/>
          <w:bCs/>
          <w:szCs w:val="32"/>
        </w:rPr>
        <w:t>23年政府采购未安排公务用车购置预算。</w:t>
      </w:r>
    </w:p>
    <w:p>
      <w:pPr>
        <w:widowControl/>
        <w:adjustRightInd w:val="0"/>
        <w:snapToGrid w:val="0"/>
        <w:spacing w:line="578" w:lineRule="exact"/>
        <w:ind w:firstLine="803" w:firstLineChars="250"/>
        <w:contextualSpacing/>
        <w:jc w:val="left"/>
        <w:rPr>
          <w:rFonts w:hint="eastAsia"/>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二</w:t>
      </w: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支出情况</w:t>
      </w:r>
    </w:p>
    <w:p>
      <w:pPr>
        <w:spacing w:line="560" w:lineRule="exact"/>
        <w:ind w:firstLine="640" w:firstLineChars="200"/>
        <w:rPr>
          <w:rFonts w:hint="eastAsia" w:ascii="仿宋_GB2312" w:hAnsi="黑体" w:cs="黑体"/>
          <w:bCs/>
          <w:szCs w:val="32"/>
        </w:rPr>
      </w:pPr>
      <w:r>
        <w:rPr>
          <w:rFonts w:hint="eastAsia" w:ascii="仿宋_GB2312" w:hAnsi="黑体" w:cs="黑体"/>
          <w:bCs/>
          <w:szCs w:val="32"/>
        </w:rPr>
        <w:t>2023年实际支出588.92万元。 按资金来源分析：其中财政拨款支出588.92万元，占本年总支出的100%。按支出性质分析：基本支出379.52万元，占本年总支出的64%；项目支出209.4万元，占本年总支出的36%。按支出经济分类分析：其中工资福利支出342.23万元，占本年总支出的58.11%；商品和服务支出145.29万元，占本年总支出的24.7%；对个人和家庭的补助支出6.2万元，占本年总支出的1.05%；资本性支出85.2万元，占本年总支出的14.5%；资本性支出（基本建设）10万元，占本年总支出的1.6%。</w:t>
      </w:r>
    </w:p>
    <w:p>
      <w:pPr>
        <w:widowControl/>
        <w:adjustRightInd w:val="0"/>
        <w:snapToGrid w:val="0"/>
        <w:spacing w:line="578" w:lineRule="exact"/>
        <w:ind w:firstLine="481" w:firstLineChars="150"/>
        <w:contextualSpacing/>
        <w:jc w:val="left"/>
        <w:rPr>
          <w:rFonts w:hint="eastAsia"/>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w:t>
      </w:r>
      <w:r>
        <w:rPr>
          <w:rFonts w:eastAsia="楷体_GB2312"/>
          <w:b/>
          <w:szCs w:val="32"/>
        </w:rPr>
        <w:t>结余分配和结转结余情况</w:t>
      </w:r>
    </w:p>
    <w:p>
      <w:pPr>
        <w:spacing w:line="560" w:lineRule="exact"/>
        <w:ind w:firstLine="640" w:firstLineChars="200"/>
        <w:rPr>
          <w:rFonts w:hint="eastAsia" w:ascii="仿宋_GB2312" w:hAnsi="黑体" w:cs="黑体"/>
          <w:bCs/>
          <w:szCs w:val="32"/>
        </w:rPr>
      </w:pPr>
      <w:r>
        <w:rPr>
          <w:rFonts w:hint="eastAsia" w:ascii="仿宋_GB2312" w:hAnsi="黑体" w:cs="黑体"/>
          <w:bCs/>
          <w:szCs w:val="32"/>
        </w:rPr>
        <w:t>202</w:t>
      </w:r>
      <w:r>
        <w:rPr>
          <w:rFonts w:hint="eastAsia" w:ascii="仿宋_GB2312" w:hAnsi="黑体" w:cs="黑体"/>
          <w:bCs/>
          <w:szCs w:val="32"/>
          <w:lang w:val="en-US" w:eastAsia="zh-CN"/>
        </w:rPr>
        <w:t>3</w:t>
      </w:r>
      <w:r>
        <w:rPr>
          <w:rFonts w:hint="eastAsia" w:ascii="仿宋_GB2312" w:hAnsi="黑体" w:cs="黑体"/>
          <w:bCs/>
          <w:szCs w:val="32"/>
        </w:rPr>
        <w:t>年年末无财政应返还额度。</w:t>
      </w:r>
    </w:p>
    <w:p>
      <w:pPr>
        <w:spacing w:line="560" w:lineRule="exact"/>
        <w:ind w:firstLine="640" w:firstLineChars="200"/>
        <w:rPr>
          <w:rFonts w:eastAsia="黑体"/>
          <w:color w:val="000000" w:themeColor="text1"/>
          <w:kern w:val="0"/>
          <w:szCs w:val="32"/>
          <w:shd w:val="clear" w:color="auto" w:fill="FFFFFF"/>
        </w:rPr>
      </w:pPr>
      <w:r>
        <w:rPr>
          <w:rFonts w:eastAsia="黑体"/>
          <w:color w:val="000000"/>
          <w:kern w:val="0"/>
          <w:szCs w:val="32"/>
          <w:shd w:val="clear" w:color="auto" w:fill="FFFFFF"/>
        </w:rPr>
        <w:t>三、部门预算绩效分析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321" w:firstLineChars="1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Times New Roman" w:eastAsia="楷体_GB2312" w:cs="楷体_GB2312"/>
          <w:b/>
          <w:bCs w:val="0"/>
          <w:color w:val="000000"/>
          <w:sz w:val="32"/>
          <w:szCs w:val="32"/>
          <w:lang w:val="en-US" w:eastAsia="zh-CN"/>
        </w:rPr>
      </w:pPr>
      <w:r>
        <w:rPr>
          <w:rFonts w:hint="eastAsia" w:ascii="楷体_GB2312" w:hAnsi="Times New Roman" w:eastAsia="楷体_GB2312" w:cs="楷体_GB2312"/>
          <w:b/>
          <w:bCs w:val="0"/>
          <w:color w:val="000000"/>
          <w:sz w:val="32"/>
          <w:szCs w:val="32"/>
          <w:lang w:val="en-US" w:eastAsia="zh-CN"/>
        </w:rPr>
        <w:t>1.</w:t>
      </w:r>
      <w:r>
        <w:rPr>
          <w:rFonts w:hint="eastAsia" w:ascii="楷体_GB2312" w:hAnsi="Times New Roman" w:eastAsia="楷体_GB2312" w:cs="楷体_GB2312"/>
          <w:b/>
          <w:bCs w:val="0"/>
          <w:color w:val="000000"/>
          <w:sz w:val="32"/>
          <w:szCs w:val="32"/>
          <w:lang w:val="zh-CN" w:eastAsia="zh-CN"/>
        </w:rPr>
        <w:t>履职效能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lang w:val="en-US" w:eastAsia="zh-CN"/>
        </w:rPr>
        <w:t>（1）宣传方面</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kern w:val="2"/>
          <w:sz w:val="32"/>
          <w:szCs w:val="32"/>
        </w:rPr>
      </w:pPr>
      <w:r>
        <w:rPr>
          <w:rFonts w:hint="eastAsia" w:ascii="仿宋_GB2312" w:hAnsi="仿宋_GB2312" w:cs="仿宋_GB2312"/>
          <w:b/>
          <w:bCs w:val="0"/>
          <w:color w:val="000000"/>
          <w:sz w:val="32"/>
          <w:szCs w:val="32"/>
          <w:lang w:eastAsia="zh-CN"/>
        </w:rPr>
        <w:t>一是</w:t>
      </w:r>
      <w:r>
        <w:rPr>
          <w:rFonts w:hint="eastAsia" w:ascii="仿宋_GB2312" w:hAnsi="仿宋_GB2312" w:eastAsia="仿宋_GB2312" w:cs="仿宋_GB2312"/>
          <w:b/>
          <w:bCs w:val="0"/>
          <w:color w:val="000000"/>
          <w:sz w:val="32"/>
          <w:szCs w:val="32"/>
        </w:rPr>
        <w:t>外宣稿</w:t>
      </w:r>
      <w:r>
        <w:rPr>
          <w:rFonts w:hint="default" w:ascii="仿宋_GB2312" w:hAnsi="仿宋_GB2312" w:cs="仿宋_GB2312"/>
          <w:b/>
          <w:bCs w:val="0"/>
          <w:color w:val="000000"/>
          <w:sz w:val="32"/>
          <w:szCs w:val="32"/>
        </w:rPr>
        <w:t>上</w:t>
      </w:r>
      <w:r>
        <w:rPr>
          <w:rFonts w:hint="eastAsia" w:ascii="仿宋_GB2312" w:hAnsi="仿宋_GB2312" w:eastAsia="仿宋_GB2312" w:cs="仿宋_GB2312"/>
          <w:b/>
          <w:bCs w:val="0"/>
          <w:color w:val="000000"/>
          <w:sz w:val="32"/>
          <w:szCs w:val="32"/>
        </w:rPr>
        <w:t>提质</w:t>
      </w:r>
      <w:r>
        <w:rPr>
          <w:rFonts w:hint="eastAsia" w:ascii="仿宋_GB2312" w:hAnsi="仿宋_GB2312" w:eastAsia="仿宋_GB2312" w:cs="仿宋_GB2312"/>
          <w:b/>
          <w:bCs w:val="0"/>
          <w:color w:val="000000"/>
          <w:sz w:val="32"/>
          <w:szCs w:val="32"/>
          <w:lang w:eastAsia="zh-CN"/>
        </w:rPr>
        <w:t>增</w:t>
      </w:r>
      <w:r>
        <w:rPr>
          <w:rFonts w:hint="eastAsia" w:ascii="仿宋_GB2312" w:hAnsi="仿宋_GB2312" w:eastAsia="仿宋_GB2312" w:cs="仿宋_GB2312"/>
          <w:b/>
          <w:bCs w:val="0"/>
          <w:color w:val="000000"/>
          <w:sz w:val="32"/>
          <w:szCs w:val="32"/>
        </w:rPr>
        <w:t>量。</w:t>
      </w:r>
      <w:r>
        <w:rPr>
          <w:rFonts w:hint="eastAsia" w:ascii="仿宋_GB2312" w:eastAsia="仿宋_GB2312"/>
          <w:kern w:val="2"/>
          <w:sz w:val="32"/>
          <w:szCs w:val="32"/>
        </w:rPr>
        <w:t>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截</w:t>
      </w:r>
      <w:r>
        <w:rPr>
          <w:rFonts w:hint="default" w:ascii="仿宋_GB2312"/>
          <w:kern w:val="2"/>
          <w:sz w:val="32"/>
          <w:szCs w:val="32"/>
        </w:rPr>
        <w:t>至</w:t>
      </w:r>
      <w:r>
        <w:rPr>
          <w:rFonts w:hint="eastAsia" w:ascii="仿宋_GB2312" w:eastAsia="仿宋_GB2312"/>
          <w:kern w:val="2"/>
          <w:sz w:val="32"/>
          <w:szCs w:val="32"/>
        </w:rPr>
        <w:t>目前,在中央媒体</w:t>
      </w:r>
      <w:r>
        <w:rPr>
          <w:rFonts w:hint="eastAsia" w:ascii="仿宋_GB2312" w:eastAsia="仿宋_GB2312"/>
          <w:kern w:val="2"/>
          <w:sz w:val="32"/>
          <w:szCs w:val="32"/>
          <w:lang w:eastAsia="zh-CN"/>
        </w:rPr>
        <w:t>平台</w:t>
      </w:r>
      <w:r>
        <w:rPr>
          <w:rFonts w:hint="eastAsia" w:ascii="仿宋_GB2312" w:eastAsia="仿宋_GB2312"/>
          <w:kern w:val="2"/>
          <w:sz w:val="32"/>
          <w:szCs w:val="32"/>
        </w:rPr>
        <w:t>发布新闻稿</w:t>
      </w:r>
      <w:r>
        <w:rPr>
          <w:rFonts w:hint="eastAsia" w:ascii="仿宋_GB2312" w:eastAsia="仿宋_GB2312"/>
          <w:kern w:val="2"/>
          <w:sz w:val="32"/>
          <w:szCs w:val="32"/>
          <w:lang w:val="en-US" w:eastAsia="zh-CN"/>
        </w:rPr>
        <w:t>40余</w:t>
      </w:r>
      <w:r>
        <w:rPr>
          <w:rFonts w:hint="eastAsia" w:ascii="仿宋_GB2312" w:eastAsia="仿宋_GB2312"/>
          <w:kern w:val="2"/>
          <w:sz w:val="32"/>
          <w:szCs w:val="32"/>
        </w:rPr>
        <w:t>条，在省级平台发布稿件</w:t>
      </w:r>
      <w:r>
        <w:rPr>
          <w:rFonts w:hint="eastAsia" w:ascii="仿宋_GB2312" w:eastAsia="仿宋_GB2312"/>
          <w:kern w:val="2"/>
          <w:sz w:val="32"/>
          <w:szCs w:val="32"/>
          <w:lang w:val="en-US" w:eastAsia="zh-CN"/>
        </w:rPr>
        <w:t>80余</w:t>
      </w:r>
      <w:r>
        <w:rPr>
          <w:rFonts w:hint="eastAsia" w:ascii="仿宋_GB2312" w:eastAsia="仿宋_GB2312"/>
          <w:kern w:val="2"/>
          <w:sz w:val="32"/>
          <w:szCs w:val="32"/>
        </w:rPr>
        <w:t>条，在州级平台发布稿件</w:t>
      </w:r>
      <w:r>
        <w:rPr>
          <w:rFonts w:hint="eastAsia" w:ascii="仿宋_GB2312" w:eastAsia="仿宋_GB2312"/>
          <w:kern w:val="2"/>
          <w:sz w:val="32"/>
          <w:szCs w:val="32"/>
          <w:lang w:val="en-US" w:eastAsia="zh-CN"/>
        </w:rPr>
        <w:t>230余</w:t>
      </w:r>
      <w:r>
        <w:rPr>
          <w:rFonts w:hint="eastAsia" w:ascii="仿宋_GB2312" w:eastAsia="仿宋_GB2312"/>
          <w:kern w:val="2"/>
          <w:sz w:val="32"/>
          <w:szCs w:val="32"/>
        </w:rPr>
        <w:t>条</w:t>
      </w:r>
      <w:r>
        <w:rPr>
          <w:rFonts w:hint="eastAsia" w:ascii="仿宋_GB2312" w:eastAsia="仿宋_GB2312"/>
          <w:kern w:val="2"/>
          <w:sz w:val="32"/>
          <w:szCs w:val="32"/>
          <w:lang w:eastAsia="zh-CN"/>
        </w:rPr>
        <w:t>，在学习强国平台刊载各类稿件</w:t>
      </w:r>
      <w:r>
        <w:rPr>
          <w:rFonts w:hint="eastAsia" w:ascii="仿宋_GB2312" w:eastAsia="仿宋_GB2312"/>
          <w:kern w:val="2"/>
          <w:sz w:val="32"/>
          <w:szCs w:val="32"/>
          <w:lang w:val="en-US" w:eastAsia="zh-CN"/>
        </w:rPr>
        <w:t>61条，</w:t>
      </w:r>
      <w:r>
        <w:rPr>
          <w:rFonts w:hint="eastAsia" w:ascii="仿宋_GB2312" w:eastAsia="仿宋_GB2312"/>
          <w:kern w:val="2"/>
          <w:sz w:val="32"/>
          <w:szCs w:val="32"/>
          <w:lang w:eastAsia="zh-CN"/>
        </w:rPr>
        <w:t>其中“四川黑水：秋景如诗、彩林如画”在央视新闻频道《朝闻天下》栏目专题播出；“打造新场景，赋能黑水文旅融合发展”在四川卫视《四川新闻联播》专题播出；“黑水：逐梦‘绿富美’一沟彩林作答三道考题”在《四川日报》半版刊载。</w:t>
      </w:r>
      <w:r>
        <w:rPr>
          <w:rFonts w:hint="eastAsia" w:ascii="仿宋_GB2312" w:eastAsia="仿宋_GB2312"/>
          <w:kern w:val="2"/>
          <w:sz w:val="32"/>
          <w:szCs w:val="32"/>
        </w:rPr>
        <w:t>真正做到了稿件质量大幅</w:t>
      </w:r>
      <w:r>
        <w:rPr>
          <w:rFonts w:hint="eastAsia" w:ascii="仿宋_GB2312" w:eastAsia="仿宋_GB2312"/>
          <w:kern w:val="2"/>
          <w:sz w:val="32"/>
          <w:szCs w:val="32"/>
          <w:lang w:eastAsia="zh-CN"/>
        </w:rPr>
        <w:t>提</w:t>
      </w:r>
      <w:r>
        <w:rPr>
          <w:rFonts w:hint="eastAsia" w:ascii="仿宋_GB2312" w:eastAsia="仿宋_GB2312"/>
          <w:kern w:val="2"/>
          <w:sz w:val="32"/>
          <w:szCs w:val="32"/>
        </w:rPr>
        <w:t>升、数量稳中有升，为黑水</w:t>
      </w:r>
      <w:r>
        <w:rPr>
          <w:rFonts w:hint="eastAsia" w:ascii="仿宋_GB2312" w:eastAsia="仿宋_GB2312"/>
          <w:kern w:val="2"/>
          <w:sz w:val="32"/>
          <w:szCs w:val="32"/>
          <w:lang w:eastAsia="zh-CN"/>
        </w:rPr>
        <w:t>经济社会发展</w:t>
      </w:r>
      <w:r>
        <w:rPr>
          <w:rFonts w:hint="eastAsia" w:ascii="仿宋_GB2312" w:eastAsia="仿宋_GB2312"/>
          <w:kern w:val="2"/>
          <w:sz w:val="32"/>
          <w:szCs w:val="32"/>
        </w:rPr>
        <w:t>营造了浓厚</w:t>
      </w:r>
      <w:r>
        <w:rPr>
          <w:rFonts w:hint="eastAsia" w:ascii="仿宋_GB2312" w:eastAsia="仿宋_GB2312"/>
          <w:kern w:val="2"/>
          <w:sz w:val="32"/>
          <w:szCs w:val="32"/>
          <w:lang w:eastAsia="zh-CN"/>
        </w:rPr>
        <w:t>舆论</w:t>
      </w:r>
      <w:r>
        <w:rPr>
          <w:rFonts w:hint="eastAsia" w:ascii="仿宋_GB2312" w:eastAsia="仿宋_GB2312"/>
          <w:kern w:val="2"/>
          <w:sz w:val="32"/>
          <w:szCs w:val="32"/>
        </w:rPr>
        <w:t>氛围。</w:t>
      </w:r>
      <w:r>
        <w:rPr>
          <w:rFonts w:hint="eastAsia" w:ascii="仿宋_GB2312" w:hAnsi="仿宋_GB2312" w:eastAsia="仿宋_GB2312" w:cs="仿宋_GB2312"/>
          <w:b/>
          <w:bCs w:val="0"/>
          <w:color w:val="000000"/>
          <w:sz w:val="32"/>
          <w:szCs w:val="32"/>
          <w:lang w:val="en-US" w:eastAsia="zh-CN"/>
        </w:rPr>
        <w:t>二是内宣策划亮点纷呈。</w:t>
      </w:r>
      <w:r>
        <w:rPr>
          <w:rFonts w:hint="eastAsia" w:ascii="仿宋_GB2312" w:eastAsia="仿宋_GB2312"/>
          <w:kern w:val="2"/>
          <w:sz w:val="32"/>
          <w:szCs w:val="32"/>
        </w:rPr>
        <w:t>按照年度有主题，季度有专题，月月有话题，</w:t>
      </w:r>
      <w:r>
        <w:rPr>
          <w:rFonts w:hint="eastAsia" w:ascii="仿宋_GB2312" w:eastAsia="仿宋_GB2312"/>
          <w:kern w:val="2"/>
          <w:sz w:val="32"/>
          <w:szCs w:val="32"/>
          <w:lang w:eastAsia="zh-CN"/>
        </w:rPr>
        <w:t>深入学习宣传贯彻党的二十大精神，省委十二届二次全会，州委十二届二次、三次全会，县委十四届三次全会精神。</w:t>
      </w:r>
      <w:r>
        <w:rPr>
          <w:rFonts w:hint="eastAsia" w:ascii="仿宋_GB2312" w:eastAsia="仿宋_GB2312"/>
          <w:kern w:val="2"/>
          <w:sz w:val="32"/>
          <w:szCs w:val="32"/>
        </w:rPr>
        <w:t>围绕阿坝州、黑水县成立70周年，开展“壮丽70年·奋进新征程”重大主题报道，开设《党的光辉照阿坝·猛河儿女心向党》总栏目，下设《鎏金岁月· 我的70年》、《辉煌70年·黑水新答卷》、《70年，看黑水乡镇之变》等图文、视频子栏目，为阿坝州、黑水县成立70周年营造了浓厚氛围。与此同时，围绕</w:t>
      </w:r>
      <w:r>
        <w:rPr>
          <w:rFonts w:hint="eastAsia" w:ascii="仿宋_GB2312" w:eastAsia="仿宋_GB2312"/>
          <w:kern w:val="2"/>
          <w:sz w:val="32"/>
          <w:szCs w:val="32"/>
          <w:lang w:val="en-US" w:eastAsia="zh-CN"/>
        </w:rPr>
        <w:t>2023阿坝州文化和旅游暨全域旅游发展大会、2023四川红叶生态旅游节子活动暨黑水县第十一届冰川彩林文化旅游季等</w:t>
      </w:r>
      <w:r>
        <w:rPr>
          <w:rFonts w:hint="eastAsia" w:ascii="仿宋_GB2312" w:eastAsia="仿宋_GB2312"/>
          <w:kern w:val="2"/>
          <w:sz w:val="32"/>
          <w:szCs w:val="32"/>
        </w:rPr>
        <w:t>重大节庆活动开设《冰川下的彩林小城》《乐游黑水》《走进非遗·品鉴黑水》《雪山红谷情》等栏目</w:t>
      </w:r>
      <w:r>
        <w:rPr>
          <w:rFonts w:hint="eastAsia" w:ascii="仿宋_GB2312" w:eastAsia="仿宋_GB2312"/>
          <w:kern w:val="2"/>
          <w:sz w:val="32"/>
          <w:szCs w:val="32"/>
          <w:lang w:eastAsia="zh-CN"/>
        </w:rPr>
        <w:t>，全方位宣传推介黑水文旅资源</w:t>
      </w:r>
      <w:r>
        <w:rPr>
          <w:rFonts w:hint="eastAsia" w:ascii="仿宋_GB2312" w:eastAsia="仿宋_GB2312"/>
          <w:kern w:val="2"/>
          <w:sz w:val="32"/>
          <w:szCs w:val="32"/>
        </w:rPr>
        <w:t>。截止10月底，“微黑水”公众号发布各类信息 1890条，“点靓黑水”APP共发布各类信息1556条，“微黑水”视频号、“黑水融媒”抖音号创作发布微视频融媒产品553条。中心</w:t>
      </w:r>
      <w:r>
        <w:rPr>
          <w:rFonts w:hint="eastAsia" w:ascii="仿宋_GB2312" w:eastAsia="仿宋_GB2312"/>
          <w:kern w:val="2"/>
          <w:sz w:val="32"/>
          <w:szCs w:val="32"/>
          <w:lang w:eastAsia="zh-CN"/>
        </w:rPr>
        <w:t>融</w:t>
      </w:r>
      <w:r>
        <w:rPr>
          <w:rFonts w:hint="eastAsia" w:ascii="仿宋_GB2312" w:eastAsia="仿宋_GB2312"/>
          <w:kern w:val="2"/>
          <w:sz w:val="32"/>
          <w:szCs w:val="32"/>
        </w:rPr>
        <w:t>媒</w:t>
      </w:r>
      <w:r>
        <w:rPr>
          <w:rFonts w:hint="eastAsia" w:ascii="仿宋_GB2312" w:eastAsia="仿宋_GB2312"/>
          <w:kern w:val="2"/>
          <w:sz w:val="32"/>
          <w:szCs w:val="32"/>
          <w:lang w:eastAsia="zh-CN"/>
        </w:rPr>
        <w:t>生产高质高效</w:t>
      </w:r>
      <w:r>
        <w:rPr>
          <w:rFonts w:hint="eastAsia" w:ascii="仿宋_GB2312" w:eastAsia="仿宋_GB2312"/>
          <w:kern w:val="2"/>
          <w:sz w:val="32"/>
          <w:szCs w:val="32"/>
        </w:rPr>
        <w:t>,传播能力不断提升，中心制作的新媒体产品均实现点击量、关注量倍数增长。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lang w:val="en-US" w:eastAsia="zh-CN"/>
        </w:rPr>
        <w:t>（2）网络运维方面</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完成广电700兆频率迁移和发射基站更新维护，同时保证了广电大网通畅。</w:t>
      </w:r>
      <w:r>
        <w:rPr>
          <w:rFonts w:hint="eastAsia" w:ascii="仿宋_GB2312" w:hAnsi="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落实广电192号落地，前期工作基本完成，目前正在抓人员培训。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结</w:t>
      </w:r>
      <w:r>
        <w:rPr>
          <w:rFonts w:hint="eastAsia" w:eastAsia="方正仿宋_GBK" w:cs="Times New Roman"/>
          <w:i w:val="0"/>
          <w:iCs w:val="0"/>
          <w:caps w:val="0"/>
          <w:color w:val="auto"/>
          <w:spacing w:val="0"/>
          <w:sz w:val="32"/>
          <w:szCs w:val="32"/>
          <w:shd w:val="clear" w:color="auto" w:fill="FFFFFF"/>
          <w:lang w:val="en-US" w:eastAsia="zh-CN"/>
        </w:rPr>
        <w:t>合实际支付</w:t>
      </w:r>
      <w:r>
        <w:rPr>
          <w:rFonts w:hint="eastAsia" w:ascii="仿宋_GB2312" w:hAnsi="仿宋_GB2312" w:eastAsia="仿宋_GB2312" w:cs="仿宋_GB2312"/>
          <w:color w:val="auto"/>
          <w:kern w:val="2"/>
          <w:sz w:val="32"/>
          <w:szCs w:val="32"/>
          <w:lang w:val="en-US" w:eastAsia="zh-CN" w:bidi="ar-SA"/>
        </w:rPr>
        <w:t>自评得分：</w:t>
      </w:r>
      <w:r>
        <w:rPr>
          <w:rFonts w:hint="eastAsia" w:ascii="仿宋_GB2312" w:hAnsi="仿宋_GB2312" w:cs="仿宋_GB2312"/>
          <w:color w:val="auto"/>
          <w:kern w:val="2"/>
          <w:sz w:val="32"/>
          <w:szCs w:val="32"/>
          <w:lang w:val="en-US" w:eastAsia="zh-CN" w:bidi="ar-SA"/>
        </w:rPr>
        <w:t>15</w:t>
      </w:r>
      <w:r>
        <w:rPr>
          <w:rFonts w:hint="eastAsia" w:ascii="仿宋_GB2312" w:hAnsi="仿宋_GB2312" w:eastAsia="仿宋_GB2312" w:cs="仿宋_GB2312"/>
          <w:color w:val="auto"/>
          <w:kern w:val="2"/>
          <w:sz w:val="32"/>
          <w:szCs w:val="32"/>
          <w:lang w:val="en-US" w:eastAsia="zh-CN" w:bidi="ar-SA"/>
        </w:rPr>
        <w:t>分</w:t>
      </w:r>
      <w:r>
        <w:rPr>
          <w:rFonts w:hint="eastAsia" w:ascii="仿宋_GB2312" w:hAnsi="仿宋_GB2312" w:cs="仿宋_GB2312"/>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Times New Roman" w:eastAsia="楷体_GB2312" w:cs="楷体_GB2312"/>
          <w:b/>
          <w:bCs w:val="0"/>
          <w:color w:val="000000"/>
          <w:sz w:val="32"/>
          <w:szCs w:val="32"/>
          <w:lang w:val="en-US" w:eastAsia="zh-CN"/>
        </w:rPr>
        <w:t>2.</w:t>
      </w:r>
      <w:r>
        <w:rPr>
          <w:rFonts w:hint="default" w:ascii="楷体_GB2312" w:hAnsi="Times New Roman" w:eastAsia="楷体_GB2312" w:cs="楷体_GB2312"/>
          <w:b/>
          <w:bCs w:val="0"/>
          <w:color w:val="000000"/>
          <w:sz w:val="32"/>
          <w:szCs w:val="32"/>
          <w:lang w:val="zh-CN" w:eastAsia="zh-CN"/>
        </w:rPr>
        <w:t>预算管理</w:t>
      </w:r>
      <w:r>
        <w:rPr>
          <w:rFonts w:hint="eastAsia" w:ascii="楷体_GB2312" w:hAnsi="Times New Roman" w:eastAsia="楷体_GB2312" w:cs="楷体_GB2312"/>
          <w:b/>
          <w:bCs w:val="0"/>
          <w:color w:val="000000"/>
          <w:sz w:val="32"/>
          <w:szCs w:val="32"/>
          <w:lang w:val="zh-CN" w:eastAsia="zh-CN"/>
        </w:rPr>
        <w:t>。</w:t>
      </w:r>
      <w:r>
        <w:rPr>
          <w:rFonts w:hint="eastAsia" w:ascii="仿宋_GB2312" w:hAnsi="仿宋_GB2312" w:eastAsia="仿宋_GB2312" w:cs="仿宋_GB2312"/>
          <w:sz w:val="32"/>
          <w:szCs w:val="32"/>
          <w:lang w:val="zh-CN" w:eastAsia="zh-CN"/>
        </w:rPr>
        <w:t>一是预算编制质量，</w:t>
      </w:r>
      <w:r>
        <w:rPr>
          <w:rFonts w:hint="eastAsia" w:ascii="仿宋_GB2312" w:hAnsi="仿宋_GB2312" w:eastAsia="仿宋_GB2312" w:cs="仿宋_GB2312"/>
          <w:sz w:val="32"/>
          <w:szCs w:val="32"/>
          <w:lang w:val="en-US" w:eastAsia="zh-CN"/>
        </w:rPr>
        <w:t>部门预算编制目标制定清晰，部门整体绩效目标编制完整、合理部门整体绩效目标能完整、合理反映部门年度职责履行情况，项目绩效目标编制明确，并通过了预算草案审查，审查后未提出确需修改的问题，自评得分8分；二是单位收入统筹，单位全年收入均属财政拨款收入，纳入预算管理，结息收入按规定上缴财政，自评得分4分；三是支出执行进度，我中心及时支付资金，自评得分4分。四是预算年终结余，年末结余为零，收支平衡，自评得分4分；五是严控一般性支出，2023年部门厉行节约，一般性支出办公费、会议费、差旅费、培训费、</w:t>
      </w:r>
      <w:r>
        <w:rPr>
          <w:rFonts w:hint="default" w:ascii="仿宋_GB2312" w:hAnsi="仿宋_GB2312" w:cs="仿宋_GB2312"/>
          <w:sz w:val="32"/>
          <w:szCs w:val="32"/>
          <w:lang w:eastAsia="zh-CN"/>
        </w:rPr>
        <w:t>“三公”经费</w:t>
      </w:r>
      <w:r>
        <w:rPr>
          <w:rFonts w:hint="eastAsia" w:ascii="仿宋_GB2312" w:hAnsi="仿宋_GB2312" w:eastAsia="仿宋_GB2312" w:cs="仿宋_GB2312"/>
          <w:sz w:val="32"/>
          <w:szCs w:val="32"/>
          <w:lang w:val="en-US" w:eastAsia="zh-CN"/>
        </w:rPr>
        <w:t>等支出决算数高于2022年度决算数（因2023年下乡维修设备次数增多），自评得分5分，扣1分。预算管理总体自评得分：24分。</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Times New Roman" w:eastAsia="楷体_GB2312" w:cs="楷体_GB2312"/>
          <w:b/>
          <w:bCs w:val="0"/>
          <w:color w:val="000000"/>
          <w:sz w:val="32"/>
          <w:szCs w:val="32"/>
          <w:lang w:val="en-US" w:eastAsia="zh-CN"/>
        </w:rPr>
        <w:t>3.</w:t>
      </w:r>
      <w:r>
        <w:rPr>
          <w:rFonts w:hint="default" w:ascii="楷体_GB2312" w:hAnsi="Times New Roman" w:eastAsia="楷体_GB2312" w:cs="楷体_GB2312"/>
          <w:b/>
          <w:bCs w:val="0"/>
          <w:color w:val="000000"/>
          <w:sz w:val="32"/>
          <w:szCs w:val="32"/>
          <w:lang w:val="zh-CN" w:eastAsia="zh-CN"/>
        </w:rPr>
        <w:t>财务管理</w:t>
      </w:r>
      <w:r>
        <w:rPr>
          <w:rFonts w:hint="eastAsia" w:ascii="楷体_GB2312" w:hAnsi="Times New Roman" w:eastAsia="楷体_GB2312" w:cs="楷体_GB2312"/>
          <w:b/>
          <w:bCs w:val="0"/>
          <w:color w:val="000000"/>
          <w:sz w:val="32"/>
          <w:szCs w:val="32"/>
          <w:lang w:val="zh-CN" w:eastAsia="zh-CN"/>
        </w:rPr>
        <w:t>。</w:t>
      </w:r>
      <w:r>
        <w:rPr>
          <w:rFonts w:hint="eastAsia" w:ascii="仿宋_GB2312" w:hAnsi="仿宋_GB2312" w:eastAsia="仿宋_GB2312" w:cs="仿宋_GB2312"/>
          <w:b/>
          <w:bCs/>
          <w:sz w:val="32"/>
          <w:szCs w:val="32"/>
          <w:lang w:val="zh-CN" w:eastAsia="zh-CN"/>
        </w:rPr>
        <w:t>一是</w:t>
      </w:r>
      <w:r>
        <w:rPr>
          <w:rFonts w:hint="eastAsia" w:ascii="仿宋_GB2312" w:hAnsi="仿宋_GB2312" w:eastAsia="仿宋_GB2312" w:cs="仿宋_GB2312"/>
          <w:sz w:val="32"/>
          <w:szCs w:val="32"/>
          <w:lang w:val="zh-CN" w:eastAsia="zh-CN"/>
        </w:rPr>
        <w:t>财务管理制度，</w:t>
      </w:r>
      <w:r>
        <w:rPr>
          <w:rFonts w:hint="eastAsia" w:ascii="仿宋_GB2312" w:hAnsi="仿宋_GB2312" w:eastAsia="仿宋_GB2312" w:cs="仿宋_GB2312"/>
          <w:sz w:val="32"/>
          <w:szCs w:val="32"/>
          <w:lang w:val="en-US" w:eastAsia="zh-CN"/>
        </w:rPr>
        <w:t>融媒体中心</w:t>
      </w:r>
      <w:r>
        <w:rPr>
          <w:rFonts w:hint="eastAsia" w:ascii="仿宋_GB2312" w:hAnsi="仿宋_GB2312" w:eastAsia="仿宋_GB2312" w:cs="仿宋_GB2312"/>
          <w:sz w:val="32"/>
          <w:szCs w:val="32"/>
          <w:lang w:val="zh-CN" w:eastAsia="zh-CN"/>
        </w:rPr>
        <w:t>严格规范内控制度，按照财务管理制度执行各项资金支付，自评得</w:t>
      </w:r>
      <w:r>
        <w:rPr>
          <w:rFonts w:hint="eastAsia" w:ascii="仿宋_GB2312" w:hAnsi="仿宋_GB2312" w:eastAsia="仿宋_GB2312" w:cs="仿宋_GB2312"/>
          <w:sz w:val="32"/>
          <w:szCs w:val="32"/>
          <w:lang w:val="en-US" w:eastAsia="zh-CN"/>
        </w:rPr>
        <w:t>4分；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财务岗位设置，</w:t>
      </w:r>
      <w:r>
        <w:rPr>
          <w:rFonts w:hint="eastAsia" w:ascii="仿宋_GB2312" w:hAnsi="仿宋_GB2312" w:eastAsia="仿宋_GB2312" w:cs="仿宋_GB2312"/>
          <w:sz w:val="32"/>
          <w:szCs w:val="32"/>
          <w:lang w:val="zh-CN" w:eastAsia="zh-CN"/>
        </w:rPr>
        <w:t>财务岗位设置明确，会计出纳分设，自评得</w:t>
      </w:r>
      <w:r>
        <w:rPr>
          <w:rFonts w:hint="eastAsia" w:ascii="仿宋_GB2312" w:hAnsi="仿宋_GB2312" w:eastAsia="仿宋_GB2312" w:cs="仿宋_GB2312"/>
          <w:sz w:val="32"/>
          <w:szCs w:val="32"/>
          <w:lang w:val="en-US" w:eastAsia="zh-CN"/>
        </w:rPr>
        <w:t>2分；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资金使用规范，</w:t>
      </w:r>
      <w:r>
        <w:rPr>
          <w:rFonts w:hint="eastAsia" w:ascii="仿宋_GB2312" w:hAnsi="仿宋_GB2312" w:eastAsia="仿宋_GB2312" w:cs="仿宋_GB2312"/>
          <w:sz w:val="32"/>
          <w:szCs w:val="32"/>
          <w:lang w:val="zh-CN" w:eastAsia="zh-CN"/>
        </w:rPr>
        <w:t>财政资金使用明确资金支付审核流程，按照内控制度严格拨付，做到规范有效，自评</w:t>
      </w:r>
      <w:r>
        <w:rPr>
          <w:rFonts w:hint="eastAsia" w:ascii="仿宋_GB2312" w:hAnsi="仿宋_GB2312" w:eastAsia="仿宋_GB2312" w:cs="仿宋_GB2312"/>
          <w:sz w:val="32"/>
          <w:szCs w:val="32"/>
          <w:lang w:val="en-US" w:eastAsia="zh-CN"/>
        </w:rPr>
        <w:t>4分。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宋体" w:cs="仿宋_GB2312"/>
          <w:color w:val="auto"/>
          <w:kern w:val="2"/>
          <w:sz w:val="32"/>
          <w:szCs w:val="32"/>
          <w:lang w:val="zh-CN" w:eastAsia="zh-CN" w:bidi="ar-SA"/>
        </w:rPr>
      </w:pPr>
      <w:r>
        <w:rPr>
          <w:rFonts w:hint="eastAsia" w:ascii="仿宋_GB2312" w:hAnsi="仿宋_GB2312" w:eastAsia="仿宋_GB2312" w:cs="仿宋_GB2312"/>
          <w:sz w:val="32"/>
          <w:szCs w:val="32"/>
          <w:lang w:val="en-US" w:eastAsia="zh-CN"/>
        </w:rPr>
        <w:t>财务管理自评得分：10分。</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default" w:ascii="楷体_GB2312" w:hAnsi="Times New Roman" w:eastAsia="楷体_GB2312" w:cs="楷体_GB2312"/>
          <w:b/>
          <w:bCs w:val="0"/>
          <w:color w:val="000000"/>
          <w:sz w:val="32"/>
          <w:szCs w:val="32"/>
          <w:lang w:val="zh-CN" w:eastAsia="zh-CN"/>
        </w:rPr>
        <w:t>资产管理</w:t>
      </w:r>
      <w:r>
        <w:rPr>
          <w:rFonts w:hint="eastAsia" w:ascii="楷体_GB2312" w:hAnsi="Times New Roman" w:eastAsia="楷体_GB2312" w:cs="楷体_GB2312"/>
          <w:b/>
          <w:bCs w:val="0"/>
          <w:color w:val="000000"/>
          <w:sz w:val="32"/>
          <w:szCs w:val="32"/>
          <w:lang w:val="zh-CN" w:eastAsia="zh-CN"/>
        </w:rPr>
        <w:t>。</w:t>
      </w:r>
      <w:r>
        <w:rPr>
          <w:rFonts w:hint="eastAsia" w:ascii="仿宋_GB2312" w:hAnsi="仿宋_GB2312" w:eastAsia="仿宋_GB2312" w:cs="仿宋_GB2312"/>
          <w:b/>
          <w:bCs/>
          <w:sz w:val="32"/>
          <w:szCs w:val="32"/>
          <w:lang w:val="zh-CN" w:eastAsia="zh-CN"/>
        </w:rPr>
        <w:t>一是</w:t>
      </w:r>
      <w:r>
        <w:rPr>
          <w:rFonts w:hint="eastAsia" w:ascii="仿宋_GB2312" w:hAnsi="仿宋_GB2312" w:eastAsia="仿宋_GB2312" w:cs="仿宋_GB2312"/>
          <w:sz w:val="32"/>
          <w:szCs w:val="32"/>
          <w:lang w:val="zh-CN" w:eastAsia="zh-CN"/>
        </w:rPr>
        <w:t>人均资产变化率，严格按照资产管理制度执行，购买物资达到规定金额做入账登记，人均资产变化率</w:t>
      </w:r>
      <w:r>
        <w:rPr>
          <w:rFonts w:hint="default" w:ascii="仿宋_GB2312" w:hAnsi="仿宋_GB2312" w:cs="仿宋_GB2312"/>
          <w:sz w:val="32"/>
          <w:szCs w:val="32"/>
          <w:lang w:eastAsia="zh-CN"/>
        </w:rPr>
        <w:t>低</w:t>
      </w:r>
      <w:r>
        <w:rPr>
          <w:rFonts w:hint="eastAsia" w:ascii="仿宋_GB2312" w:hAnsi="仿宋_GB2312" w:eastAsia="仿宋_GB2312" w:cs="仿宋_GB2312"/>
          <w:sz w:val="32"/>
          <w:szCs w:val="32"/>
          <w:lang w:val="zh-CN" w:eastAsia="zh-CN"/>
        </w:rPr>
        <w:t>，自评得</w:t>
      </w:r>
      <w:r>
        <w:rPr>
          <w:rFonts w:hint="eastAsia" w:ascii="仿宋_GB2312" w:hAnsi="仿宋_GB2312" w:eastAsia="仿宋_GB2312" w:cs="仿宋_GB2312"/>
          <w:sz w:val="32"/>
          <w:szCs w:val="32"/>
          <w:lang w:val="en-US" w:eastAsia="zh-CN"/>
        </w:rPr>
        <w:t>3分；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zh-CN" w:eastAsia="zh-CN"/>
        </w:rPr>
        <w:t>资产利用率高，使用率达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eastAsia="zh-CN"/>
        </w:rPr>
        <w:t>人均资产利用率较高，自评得</w:t>
      </w:r>
      <w:r>
        <w:rPr>
          <w:rFonts w:hint="eastAsia" w:ascii="仿宋_GB2312" w:hAnsi="仿宋_GB2312" w:eastAsia="仿宋_GB2312" w:cs="仿宋_GB2312"/>
          <w:sz w:val="32"/>
          <w:szCs w:val="32"/>
          <w:lang w:val="en-US" w:eastAsia="zh-CN"/>
        </w:rPr>
        <w:t>3分。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资产管理，部门无闲置资产</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zh-CN" w:eastAsia="zh-CN"/>
        </w:rPr>
        <w:t>自评得</w:t>
      </w:r>
      <w:r>
        <w:rPr>
          <w:rFonts w:hint="eastAsia" w:ascii="仿宋_GB2312" w:hAnsi="仿宋_GB2312" w:eastAsia="仿宋_GB2312" w:cs="仿宋_GB2312"/>
          <w:sz w:val="32"/>
          <w:szCs w:val="32"/>
          <w:lang w:val="en-US" w:eastAsia="zh-CN"/>
        </w:rPr>
        <w:t>3分</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资产管理总体得分：9分。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Times New Roman" w:eastAsia="楷体_GB2312" w:cs="楷体_GB2312"/>
          <w:b/>
          <w:bCs w:val="0"/>
          <w:color w:val="000000"/>
          <w:sz w:val="32"/>
          <w:szCs w:val="32"/>
          <w:lang w:val="en-US" w:eastAsia="zh-CN"/>
        </w:rPr>
        <w:t>5.</w:t>
      </w:r>
      <w:r>
        <w:rPr>
          <w:rFonts w:hint="default" w:ascii="楷体_GB2312" w:hAnsi="Times New Roman" w:eastAsia="楷体_GB2312" w:cs="楷体_GB2312"/>
          <w:b/>
          <w:bCs w:val="0"/>
          <w:color w:val="000000"/>
          <w:sz w:val="32"/>
          <w:szCs w:val="32"/>
          <w:lang w:val="zh-CN" w:eastAsia="zh-CN"/>
        </w:rPr>
        <w:t>采购管理</w:t>
      </w:r>
      <w:r>
        <w:rPr>
          <w:rFonts w:hint="eastAsia" w:ascii="楷体_GB2312" w:hAnsi="Times New Roman" w:eastAsia="楷体_GB2312" w:cs="楷体_GB2312"/>
          <w:b/>
          <w:bCs w:val="0"/>
          <w:color w:val="000000"/>
          <w:sz w:val="32"/>
          <w:szCs w:val="32"/>
          <w:lang w:val="zh-CN" w:eastAsia="zh-CN"/>
        </w:rPr>
        <w:t>。</w:t>
      </w:r>
      <w:r>
        <w:rPr>
          <w:rFonts w:hint="eastAsia" w:ascii="仿宋_GB2312" w:hAnsi="仿宋_GB2312" w:eastAsia="仿宋_GB2312" w:cs="仿宋_GB2312"/>
          <w:sz w:val="32"/>
          <w:szCs w:val="32"/>
          <w:lang w:val="en-US" w:eastAsia="zh-CN"/>
        </w:rPr>
        <w:t>2023年融媒体中心无政府采购，未达到政府采购的标准项目均按照融媒体中心政府采购内控制度执行，均在中小企业采购，采购执行率100%。</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自评得分：6分。</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方正楷体_GBK" w:hAnsi="方正楷体_GBK" w:eastAsia="方正楷体_GBK" w:cs="方正楷体_GBK"/>
          <w:b/>
          <w:bCs/>
          <w:color w:val="000000"/>
          <w:kern w:val="0"/>
          <w:szCs w:val="32"/>
          <w:highlight w:val="none"/>
          <w:shd w:val="clear" w:color="auto" w:fill="FFFFFF"/>
          <w:lang w:val="en-US" w:eastAsia="zh-CN"/>
        </w:rPr>
      </w:pPr>
      <w:r>
        <w:rPr>
          <w:rFonts w:hint="eastAsia" w:ascii="方正楷体_GBK" w:hAnsi="方正楷体_GBK" w:eastAsia="方正楷体_GBK" w:cs="方正楷体_GBK"/>
          <w:b/>
          <w:bCs/>
          <w:color w:val="000000"/>
          <w:kern w:val="0"/>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default" w:cs="Times New Roman"/>
          <w:color w:val="000000"/>
          <w:kern w:val="0"/>
          <w:szCs w:val="32"/>
          <w:highlight w:val="none"/>
          <w:shd w:val="clear" w:color="auto" w:fill="FFFFFF"/>
          <w:lang w:val="zh-CN" w:eastAsia="zh-CN"/>
        </w:rPr>
      </w:pPr>
      <w:r>
        <w:rPr>
          <w:rFonts w:hint="default" w:cs="Times New Roman"/>
          <w:color w:val="000000"/>
          <w:kern w:val="0"/>
          <w:szCs w:val="32"/>
          <w:highlight w:val="none"/>
          <w:shd w:val="clear" w:color="auto" w:fill="FFFFFF"/>
          <w:lang w:val="en-US" w:eastAsia="zh-CN"/>
        </w:rPr>
        <w:t>常年项目绩效分析。</w:t>
      </w:r>
      <w:r>
        <w:rPr>
          <w:rFonts w:hint="default" w:cs="Times New Roman"/>
          <w:color w:val="000000"/>
          <w:kern w:val="0"/>
          <w:szCs w:val="32"/>
          <w:highlight w:val="none"/>
          <w:shd w:val="clear" w:color="auto" w:fill="FFFFFF"/>
          <w:lang w:val="zh-CN" w:eastAsia="zh-CN"/>
        </w:rPr>
        <w:t>该类项目总数</w:t>
      </w:r>
      <w:r>
        <w:rPr>
          <w:rFonts w:hint="default" w:cs="Times New Roman"/>
          <w:color w:val="000000"/>
          <w:kern w:val="0"/>
          <w:szCs w:val="32"/>
          <w:highlight w:val="none"/>
          <w:shd w:val="clear" w:color="auto" w:fill="FFFFFF"/>
          <w:lang w:val="en-US" w:eastAsia="zh-CN"/>
        </w:rPr>
        <w:t xml:space="preserve"> </w:t>
      </w:r>
      <w:r>
        <w:rPr>
          <w:rFonts w:hint="eastAsia" w:cs="Times New Roman"/>
          <w:color w:val="000000"/>
          <w:kern w:val="0"/>
          <w:szCs w:val="32"/>
          <w:highlight w:val="none"/>
          <w:shd w:val="clear" w:color="auto" w:fill="FFFFFF"/>
          <w:lang w:val="en-US" w:eastAsia="zh-CN"/>
        </w:rPr>
        <w:t>3</w:t>
      </w:r>
      <w:r>
        <w:rPr>
          <w:rFonts w:hint="default" w:cs="Times New Roman"/>
          <w:color w:val="000000"/>
          <w:kern w:val="0"/>
          <w:szCs w:val="32"/>
          <w:highlight w:val="none"/>
          <w:shd w:val="clear" w:color="auto" w:fill="FFFFFF"/>
          <w:lang w:val="zh-CN" w:eastAsia="zh-CN"/>
        </w:rPr>
        <w:t>个，涉及预算总金额</w:t>
      </w:r>
      <w:r>
        <w:rPr>
          <w:rFonts w:hint="default" w:cs="Times New Roman"/>
          <w:color w:val="000000"/>
          <w:kern w:val="0"/>
          <w:szCs w:val="32"/>
          <w:highlight w:val="none"/>
          <w:shd w:val="clear" w:color="auto" w:fill="FFFFFF"/>
          <w:lang w:val="en-US" w:eastAsia="zh-CN"/>
        </w:rPr>
        <w:t xml:space="preserve">   </w:t>
      </w:r>
      <w:r>
        <w:rPr>
          <w:rFonts w:hint="eastAsia" w:cs="Times New Roman"/>
          <w:color w:val="000000"/>
          <w:kern w:val="0"/>
          <w:szCs w:val="32"/>
          <w:highlight w:val="none"/>
          <w:shd w:val="clear" w:color="auto" w:fill="FFFFFF"/>
          <w:lang w:val="en-US" w:eastAsia="zh-CN"/>
        </w:rPr>
        <w:t>75.05</w:t>
      </w:r>
      <w:r>
        <w:rPr>
          <w:rFonts w:hint="default" w:cs="Times New Roman"/>
          <w:color w:val="000000"/>
          <w:kern w:val="0"/>
          <w:szCs w:val="32"/>
          <w:highlight w:val="none"/>
          <w:shd w:val="clear" w:color="auto" w:fill="FFFFFF"/>
          <w:lang w:val="zh-CN" w:eastAsia="zh-CN"/>
        </w:rPr>
        <w:t>万元，</w:t>
      </w:r>
      <w:r>
        <w:rPr>
          <w:rFonts w:hint="default" w:cs="Times New Roman"/>
          <w:color w:val="000000"/>
          <w:kern w:val="0"/>
          <w:szCs w:val="32"/>
          <w:highlight w:val="none"/>
          <w:shd w:val="clear" w:color="auto" w:fill="FFFFFF"/>
          <w:lang w:val="zh-CN"/>
        </w:rPr>
        <w:t>1</w:t>
      </w:r>
      <w:r>
        <w:rPr>
          <w:rFonts w:hint="eastAsia" w:cs="Times New Roman"/>
          <w:color w:val="000000"/>
          <w:kern w:val="0"/>
          <w:szCs w:val="32"/>
          <w:highlight w:val="none"/>
          <w:shd w:val="clear" w:color="auto" w:fill="FFFFFF"/>
          <w:lang w:val="zh-CN" w:eastAsia="zh-CN"/>
        </w:rPr>
        <w:t>—</w:t>
      </w:r>
      <w:r>
        <w:rPr>
          <w:rFonts w:hint="default" w:cs="Times New Roman"/>
          <w:color w:val="000000"/>
          <w:kern w:val="0"/>
          <w:szCs w:val="32"/>
          <w:highlight w:val="none"/>
          <w:shd w:val="clear" w:color="auto" w:fill="FFFFFF"/>
          <w:lang w:val="zh-CN"/>
        </w:rPr>
        <w:t>1</w:t>
      </w:r>
      <w:r>
        <w:rPr>
          <w:rFonts w:hint="default" w:cs="Times New Roman"/>
          <w:color w:val="000000"/>
          <w:kern w:val="0"/>
          <w:szCs w:val="32"/>
          <w:highlight w:val="none"/>
          <w:shd w:val="clear" w:color="auto" w:fill="FFFFFF"/>
          <w:lang w:val="en-US" w:eastAsia="zh-CN"/>
        </w:rPr>
        <w:t>2</w:t>
      </w:r>
      <w:r>
        <w:rPr>
          <w:rFonts w:hint="default" w:cs="Times New Roman"/>
          <w:color w:val="000000"/>
          <w:kern w:val="0"/>
          <w:szCs w:val="32"/>
          <w:highlight w:val="none"/>
          <w:shd w:val="clear" w:color="auto" w:fill="FFFFFF"/>
          <w:lang w:val="zh-CN"/>
        </w:rPr>
        <w:t>月预算执行总体进度为</w:t>
      </w:r>
      <w:r>
        <w:rPr>
          <w:rFonts w:hint="eastAsia" w:cs="Times New Roman"/>
          <w:color w:val="000000"/>
          <w:kern w:val="0"/>
          <w:szCs w:val="32"/>
          <w:highlight w:val="none"/>
          <w:shd w:val="clear" w:color="auto" w:fill="FFFFFF"/>
          <w:lang w:val="en-US" w:eastAsia="zh-CN"/>
        </w:rPr>
        <w:t>100</w:t>
      </w:r>
      <w:r>
        <w:rPr>
          <w:rFonts w:hint="default" w:cs="Times New Roman"/>
          <w:color w:val="000000"/>
          <w:kern w:val="0"/>
          <w:szCs w:val="32"/>
          <w:highlight w:val="none"/>
          <w:shd w:val="clear" w:color="auto" w:fill="FFFFFF"/>
          <w:lang w:val="zh-CN"/>
        </w:rPr>
        <w:t>%，其中：</w:t>
      </w:r>
      <w:r>
        <w:rPr>
          <w:rFonts w:hint="default" w:cs="Times New Roman"/>
          <w:color w:val="000000"/>
          <w:kern w:val="0"/>
          <w:szCs w:val="32"/>
          <w:highlight w:val="none"/>
          <w:shd w:val="clear" w:color="auto" w:fill="FFFFFF"/>
          <w:lang w:val="zh-CN" w:eastAsia="zh-CN"/>
        </w:rPr>
        <w:t>预算结余率大于</w:t>
      </w:r>
      <w:r>
        <w:rPr>
          <w:rFonts w:hint="default" w:cs="Times New Roman"/>
          <w:color w:val="000000"/>
          <w:kern w:val="0"/>
          <w:szCs w:val="32"/>
          <w:highlight w:val="none"/>
          <w:shd w:val="clear" w:color="auto" w:fill="FFFFFF"/>
          <w:lang w:val="en-US" w:eastAsia="zh-CN"/>
        </w:rPr>
        <w:t>10%</w:t>
      </w:r>
      <w:r>
        <w:rPr>
          <w:rFonts w:hint="default" w:cs="Times New Roman"/>
          <w:color w:val="000000"/>
          <w:kern w:val="0"/>
          <w:szCs w:val="32"/>
          <w:highlight w:val="none"/>
          <w:shd w:val="clear" w:color="auto" w:fill="FFFFFF"/>
          <w:lang w:val="zh-CN" w:eastAsia="zh-CN"/>
        </w:rPr>
        <w:t>的项目共计</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en-US" w:eastAsia="zh-CN"/>
        </w:rPr>
        <w:t xml:space="preserve"> </w:t>
      </w:r>
      <w:r>
        <w:rPr>
          <w:rFonts w:hint="default" w:cs="Times New Roman"/>
          <w:color w:val="000000"/>
          <w:kern w:val="0"/>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default" w:cs="Times New Roman"/>
          <w:color w:val="000000"/>
          <w:kern w:val="0"/>
          <w:szCs w:val="32"/>
          <w:highlight w:val="none"/>
          <w:shd w:val="clear" w:color="auto" w:fill="FFFFFF"/>
          <w:lang w:val="zh-CN" w:eastAsia="zh-CN"/>
        </w:rPr>
      </w:pPr>
      <w:r>
        <w:rPr>
          <w:rFonts w:hint="default" w:cs="Times New Roman"/>
          <w:color w:val="000000"/>
          <w:kern w:val="0"/>
          <w:szCs w:val="32"/>
          <w:highlight w:val="none"/>
          <w:shd w:val="clear" w:color="auto" w:fill="FFFFFF"/>
          <w:lang w:val="en-US" w:eastAsia="zh-CN"/>
        </w:rPr>
        <w:t>阶段</w:t>
      </w:r>
      <w:r>
        <w:rPr>
          <w:rFonts w:hint="eastAsia" w:cs="Times New Roman"/>
          <w:color w:val="000000"/>
          <w:kern w:val="0"/>
          <w:szCs w:val="32"/>
          <w:highlight w:val="none"/>
          <w:shd w:val="clear" w:color="auto" w:fill="FFFFFF"/>
          <w:lang w:val="en-US" w:eastAsia="zh-CN"/>
        </w:rPr>
        <w:t>（</w:t>
      </w:r>
      <w:r>
        <w:rPr>
          <w:rFonts w:hint="default" w:cs="Times New Roman"/>
          <w:color w:val="000000"/>
          <w:kern w:val="0"/>
          <w:szCs w:val="32"/>
          <w:highlight w:val="none"/>
          <w:shd w:val="clear" w:color="auto" w:fill="FFFFFF"/>
          <w:lang w:val="en-US" w:eastAsia="zh-CN"/>
        </w:rPr>
        <w:t>一次性</w:t>
      </w:r>
      <w:r>
        <w:rPr>
          <w:rFonts w:hint="eastAsia" w:cs="Times New Roman"/>
          <w:color w:val="000000"/>
          <w:kern w:val="0"/>
          <w:szCs w:val="32"/>
          <w:highlight w:val="none"/>
          <w:shd w:val="clear" w:color="auto" w:fill="FFFFFF"/>
          <w:lang w:val="en-US" w:eastAsia="zh-CN"/>
        </w:rPr>
        <w:t>）</w:t>
      </w:r>
      <w:r>
        <w:rPr>
          <w:rFonts w:hint="default" w:cs="Times New Roman"/>
          <w:color w:val="000000"/>
          <w:kern w:val="0"/>
          <w:szCs w:val="32"/>
          <w:highlight w:val="none"/>
          <w:shd w:val="clear" w:color="auto" w:fill="FFFFFF"/>
          <w:lang w:val="en-US" w:eastAsia="zh-CN"/>
        </w:rPr>
        <w:t>项目绩效分析。</w:t>
      </w:r>
      <w:r>
        <w:rPr>
          <w:rFonts w:hint="default" w:cs="Times New Roman"/>
          <w:color w:val="000000"/>
          <w:kern w:val="0"/>
          <w:szCs w:val="32"/>
          <w:highlight w:val="none"/>
          <w:shd w:val="clear" w:color="auto" w:fill="FFFFFF"/>
          <w:lang w:val="zh-CN" w:eastAsia="zh-CN"/>
        </w:rPr>
        <w:t>该类项目总数</w:t>
      </w:r>
      <w:r>
        <w:rPr>
          <w:rFonts w:hint="default" w:cs="Times New Roman"/>
          <w:color w:val="000000"/>
          <w:kern w:val="0"/>
          <w:szCs w:val="32"/>
          <w:highlight w:val="none"/>
          <w:shd w:val="clear" w:color="auto" w:fill="FFFFFF"/>
          <w:lang w:val="en-US" w:eastAsia="zh-CN"/>
        </w:rPr>
        <w:t xml:space="preserve"> </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eastAsia="zh-CN"/>
        </w:rPr>
        <w:t>个，涉及预算总金额</w:t>
      </w:r>
      <w:r>
        <w:rPr>
          <w:rFonts w:hint="default" w:cs="Times New Roman"/>
          <w:color w:val="000000"/>
          <w:kern w:val="0"/>
          <w:szCs w:val="32"/>
          <w:highlight w:val="none"/>
          <w:shd w:val="clear" w:color="auto" w:fill="FFFFFF"/>
          <w:lang w:val="en-US" w:eastAsia="zh-CN"/>
        </w:rPr>
        <w:t xml:space="preserve"> </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eastAsia="zh-CN"/>
        </w:rPr>
        <w:t>万元，</w:t>
      </w:r>
      <w:r>
        <w:rPr>
          <w:rFonts w:hint="default" w:cs="Times New Roman"/>
          <w:color w:val="000000"/>
          <w:kern w:val="0"/>
          <w:szCs w:val="32"/>
          <w:highlight w:val="none"/>
          <w:shd w:val="clear" w:color="auto" w:fill="FFFFFF"/>
          <w:lang w:val="zh-CN"/>
        </w:rPr>
        <w:t>1</w:t>
      </w:r>
      <w:r>
        <w:rPr>
          <w:rFonts w:hint="eastAsia" w:cs="Times New Roman"/>
          <w:color w:val="000000"/>
          <w:kern w:val="0"/>
          <w:szCs w:val="32"/>
          <w:highlight w:val="none"/>
          <w:shd w:val="clear" w:color="auto" w:fill="FFFFFF"/>
          <w:lang w:val="zh-CN" w:eastAsia="zh-CN"/>
        </w:rPr>
        <w:t>—</w:t>
      </w:r>
      <w:r>
        <w:rPr>
          <w:rFonts w:hint="default" w:cs="Times New Roman"/>
          <w:color w:val="000000"/>
          <w:kern w:val="0"/>
          <w:szCs w:val="32"/>
          <w:highlight w:val="none"/>
          <w:shd w:val="clear" w:color="auto" w:fill="FFFFFF"/>
          <w:lang w:val="zh-CN"/>
        </w:rPr>
        <w:t>1</w:t>
      </w:r>
      <w:r>
        <w:rPr>
          <w:rFonts w:hint="default" w:cs="Times New Roman"/>
          <w:color w:val="000000"/>
          <w:kern w:val="0"/>
          <w:szCs w:val="32"/>
          <w:highlight w:val="none"/>
          <w:shd w:val="clear" w:color="auto" w:fill="FFFFFF"/>
          <w:lang w:val="en-US" w:eastAsia="zh-CN"/>
        </w:rPr>
        <w:t>2</w:t>
      </w:r>
      <w:r>
        <w:rPr>
          <w:rFonts w:hint="default" w:cs="Times New Roman"/>
          <w:color w:val="000000"/>
          <w:kern w:val="0"/>
          <w:szCs w:val="32"/>
          <w:highlight w:val="none"/>
          <w:shd w:val="clear" w:color="auto" w:fill="FFFFFF"/>
          <w:lang w:val="zh-CN"/>
        </w:rPr>
        <w:t>月预算执行总体进度为</w:t>
      </w:r>
      <w:r>
        <w:rPr>
          <w:rFonts w:hint="default" w:cs="Times New Roman"/>
          <w:color w:val="000000"/>
          <w:kern w:val="0"/>
          <w:szCs w:val="32"/>
          <w:highlight w:val="none"/>
          <w:shd w:val="clear" w:color="auto" w:fill="FFFFFF"/>
          <w:lang w:val="en-US" w:eastAsia="zh-CN"/>
        </w:rPr>
        <w:t xml:space="preserve"> </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en-US" w:eastAsia="zh-CN"/>
        </w:rPr>
        <w:t xml:space="preserve"> </w:t>
      </w:r>
      <w:r>
        <w:rPr>
          <w:rFonts w:hint="default" w:cs="Times New Roman"/>
          <w:color w:val="000000"/>
          <w:kern w:val="0"/>
          <w:szCs w:val="32"/>
          <w:highlight w:val="none"/>
          <w:shd w:val="clear" w:color="auto" w:fill="FFFFFF"/>
          <w:lang w:val="zh-CN"/>
        </w:rPr>
        <w:t>%，其中：</w:t>
      </w:r>
      <w:r>
        <w:rPr>
          <w:rFonts w:hint="default" w:cs="Times New Roman"/>
          <w:color w:val="000000"/>
          <w:kern w:val="0"/>
          <w:szCs w:val="32"/>
          <w:highlight w:val="none"/>
          <w:shd w:val="clear" w:color="auto" w:fill="FFFFFF"/>
          <w:lang w:val="zh-CN" w:eastAsia="zh-CN"/>
        </w:rPr>
        <w:t>预算结余率大于</w:t>
      </w:r>
      <w:r>
        <w:rPr>
          <w:rFonts w:hint="default" w:cs="Times New Roman"/>
          <w:color w:val="000000"/>
          <w:kern w:val="0"/>
          <w:szCs w:val="32"/>
          <w:highlight w:val="none"/>
          <w:shd w:val="clear" w:color="auto" w:fill="FFFFFF"/>
          <w:lang w:val="en-US" w:eastAsia="zh-CN"/>
        </w:rPr>
        <w:t>10%</w:t>
      </w:r>
      <w:r>
        <w:rPr>
          <w:rFonts w:hint="default" w:cs="Times New Roman"/>
          <w:color w:val="000000"/>
          <w:kern w:val="0"/>
          <w:szCs w:val="32"/>
          <w:highlight w:val="none"/>
          <w:shd w:val="clear" w:color="auto" w:fill="FFFFFF"/>
          <w:lang w:val="zh-CN" w:eastAsia="zh-CN"/>
        </w:rPr>
        <w:t>的项目共计</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en-US" w:eastAsia="zh-CN"/>
        </w:rPr>
        <w:t xml:space="preserve"> </w:t>
      </w:r>
      <w:r>
        <w:rPr>
          <w:rFonts w:hint="default" w:cs="Times New Roman"/>
          <w:color w:val="000000"/>
          <w:kern w:val="0"/>
          <w:szCs w:val="32"/>
          <w:highlight w:val="none"/>
          <w:shd w:val="clear" w:color="auto" w:fill="FFFFFF"/>
          <w:lang w:val="zh-CN" w:eastAsia="zh-CN"/>
        </w:rPr>
        <w:t>个。</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05" w:beforeAutospacing="0" w:after="105" w:afterAutospacing="0" w:line="560" w:lineRule="exact"/>
        <w:ind w:left="0" w:right="0" w:firstLine="742" w:firstLineChars="231"/>
        <w:rPr>
          <w:rFonts w:hint="eastAsia" w:ascii="仿宋_GB2312" w:hAnsi="仿宋_GB2312" w:eastAsia="仿宋_GB2312" w:cs="仿宋_GB2312"/>
          <w:kern w:val="2"/>
          <w:sz w:val="32"/>
          <w:szCs w:val="32"/>
          <w:lang w:val="en-US" w:eastAsia="zh-CN" w:bidi="ar-SA"/>
        </w:rPr>
      </w:pPr>
      <w:r>
        <w:rPr>
          <w:rFonts w:hint="eastAsia" w:ascii="Times New Roman" w:hAnsi="Times New Roman" w:eastAsia="楷体_GB2312" w:cs="Times New Roman"/>
          <w:b/>
          <w:bCs/>
          <w:color w:val="000000"/>
          <w:kern w:val="0"/>
          <w:sz w:val="32"/>
          <w:szCs w:val="32"/>
          <w:highlight w:val="none"/>
          <w:shd w:val="clear" w:color="auto" w:fill="FFFFFF"/>
          <w:lang w:val="zh-CN" w:eastAsia="zh-CN" w:bidi="ar-SA"/>
        </w:rPr>
        <w:t>项目决策。</w:t>
      </w:r>
      <w:r>
        <w:rPr>
          <w:rFonts w:hint="eastAsia" w:ascii="仿宋_GB2312" w:hAnsi="仿宋_GB2312" w:eastAsia="仿宋_GB2312" w:cs="仿宋_GB2312"/>
          <w:b/>
          <w:bCs/>
          <w:kern w:val="2"/>
          <w:sz w:val="32"/>
          <w:szCs w:val="32"/>
          <w:lang w:val="zh-CN" w:eastAsia="zh-CN" w:bidi="ar-SA"/>
        </w:rPr>
        <w:t>一是</w:t>
      </w:r>
      <w:r>
        <w:rPr>
          <w:rFonts w:hint="eastAsia" w:ascii="仿宋_GB2312" w:hAnsi="仿宋_GB2312" w:eastAsia="仿宋_GB2312" w:cs="仿宋_GB2312"/>
          <w:kern w:val="2"/>
          <w:sz w:val="32"/>
          <w:szCs w:val="32"/>
          <w:lang w:val="zh-CN" w:eastAsia="zh-CN" w:bidi="ar-SA"/>
        </w:rPr>
        <w:t>决算程序。根据部门实际需要编制预算，经过单位集体决策，项目绩效目标编制明确，并通过了预算草案审查，审查后未提出确需修改的问题，自评得</w:t>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分。</w:t>
      </w:r>
      <w:r>
        <w:rPr>
          <w:rFonts w:hint="eastAsia" w:ascii="仿宋_GB2312" w:hAnsi="仿宋_GB2312" w:eastAsia="仿宋_GB2312" w:cs="仿宋_GB2312"/>
          <w:b/>
          <w:bCs/>
          <w:kern w:val="2"/>
          <w:sz w:val="32"/>
          <w:szCs w:val="32"/>
          <w:lang w:val="zh-CN" w:eastAsia="zh-CN" w:bidi="ar-SA"/>
        </w:rPr>
        <w:t>二是</w:t>
      </w:r>
      <w:r>
        <w:rPr>
          <w:rFonts w:hint="eastAsia" w:ascii="仿宋_GB2312" w:hAnsi="仿宋_GB2312" w:eastAsia="仿宋_GB2312" w:cs="仿宋_GB2312"/>
          <w:kern w:val="2"/>
          <w:sz w:val="32"/>
          <w:szCs w:val="32"/>
          <w:lang w:val="zh-CN" w:eastAsia="zh-CN" w:bidi="ar-SA"/>
        </w:rPr>
        <w:t>目标设置：</w:t>
      </w:r>
      <w:r>
        <w:rPr>
          <w:rFonts w:hint="eastAsia" w:ascii="仿宋_GB2312" w:hAnsi="仿宋_GB2312" w:eastAsia="仿宋_GB2312" w:cs="仿宋_GB2312"/>
          <w:kern w:val="2"/>
          <w:sz w:val="32"/>
          <w:szCs w:val="32"/>
          <w:lang w:val="en-US" w:eastAsia="zh-CN" w:bidi="ar-SA"/>
        </w:rPr>
        <w:t>中央少数民族地区和边疆地区文化安全（广播电视）补助资金项目45.32万元，支付差旅费3.2万元、购买设备2批次共计7.72、购买专用材料2批次共计11.99万元、支付劳务费8.3万元、支付电费6万元。2023年省级公共文化服务体系建设（广播电视户户通运行维护）补助资金，购买专用设备城市音柱1批次5.68万元、购买专用材料发射天线1批次4.2万元。2023年中央和省级公共文化服务体系建设（广播电视重点项目）补助资金，购买专用设备（采购发射机、调制器、预警系统）11.75万元、支付材料费用4.5万元、发射台电费3万元。长征文化公园（阿坝州段）补助资金5万元，拍摄《</w:t>
      </w:r>
      <w:r>
        <w:rPr>
          <w:rFonts w:hint="default" w:ascii="仿宋_GB2312" w:hAnsi="仿宋_GB2312" w:eastAsia="仿宋_GB2312" w:cs="仿宋_GB2312"/>
          <w:kern w:val="2"/>
          <w:sz w:val="32"/>
          <w:szCs w:val="32"/>
          <w:lang w:val="en-US" w:eastAsia="zh-CN" w:bidi="ar-SA"/>
        </w:rPr>
        <w:t>雪山红谷 军民团结</w:t>
      </w:r>
      <w:r>
        <w:rPr>
          <w:rFonts w:hint="eastAsia" w:ascii="仿宋_GB2312" w:hAnsi="仿宋_GB2312" w:eastAsia="仿宋_GB2312" w:cs="仿宋_GB2312"/>
          <w:kern w:val="2"/>
          <w:sz w:val="32"/>
          <w:szCs w:val="32"/>
          <w:lang w:val="en-US" w:eastAsia="zh-CN" w:bidi="ar-SA"/>
        </w:rPr>
        <w:t>》宣传片。目标设置科学合理、规范完整、量化细化、预算匹配。自评得4分；</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项目入库：各项目按照预期目标完整、经济活动真实入库管理。在规定时间内完成项目入库，自评得4分。项目决策总体得12分。</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2" w:firstLineChars="200"/>
        <w:rPr>
          <w:rFonts w:hint="eastAsia" w:ascii="楷体_GB2312" w:hAnsi="楷体_GB2312" w:eastAsia="楷体_GB2312" w:cs="楷体_GB2312"/>
          <w:color w:val="000000"/>
          <w:kern w:val="0"/>
          <w:szCs w:val="32"/>
          <w:highlight w:val="none"/>
          <w:shd w:val="clear" w:color="auto" w:fill="FFFFFF"/>
          <w:lang w:val="zh-CN"/>
        </w:rPr>
      </w:pPr>
      <w:r>
        <w:rPr>
          <w:rFonts w:hint="eastAsia" w:ascii="Times New Roman" w:hAnsi="Times New Roman" w:eastAsia="楷体_GB2312" w:cs="Times New Roman"/>
          <w:b/>
          <w:bCs/>
          <w:color w:val="000000"/>
          <w:kern w:val="0"/>
          <w:sz w:val="32"/>
          <w:szCs w:val="32"/>
          <w:highlight w:val="none"/>
          <w:shd w:val="clear" w:color="auto" w:fill="FFFFFF"/>
          <w:lang w:val="en-US" w:eastAsia="zh-CN" w:bidi="ar-SA"/>
        </w:rPr>
        <w:t>2.项目执行</w:t>
      </w:r>
      <w:r>
        <w:rPr>
          <w:rFonts w:hint="eastAsia" w:ascii="Times New Roman" w:hAnsi="Times New Roman" w:eastAsia="楷体_GB2312" w:cs="Times New Roman"/>
          <w:b/>
          <w:bCs/>
          <w:color w:val="000000"/>
          <w:kern w:val="0"/>
          <w:sz w:val="32"/>
          <w:szCs w:val="32"/>
          <w:highlight w:val="none"/>
          <w:shd w:val="clear" w:color="auto" w:fill="FFFFFF"/>
          <w:lang w:val="zh-CN" w:eastAsia="zh-CN" w:bidi="ar-SA"/>
        </w:rPr>
        <w:t>。</w:t>
      </w:r>
      <w:r>
        <w:rPr>
          <w:rFonts w:hint="eastAsia" w:ascii="仿宋_GB2312" w:hAnsi="仿宋_GB2312" w:cs="仿宋_GB2312"/>
          <w:b/>
          <w:bCs/>
          <w:color w:val="auto"/>
          <w:sz w:val="32"/>
          <w:szCs w:val="32"/>
          <w:lang w:val="zh-CN" w:eastAsia="zh-CN"/>
        </w:rPr>
        <w:t>一是</w:t>
      </w:r>
      <w:r>
        <w:rPr>
          <w:rFonts w:hint="eastAsia" w:ascii="仿宋_GB2312" w:hAnsi="仿宋_GB2312" w:cs="仿宋_GB2312"/>
          <w:color w:val="auto"/>
          <w:sz w:val="32"/>
          <w:szCs w:val="32"/>
          <w:lang w:val="zh-CN" w:eastAsia="zh-CN"/>
        </w:rPr>
        <w:t>执行同向。</w:t>
      </w:r>
      <w:r>
        <w:rPr>
          <w:rFonts w:hint="eastAsia" w:ascii="仿宋_GB2312" w:hAnsi="仿宋_GB2312" w:cs="仿宋_GB2312"/>
          <w:color w:val="auto"/>
          <w:sz w:val="32"/>
          <w:szCs w:val="32"/>
          <w:lang w:val="en-US" w:eastAsia="zh-CN"/>
        </w:rPr>
        <w:t>2023年度我部门实际列支项目与绩效预算阶段项目相符，预算节约率小于10%，得4分；</w:t>
      </w:r>
      <w:r>
        <w:rPr>
          <w:rFonts w:hint="eastAsia" w:ascii="仿宋_GB2312" w:hAnsi="仿宋_GB2312" w:cs="仿宋_GB2312"/>
          <w:b/>
          <w:bCs/>
          <w:color w:val="auto"/>
          <w:sz w:val="32"/>
          <w:szCs w:val="32"/>
          <w:lang w:val="en-US" w:eastAsia="zh-CN"/>
        </w:rPr>
        <w:t>二是</w:t>
      </w:r>
      <w:r>
        <w:rPr>
          <w:rFonts w:hint="eastAsia" w:ascii="仿宋_GB2312" w:hAnsi="仿宋_GB2312" w:cs="仿宋_GB2312"/>
          <w:color w:val="auto"/>
          <w:sz w:val="32"/>
          <w:szCs w:val="32"/>
          <w:lang w:val="en-US" w:eastAsia="zh-CN"/>
        </w:rPr>
        <w:t>项目调整：项目执行进度有序推进，完成绩效目标100%，无应采取未采取收回预算、年末根据资金使用进度调整结余资金为其他项目报财政审核后执行，得4分；</w:t>
      </w:r>
      <w:r>
        <w:rPr>
          <w:rFonts w:hint="eastAsia" w:ascii="仿宋_GB2312" w:hAnsi="仿宋_GB2312" w:cs="仿宋_GB2312"/>
          <w:b/>
          <w:bCs/>
          <w:color w:val="auto"/>
          <w:sz w:val="32"/>
          <w:szCs w:val="32"/>
          <w:lang w:val="en-US" w:eastAsia="zh-CN"/>
        </w:rPr>
        <w:t>三是</w:t>
      </w:r>
      <w:r>
        <w:rPr>
          <w:rFonts w:hint="eastAsia" w:ascii="仿宋_GB2312" w:hAnsi="仿宋_GB2312" w:cs="仿宋_GB2312"/>
          <w:color w:val="auto"/>
          <w:sz w:val="32"/>
          <w:szCs w:val="32"/>
          <w:lang w:val="en-US" w:eastAsia="zh-CN"/>
        </w:rPr>
        <w:t>执行结果：预算执行完成各项目标，</w:t>
      </w:r>
      <w:r>
        <w:rPr>
          <w:rFonts w:hint="eastAsia"/>
          <w:lang w:val="en-US" w:eastAsia="zh-CN"/>
        </w:rPr>
        <w:t>但</w:t>
      </w:r>
      <w:r>
        <w:rPr>
          <w:rFonts w:hint="eastAsia" w:ascii="仿宋_GB2312" w:hAnsi="仿宋_GB2312" w:cs="仿宋_GB2312"/>
          <w:color w:val="auto"/>
          <w:sz w:val="32"/>
          <w:szCs w:val="32"/>
          <w:lang w:val="en-US" w:eastAsia="zh-CN"/>
        </w:rPr>
        <w:t>部门项目多涉及人员补助类项目，导致资金支付进度上半年支付进度慢，下半年集中支付率较高，故扣1分，得3分。项目执行总体自评得分11分。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05" w:beforeAutospacing="0" w:after="105" w:afterAutospacing="0" w:line="560" w:lineRule="exact"/>
        <w:ind w:left="0" w:right="0" w:firstLine="420"/>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楷体_GB2312" w:cs="Times New Roman"/>
          <w:b/>
          <w:bCs/>
          <w:color w:val="000000"/>
          <w:kern w:val="0"/>
          <w:sz w:val="32"/>
          <w:szCs w:val="32"/>
          <w:highlight w:val="none"/>
          <w:shd w:val="clear" w:color="auto" w:fill="FFFFFF"/>
          <w:lang w:val="en-US" w:eastAsia="zh-CN" w:bidi="ar-SA"/>
        </w:rPr>
        <w:t>3.</w:t>
      </w:r>
      <w:r>
        <w:rPr>
          <w:rFonts w:hint="eastAsia" w:ascii="Times New Roman" w:hAnsi="Times New Roman" w:eastAsia="楷体_GB2312" w:cs="Times New Roman"/>
          <w:b/>
          <w:bCs/>
          <w:color w:val="000000"/>
          <w:kern w:val="0"/>
          <w:sz w:val="32"/>
          <w:szCs w:val="32"/>
          <w:highlight w:val="none"/>
          <w:shd w:val="clear" w:color="auto" w:fill="FFFFFF"/>
          <w:lang w:val="zh-CN" w:eastAsia="zh-CN" w:bidi="ar-SA"/>
        </w:rPr>
        <w:t>目标实现。</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目标完成。目标设立清晰，完成率为100%，得4分，</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目标偏离。</w:t>
      </w:r>
      <w:r>
        <w:rPr>
          <w:rFonts w:hint="eastAsia" w:ascii="仿宋_GB2312" w:hAnsi="仿宋_GB2312" w:eastAsia="仿宋_GB2312" w:cs="仿宋_GB2312"/>
          <w:color w:val="auto"/>
          <w:kern w:val="2"/>
          <w:sz w:val="32"/>
          <w:szCs w:val="32"/>
          <w:lang w:val="zh-CN" w:eastAsia="zh-CN" w:bidi="ar-SA"/>
        </w:rPr>
        <w:t>预算项目绩效目标与实际有偏差，</w:t>
      </w:r>
      <w:r>
        <w:rPr>
          <w:rFonts w:hint="eastAsia" w:ascii="仿宋_GB2312" w:hAnsi="仿宋_GB2312" w:eastAsia="仿宋_GB2312" w:cs="仿宋_GB2312"/>
          <w:color w:val="auto"/>
          <w:kern w:val="2"/>
          <w:sz w:val="32"/>
          <w:szCs w:val="32"/>
          <w:lang w:val="en-US" w:eastAsia="zh-CN" w:bidi="ar-SA"/>
        </w:rPr>
        <w:t>其余项目均按目标完成无偏差，故扣1分，得3分。</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实现效果。项目实现效果好，项目执行好评率高、目标完成率高，得3分。4</w:t>
      </w:r>
      <w:r>
        <w:rPr>
          <w:rFonts w:hint="eastAsia" w:ascii="仿宋_GB2312" w:hAnsi="仿宋_GB2312" w:eastAsia="仿宋_GB2312" w:cs="仿宋_GB2312"/>
          <w:color w:val="auto"/>
          <w:kern w:val="2"/>
          <w:sz w:val="32"/>
          <w:szCs w:val="32"/>
          <w:lang w:val="zh-CN" w:eastAsia="zh-CN" w:bidi="ar-SA"/>
        </w:rPr>
        <w:t>个项目指标实际完成均达到预期指标，目标实现总体自评得分：10分。</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方正楷体_GBK" w:hAnsi="方正楷体_GBK" w:eastAsia="方正楷体_GBK" w:cs="方正楷体_GBK"/>
          <w:b/>
          <w:bCs/>
          <w:color w:val="000000"/>
          <w:kern w:val="0"/>
          <w:szCs w:val="32"/>
          <w:highlight w:val="none"/>
          <w:shd w:val="clear" w:color="auto" w:fill="FFFFFF"/>
          <w:lang w:val="zh-CN"/>
        </w:rPr>
      </w:pPr>
      <w:r>
        <w:rPr>
          <w:rFonts w:hint="default" w:ascii="方正楷体_GBK" w:hAnsi="方正楷体_GBK" w:eastAsia="方正楷体_GBK" w:cs="方正楷体_GBK"/>
          <w:b/>
          <w:bCs/>
          <w:color w:val="000000"/>
          <w:kern w:val="0"/>
          <w:szCs w:val="32"/>
          <w:highlight w:val="none"/>
          <w:shd w:val="clear" w:color="auto" w:fill="FFFFFF"/>
          <w:lang w:val="zh-CN"/>
        </w:rPr>
        <w:t>（</w:t>
      </w:r>
      <w:r>
        <w:rPr>
          <w:rFonts w:hint="eastAsia" w:ascii="方正楷体_GBK" w:hAnsi="方正楷体_GBK" w:eastAsia="方正楷体_GBK" w:cs="方正楷体_GBK"/>
          <w:b/>
          <w:bCs/>
          <w:color w:val="000000"/>
          <w:kern w:val="0"/>
          <w:szCs w:val="32"/>
          <w:highlight w:val="none"/>
          <w:shd w:val="clear" w:color="auto" w:fill="FFFFFF"/>
          <w:lang w:val="zh-CN"/>
        </w:rPr>
        <w:t>三</w:t>
      </w:r>
      <w:r>
        <w:rPr>
          <w:rFonts w:hint="default" w:ascii="方正楷体_GBK" w:hAnsi="方正楷体_GBK" w:eastAsia="方正楷体_GBK" w:cs="方正楷体_GBK"/>
          <w:b/>
          <w:bCs/>
          <w:color w:val="000000"/>
          <w:kern w:val="0"/>
          <w:szCs w:val="32"/>
          <w:highlight w:val="none"/>
          <w:shd w:val="clear" w:color="auto" w:fill="FFFFFF"/>
          <w:lang w:val="zh-CN"/>
        </w:rPr>
        <w:t>）绩效结果应用情况</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2" w:firstLineChars="200"/>
        <w:textAlignment w:val="auto"/>
        <w:rPr>
          <w:rFonts w:hint="eastAsia" w:cs="Times New Roman"/>
          <w:color w:val="000000"/>
          <w:kern w:val="0"/>
          <w:szCs w:val="32"/>
          <w:highlight w:val="none"/>
          <w:shd w:val="clear" w:color="auto" w:fill="FFFFFF"/>
          <w:lang w:val="zh-CN" w:eastAsia="zh-CN"/>
        </w:rPr>
      </w:pPr>
      <w:r>
        <w:rPr>
          <w:rFonts w:hint="eastAsia" w:ascii="方正仿宋_GBK" w:hAnsi="方正仿宋_GBK" w:eastAsia="方正仿宋_GBK" w:cs="方正仿宋_GBK"/>
          <w:b/>
          <w:bCs/>
          <w:color w:val="000000"/>
          <w:kern w:val="0"/>
          <w:sz w:val="32"/>
          <w:szCs w:val="32"/>
          <w:highlight w:val="none"/>
          <w:shd w:val="clear" w:color="auto" w:fill="FFFFFF"/>
          <w:lang w:val="en-US" w:eastAsia="zh-CN" w:bidi="ar-SA"/>
        </w:rPr>
        <w:t>1.</w:t>
      </w:r>
      <w:r>
        <w:rPr>
          <w:rFonts w:hint="eastAsia" w:ascii="Times New Roman" w:hAnsi="Times New Roman" w:cs="Times New Roman"/>
          <w:color w:val="000000"/>
          <w:kern w:val="0"/>
          <w:szCs w:val="32"/>
          <w:highlight w:val="none"/>
          <w:shd w:val="clear" w:color="auto" w:fill="FFFFFF"/>
          <w:lang w:val="zh-CN" w:eastAsia="zh-CN"/>
        </w:rPr>
        <w:t>围绕内部应用情况</w:t>
      </w:r>
      <w:r>
        <w:rPr>
          <w:rFonts w:hint="eastAsia" w:cs="Times New Roman"/>
          <w:color w:val="000000"/>
          <w:kern w:val="0"/>
          <w:szCs w:val="32"/>
          <w:highlight w:val="none"/>
          <w:shd w:val="clear" w:color="auto" w:fill="FFFFFF"/>
          <w:lang w:val="zh-CN" w:eastAsia="zh-CN"/>
        </w:rPr>
        <w:t>：通过绩效目标的制定和评定，逐步完善部门的内控制度。</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2" w:firstLineChars="200"/>
        <w:textAlignment w:val="auto"/>
        <w:rPr>
          <w:rFonts w:hint="eastAsia" w:cs="Times New Roman"/>
          <w:color w:val="000000"/>
          <w:kern w:val="0"/>
          <w:szCs w:val="32"/>
          <w:highlight w:val="none"/>
          <w:shd w:val="clear" w:color="auto" w:fill="FFFFFF"/>
          <w:lang w:val="zh-CN" w:eastAsia="zh-CN"/>
        </w:rPr>
      </w:pPr>
      <w:r>
        <w:rPr>
          <w:rFonts w:hint="eastAsia" w:ascii="方正仿宋_GBK" w:hAnsi="方正仿宋_GBK" w:eastAsia="方正仿宋_GBK" w:cs="方正仿宋_GBK"/>
          <w:b/>
          <w:bCs/>
          <w:color w:val="000000"/>
          <w:kern w:val="0"/>
          <w:sz w:val="32"/>
          <w:szCs w:val="32"/>
          <w:highlight w:val="none"/>
          <w:shd w:val="clear" w:color="auto" w:fill="FFFFFF"/>
          <w:lang w:val="en-US" w:eastAsia="zh-CN" w:bidi="ar-SA"/>
        </w:rPr>
        <w:t>2.</w:t>
      </w:r>
      <w:r>
        <w:rPr>
          <w:rFonts w:hint="default" w:ascii="Times New Roman" w:hAnsi="Times New Roman" w:cs="Times New Roman"/>
          <w:color w:val="000000"/>
          <w:kern w:val="0"/>
          <w:szCs w:val="32"/>
          <w:highlight w:val="none"/>
          <w:shd w:val="clear" w:color="auto" w:fill="FFFFFF"/>
          <w:lang w:val="zh-CN" w:eastAsia="zh-CN"/>
        </w:rPr>
        <w:t>信息公开情况</w:t>
      </w:r>
      <w:r>
        <w:rPr>
          <w:rFonts w:hint="eastAsia" w:cs="Times New Roman"/>
          <w:color w:val="000000"/>
          <w:kern w:val="0"/>
          <w:szCs w:val="32"/>
          <w:highlight w:val="none"/>
          <w:shd w:val="clear" w:color="auto" w:fill="FFFFFF"/>
          <w:lang w:val="zh-CN" w:eastAsia="zh-CN"/>
        </w:rPr>
        <w:t>：信息公开完整真实，均按照财政要求及时公开预决算等信息。</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2" w:firstLineChars="200"/>
        <w:textAlignment w:val="auto"/>
        <w:rPr>
          <w:rFonts w:hint="default" w:ascii="仿宋_GB2312" w:hAnsi="仿宋_GB2312" w:eastAsia="仿宋_GB2312" w:cs="仿宋_GB2312"/>
          <w:b/>
          <w:bCs w:val="0"/>
          <w:szCs w:val="32"/>
          <w:lang w:val="en-US"/>
        </w:rPr>
      </w:pPr>
      <w:r>
        <w:rPr>
          <w:rFonts w:hint="eastAsia" w:ascii="方正仿宋_GBK" w:hAnsi="方正仿宋_GBK" w:eastAsia="方正仿宋_GBK" w:cs="方正仿宋_GBK"/>
          <w:b/>
          <w:bCs/>
          <w:color w:val="000000"/>
          <w:kern w:val="0"/>
          <w:sz w:val="32"/>
          <w:szCs w:val="32"/>
          <w:highlight w:val="none"/>
          <w:shd w:val="clear" w:color="auto" w:fill="FFFFFF"/>
          <w:lang w:val="en-US" w:eastAsia="zh-CN" w:bidi="ar-SA"/>
        </w:rPr>
        <w:t>3.</w:t>
      </w:r>
      <w:r>
        <w:rPr>
          <w:rFonts w:hint="default" w:ascii="Times New Roman" w:hAnsi="Times New Roman" w:cs="Times New Roman"/>
          <w:color w:val="000000"/>
          <w:kern w:val="0"/>
          <w:szCs w:val="32"/>
          <w:highlight w:val="none"/>
          <w:shd w:val="clear" w:color="auto" w:fill="FFFFFF"/>
          <w:lang w:val="zh-CN" w:eastAsia="zh-CN"/>
        </w:rPr>
        <w:t>整改反馈情况</w:t>
      </w:r>
      <w:r>
        <w:rPr>
          <w:rFonts w:hint="eastAsia" w:cs="Times New Roman"/>
          <w:color w:val="000000"/>
          <w:kern w:val="0"/>
          <w:szCs w:val="32"/>
          <w:highlight w:val="none"/>
          <w:shd w:val="clear" w:color="auto" w:fill="FFFFFF"/>
          <w:lang w:val="zh-CN" w:eastAsia="zh-CN"/>
        </w:rPr>
        <w:t>进行分析：我单位</w:t>
      </w:r>
      <w:r>
        <w:rPr>
          <w:rFonts w:hint="eastAsia" w:cs="Times New Roman"/>
          <w:color w:val="000000"/>
          <w:kern w:val="0"/>
          <w:szCs w:val="32"/>
          <w:highlight w:val="none"/>
          <w:shd w:val="clear" w:color="auto" w:fill="FFFFFF"/>
          <w:lang w:val="en-US" w:eastAsia="zh-CN"/>
        </w:rPr>
        <w:t>2023无巡视审计，但在自查工作中发现报销问题及时整改，严格规范内控。</w:t>
      </w:r>
    </w:p>
    <w:p>
      <w:pPr>
        <w:widowControl/>
        <w:adjustRightInd w:val="0"/>
        <w:snapToGrid w:val="0"/>
        <w:spacing w:line="578"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方正楷体_GBK" w:hAnsi="方正楷体_GBK" w:eastAsia="方正楷体_GBK" w:cs="方正楷体_GBK"/>
          <w:b/>
          <w:bCs/>
          <w:color w:val="000000"/>
          <w:kern w:val="0"/>
          <w:szCs w:val="32"/>
          <w:highlight w:val="none"/>
          <w:shd w:val="clear" w:color="auto" w:fill="FFFFFF"/>
          <w:lang w:val="zh-CN"/>
        </w:rPr>
      </w:pPr>
      <w:r>
        <w:rPr>
          <w:rFonts w:hint="default" w:ascii="方正楷体_GBK" w:hAnsi="方正楷体_GBK" w:eastAsia="方正楷体_GBK" w:cs="方正楷体_GBK"/>
          <w:b/>
          <w:bCs/>
          <w:color w:val="000000"/>
          <w:kern w:val="0"/>
          <w:szCs w:val="32"/>
          <w:highlight w:val="none"/>
          <w:shd w:val="clear" w:color="auto" w:fill="FFFFFF"/>
          <w:lang w:val="zh-CN"/>
        </w:rPr>
        <w:t>（一）评价结论</w:t>
      </w:r>
    </w:p>
    <w:p>
      <w:pPr>
        <w:pStyle w:val="4"/>
        <w:adjustRightInd w:val="0"/>
        <w:snapToGrid w:val="0"/>
        <w:spacing w:before="72" w:line="580" w:lineRule="exact"/>
        <w:ind w:firstLine="640" w:firstLineChars="200"/>
        <w:rPr>
          <w:rFonts w:hAnsi="黑体" w:cs="黑体"/>
          <w:bCs/>
          <w:szCs w:val="32"/>
        </w:rPr>
      </w:pPr>
      <w:r>
        <w:rPr>
          <w:rFonts w:hint="eastAsia" w:hAnsi="黑体" w:cs="黑体"/>
          <w:bCs/>
          <w:szCs w:val="32"/>
        </w:rPr>
        <w:t>我中心部门预算支出在保障本中心工作运转、履行职能职责上整体情况良好，整体上完成了年初设定的绩效目标，保障了我中心工作的正常运转，促进了我中心的事业发展，充分发挥了财政资金的经济效益和社会效益，按照《202</w:t>
      </w:r>
      <w:r>
        <w:rPr>
          <w:rFonts w:hint="eastAsia" w:hAnsi="黑体" w:cs="黑体"/>
          <w:bCs/>
          <w:szCs w:val="32"/>
          <w:lang w:val="en-US" w:eastAsia="zh-CN"/>
        </w:rPr>
        <w:t>3</w:t>
      </w:r>
      <w:r>
        <w:rPr>
          <w:rFonts w:hint="eastAsia" w:hAnsi="黑体" w:cs="黑体"/>
          <w:bCs/>
          <w:szCs w:val="32"/>
        </w:rPr>
        <w:t>年县级部门预算绩效评价指标体系》，自评得分9</w:t>
      </w:r>
      <w:r>
        <w:rPr>
          <w:rFonts w:hint="eastAsia" w:hAnsi="黑体" w:cs="黑体"/>
          <w:bCs/>
          <w:szCs w:val="32"/>
          <w:lang w:val="en-US" w:eastAsia="zh-CN"/>
        </w:rPr>
        <w:t>7</w:t>
      </w:r>
      <w:r>
        <w:rPr>
          <w:rFonts w:hint="eastAsia" w:hAnsi="黑体" w:cs="黑体"/>
          <w:bCs/>
          <w:szCs w:val="32"/>
        </w:rPr>
        <w:t>分。</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方正楷体_GBK" w:hAnsi="方正楷体_GBK" w:eastAsia="方正楷体_GBK" w:cs="方正楷体_GBK"/>
          <w:b/>
          <w:bCs/>
          <w:color w:val="000000"/>
          <w:kern w:val="0"/>
          <w:szCs w:val="32"/>
          <w:highlight w:val="none"/>
          <w:shd w:val="clear" w:color="auto" w:fill="FFFFFF"/>
          <w:lang w:val="zh-CN"/>
        </w:rPr>
      </w:pPr>
      <w:r>
        <w:rPr>
          <w:rFonts w:hint="default" w:ascii="方正楷体_GBK" w:hAnsi="方正楷体_GBK" w:eastAsia="方正楷体_GBK" w:cs="方正楷体_GBK"/>
          <w:b/>
          <w:bCs/>
          <w:color w:val="000000"/>
          <w:kern w:val="0"/>
          <w:szCs w:val="32"/>
          <w:highlight w:val="none"/>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仿宋_GB2312" w:hAnsi="仿宋_GB2312" w:cs="仿宋_GB2312"/>
          <w:b w:val="0"/>
          <w:bCs w:val="0"/>
          <w:kern w:val="0"/>
          <w:position w:val="0"/>
          <w:sz w:val="32"/>
          <w:szCs w:val="32"/>
          <w:highlight w:val="none"/>
          <w:lang w:val="en-US" w:eastAsia="zh-CN" w:bidi="ar-SA"/>
        </w:rPr>
      </w:pPr>
      <w:r>
        <w:rPr>
          <w:rFonts w:hint="eastAsia" w:ascii="仿宋_GB2312" w:hAnsi="仿宋_GB2312" w:cs="仿宋_GB2312"/>
          <w:b w:val="0"/>
          <w:bCs w:val="0"/>
          <w:kern w:val="0"/>
          <w:position w:val="0"/>
          <w:sz w:val="32"/>
          <w:szCs w:val="32"/>
          <w:highlight w:val="none"/>
          <w:lang w:val="en-US" w:eastAsia="zh-CN" w:bidi="ar-SA"/>
        </w:rPr>
        <w:t>一是预算编制准确度有待提高，存在中期追加、期末追减情况；二是预算执行进度有待提高。</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方正楷体_GBK" w:hAnsi="方正楷体_GBK" w:eastAsia="方正楷体_GBK" w:cs="方正楷体_GBK"/>
          <w:b/>
          <w:bCs/>
          <w:color w:val="000000"/>
          <w:kern w:val="0"/>
          <w:szCs w:val="32"/>
          <w:highlight w:val="none"/>
          <w:shd w:val="clear" w:color="auto" w:fill="FFFFFF"/>
          <w:lang w:val="zh-CN"/>
        </w:rPr>
      </w:pPr>
      <w:r>
        <w:rPr>
          <w:rFonts w:hint="default" w:ascii="方正楷体_GBK" w:hAnsi="方正楷体_GBK" w:eastAsia="方正楷体_GBK" w:cs="方正楷体_GBK"/>
          <w:b/>
          <w:bCs/>
          <w:color w:val="000000"/>
          <w:kern w:val="0"/>
          <w:szCs w:val="32"/>
          <w:highlight w:val="none"/>
          <w:shd w:val="clear" w:color="auto" w:fill="FFFFFF"/>
          <w:lang w:val="zh-CN"/>
        </w:rPr>
        <w:t>（三）改进建议</w:t>
      </w:r>
    </w:p>
    <w:p>
      <w:pPr>
        <w:pStyle w:val="4"/>
        <w:adjustRightInd w:val="0"/>
        <w:snapToGrid w:val="0"/>
        <w:spacing w:before="72" w:line="580" w:lineRule="exact"/>
        <w:ind w:firstLine="640" w:firstLineChars="200"/>
        <w:rPr>
          <w:rFonts w:hint="eastAsia" w:hAnsi="黑体" w:cs="黑体"/>
          <w:bCs/>
          <w:szCs w:val="32"/>
        </w:rPr>
      </w:pPr>
      <w:r>
        <w:rPr>
          <w:rFonts w:hint="eastAsia" w:ascii="仿宋_GB2312" w:hAnsi="黑体" w:cs="黑体"/>
          <w:bCs/>
          <w:szCs w:val="32"/>
        </w:rPr>
        <w:t>　为了进一步提高本部门整体绩效水平，</w:t>
      </w:r>
      <w:r>
        <w:rPr>
          <w:rFonts w:hint="eastAsia" w:ascii="仿宋_GB2312" w:hAnsi="黑体" w:cs="黑体"/>
          <w:bCs/>
          <w:szCs w:val="32"/>
          <w:lang w:val="en-US" w:eastAsia="zh-CN"/>
        </w:rPr>
        <w:t>确保</w:t>
      </w:r>
      <w:r>
        <w:rPr>
          <w:rFonts w:hint="eastAsia" w:ascii="仿宋_GB2312" w:hAnsi="黑体" w:cs="黑体"/>
          <w:bCs/>
          <w:szCs w:val="32"/>
        </w:rPr>
        <w:t>预算编制和预算执行</w:t>
      </w:r>
      <w:r>
        <w:rPr>
          <w:rFonts w:hint="eastAsia" w:ascii="仿宋_GB2312" w:hAnsi="黑体" w:cs="黑体"/>
          <w:bCs/>
          <w:szCs w:val="32"/>
          <w:lang w:val="en-US" w:eastAsia="zh-CN"/>
        </w:rPr>
        <w:t>达到预期效果</w:t>
      </w:r>
      <w:r>
        <w:rPr>
          <w:rFonts w:hint="eastAsia" w:ascii="仿宋_GB2312" w:hAnsi="黑体" w:cs="黑体"/>
          <w:bCs/>
          <w:szCs w:val="32"/>
        </w:rPr>
        <w:t>，我们提出如下建议：</w:t>
      </w:r>
      <w:r>
        <w:rPr>
          <w:rFonts w:hint="eastAsia" w:ascii="仿宋_GB2312" w:hAnsi="黑体" w:cs="黑体"/>
          <w:b/>
          <w:bCs w:val="0"/>
          <w:szCs w:val="32"/>
          <w:lang w:val="en-US" w:eastAsia="zh-CN"/>
        </w:rPr>
        <w:t>一是</w:t>
      </w:r>
      <w:r>
        <w:rPr>
          <w:rFonts w:hint="eastAsia" w:ascii="仿宋_GB2312" w:hAnsi="黑体" w:cs="黑体"/>
          <w:bCs/>
          <w:szCs w:val="32"/>
        </w:rPr>
        <w:t>加强组织领导。统一思想，加强领导，明确责任，明确由相关部门牵头，各部门参与的绩效评价管理联席会议制度，为绩效评价工作开展创造好的条件。</w:t>
      </w:r>
      <w:r>
        <w:rPr>
          <w:rFonts w:hint="eastAsia" w:ascii="仿宋_GB2312" w:hAnsi="黑体" w:cs="黑体"/>
          <w:b/>
          <w:bCs w:val="0"/>
          <w:szCs w:val="32"/>
          <w:lang w:val="en-US" w:eastAsia="zh-CN"/>
        </w:rPr>
        <w:t>二是</w:t>
      </w:r>
      <w:r>
        <w:rPr>
          <w:rFonts w:hint="eastAsia" w:ascii="仿宋_GB2312" w:hAnsi="黑体" w:cs="黑体"/>
          <w:bCs/>
          <w:szCs w:val="32"/>
        </w:rPr>
        <w:t>加强队伍建设。要抓好绩效评价管理部门的队伍建设和业务指导，培育统计调查项目和部门的绩效评价管理队伍，组建专家队伍，并加强业务培训。</w:t>
      </w:r>
      <w:r>
        <w:rPr>
          <w:rFonts w:hint="eastAsia" w:ascii="仿宋_GB2312" w:hAnsi="黑体" w:cs="黑体"/>
          <w:b/>
          <w:bCs w:val="0"/>
          <w:szCs w:val="32"/>
          <w:lang w:val="en-US" w:eastAsia="zh-CN"/>
        </w:rPr>
        <w:t>三是</w:t>
      </w:r>
      <w:r>
        <w:rPr>
          <w:rFonts w:hint="eastAsia" w:ascii="仿宋_GB2312" w:hAnsi="黑体" w:cs="黑体"/>
          <w:bCs/>
          <w:szCs w:val="32"/>
        </w:rPr>
        <w:t>建议增加公业务费及差旅费经费</w:t>
      </w:r>
      <w:r>
        <w:rPr>
          <w:rFonts w:hint="eastAsia" w:ascii="仿宋_GB2312" w:hAnsi="黑体" w:cs="黑体"/>
          <w:bCs/>
          <w:szCs w:val="32"/>
          <w:lang w:eastAsia="zh-CN"/>
        </w:rPr>
        <w:t>。</w:t>
      </w:r>
      <w:r>
        <w:rPr>
          <w:rFonts w:hint="eastAsia" w:ascii="仿宋_GB2312" w:hAnsi="黑体" w:cs="黑体"/>
          <w:b/>
          <w:bCs w:val="0"/>
          <w:szCs w:val="32"/>
          <w:lang w:val="en-US" w:eastAsia="zh-CN"/>
        </w:rPr>
        <w:t>四是</w:t>
      </w:r>
      <w:r>
        <w:rPr>
          <w:rFonts w:hint="eastAsia" w:hAnsi="黑体" w:cs="黑体"/>
          <w:bCs/>
          <w:szCs w:val="32"/>
        </w:rPr>
        <w:t>建议加强对绩效评价工作的培训和指导，进一步优化项目绩效考核指标体系，做到合理性与可操作性的有机统一。</w:t>
      </w:r>
    </w:p>
    <w:p>
      <w:pPr>
        <w:spacing w:line="560" w:lineRule="exact"/>
        <w:rPr>
          <w:rFonts w:ascii="仿宋_GB2312" w:hAnsi="黑体" w:cs="黑体"/>
          <w:bCs/>
          <w:szCs w:val="32"/>
        </w:rPr>
      </w:pPr>
    </w:p>
    <w:p>
      <w:pPr>
        <w:rPr>
          <w:rFonts w:ascii="仿宋_GB2312" w:hAnsi="黑体" w:cs="黑体"/>
          <w:bCs/>
          <w:szCs w:val="32"/>
        </w:rPr>
      </w:pPr>
    </w:p>
    <w:p>
      <w:pPr>
        <w:jc w:val="center"/>
        <w:rPr>
          <w:rFonts w:hint="eastAsia"/>
          <w:lang w:val="en-US" w:eastAsia="zh-CN"/>
        </w:rPr>
      </w:pPr>
      <w:r>
        <w:rPr>
          <w:rFonts w:hint="eastAsia"/>
          <w:lang w:val="en-US" w:eastAsia="zh-CN"/>
        </w:rPr>
        <w:t xml:space="preserve">                     黑水县融媒体中心</w:t>
      </w:r>
    </w:p>
    <w:p>
      <w:pPr>
        <w:jc w:val="center"/>
        <w:rPr>
          <w:rFonts w:hint="default"/>
          <w:lang w:val="en-US" w:eastAsia="zh-CN"/>
        </w:rPr>
      </w:pPr>
      <w:r>
        <w:rPr>
          <w:rFonts w:hint="eastAsia"/>
          <w:lang w:val="en-US" w:eastAsia="zh-CN"/>
        </w:rPr>
        <w:t xml:space="preserve">                    2024年8月5日</w:t>
      </w:r>
    </w:p>
    <w:p>
      <w:pPr>
        <w:spacing w:line="578" w:lineRule="exact"/>
        <w:rPr>
          <w:rFonts w:hint="eastAsia"/>
          <w:color w:val="000000"/>
          <w:kern w:val="0"/>
          <w:szCs w:val="32"/>
          <w:shd w:val="clear" w:color="auto" w:fill="FFFFFF"/>
        </w:rPr>
      </w:pPr>
    </w:p>
    <w:p>
      <w:pPr>
        <w:pStyle w:val="11"/>
        <w:ind w:left="0" w:leftChars="0" w:firstLine="0" w:firstLineChars="0"/>
        <w:rPr>
          <w:rFonts w:ascii="Times New Roman" w:eastAsia="黑体"/>
          <w:sz w:val="24"/>
          <w:szCs w:val="24"/>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小标宋简体">
    <w:altName w:val="方正小标宋_GBK"/>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path/>
          <v:fill on="f" focussize="0,0"/>
          <v:stroke on="f" weight="0.5pt" joinstyle="miter"/>
          <v:imagedata o:title=""/>
          <o:lock v:ext="edit"/>
          <v:textbox inset="0mm,0mm,0mm,0mm" style="mso-fit-shape-to-text:t;">
            <w:txbxContent>
              <w:p>
                <w:pPr>
                  <w:pStyle w:val="7"/>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F8BAE"/>
    <w:multiLevelType w:val="singleLevel"/>
    <w:tmpl w:val="DCFF8BAE"/>
    <w:lvl w:ilvl="0" w:tentative="0">
      <w:start w:val="1"/>
      <w:numFmt w:val="decimal"/>
      <w:lvlText w:val="%1."/>
      <w:lvlJc w:val="left"/>
      <w:pPr>
        <w:tabs>
          <w:tab w:val="left" w:pos="312"/>
        </w:tabs>
      </w:pPr>
    </w:lvl>
  </w:abstractNum>
  <w:abstractNum w:abstractNumId="1">
    <w:nsid w:val="2ABFAFE4"/>
    <w:multiLevelType w:val="singleLevel"/>
    <w:tmpl w:val="2ABFAFE4"/>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ZhODU4ODZjZWUyYjY5MDRkYjgyNDlmZGQwNzI3ZjgifQ=="/>
    <w:docVar w:name="KSO_WPS_MARK_KEY" w:val="2ff61493-7891-46b1-959b-d15d77019e2b"/>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085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4136"/>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7537D"/>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176E4"/>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B3CB0"/>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907D27"/>
    <w:rsid w:val="0C3A1EAC"/>
    <w:rsid w:val="0D2D7EEF"/>
    <w:rsid w:val="0DC31556"/>
    <w:rsid w:val="0ED53421"/>
    <w:rsid w:val="1A3D6143"/>
    <w:rsid w:val="1C013801"/>
    <w:rsid w:val="1DFAB8AE"/>
    <w:rsid w:val="1DFD8D3B"/>
    <w:rsid w:val="1EFB8674"/>
    <w:rsid w:val="1FB79DC9"/>
    <w:rsid w:val="1FBFC3F2"/>
    <w:rsid w:val="1FFFE033"/>
    <w:rsid w:val="27F352A6"/>
    <w:rsid w:val="2D527252"/>
    <w:rsid w:val="2DDC1740"/>
    <w:rsid w:val="2EAE55F2"/>
    <w:rsid w:val="2EDF4302"/>
    <w:rsid w:val="2EFE1A04"/>
    <w:rsid w:val="35BBF80F"/>
    <w:rsid w:val="3B736F08"/>
    <w:rsid w:val="3BE3D531"/>
    <w:rsid w:val="3D431A40"/>
    <w:rsid w:val="3EFF42CA"/>
    <w:rsid w:val="3F6FCA38"/>
    <w:rsid w:val="3FD5AF3D"/>
    <w:rsid w:val="3FFED8BE"/>
    <w:rsid w:val="3FFF43BB"/>
    <w:rsid w:val="433DCF8E"/>
    <w:rsid w:val="45FF973D"/>
    <w:rsid w:val="47550EBA"/>
    <w:rsid w:val="49114C91"/>
    <w:rsid w:val="4BF7E09D"/>
    <w:rsid w:val="4FFFFC3E"/>
    <w:rsid w:val="53BB74FC"/>
    <w:rsid w:val="55FDDF92"/>
    <w:rsid w:val="55FFBC03"/>
    <w:rsid w:val="56CDA72E"/>
    <w:rsid w:val="576F5916"/>
    <w:rsid w:val="577FDAE2"/>
    <w:rsid w:val="57FBE2C7"/>
    <w:rsid w:val="5B335734"/>
    <w:rsid w:val="5B7F322F"/>
    <w:rsid w:val="5BCAB023"/>
    <w:rsid w:val="5BD31C7D"/>
    <w:rsid w:val="5BDA323D"/>
    <w:rsid w:val="5DDA9B94"/>
    <w:rsid w:val="5EAB810D"/>
    <w:rsid w:val="5EFF9DA6"/>
    <w:rsid w:val="5F7751B9"/>
    <w:rsid w:val="5F9F7232"/>
    <w:rsid w:val="5F9F9588"/>
    <w:rsid w:val="5FBD32D2"/>
    <w:rsid w:val="5FD450B0"/>
    <w:rsid w:val="5FEF60CD"/>
    <w:rsid w:val="5FFB203D"/>
    <w:rsid w:val="5FFB8CF9"/>
    <w:rsid w:val="63DBAF21"/>
    <w:rsid w:val="6636451A"/>
    <w:rsid w:val="67DE80AA"/>
    <w:rsid w:val="697E3B47"/>
    <w:rsid w:val="69BF132E"/>
    <w:rsid w:val="6BFEE5F3"/>
    <w:rsid w:val="6CAFF34E"/>
    <w:rsid w:val="6CC13EFC"/>
    <w:rsid w:val="6CFFCF4F"/>
    <w:rsid w:val="6DFFF8B6"/>
    <w:rsid w:val="6E8E665B"/>
    <w:rsid w:val="6E9FE641"/>
    <w:rsid w:val="6EEDE807"/>
    <w:rsid w:val="6EEE4BE4"/>
    <w:rsid w:val="6EF65E9C"/>
    <w:rsid w:val="6F3D9197"/>
    <w:rsid w:val="6FAB3EC4"/>
    <w:rsid w:val="6FB6AF41"/>
    <w:rsid w:val="6FD894C8"/>
    <w:rsid w:val="6FE36A9E"/>
    <w:rsid w:val="6FEFB2D1"/>
    <w:rsid w:val="6FFF97E6"/>
    <w:rsid w:val="71397E03"/>
    <w:rsid w:val="71FB5B08"/>
    <w:rsid w:val="73FB87D9"/>
    <w:rsid w:val="75EF0FBA"/>
    <w:rsid w:val="7607C293"/>
    <w:rsid w:val="76363621"/>
    <w:rsid w:val="76DFA4E8"/>
    <w:rsid w:val="778720BD"/>
    <w:rsid w:val="77A7D615"/>
    <w:rsid w:val="77FF366A"/>
    <w:rsid w:val="77FF8C96"/>
    <w:rsid w:val="77FFA8F9"/>
    <w:rsid w:val="7976604B"/>
    <w:rsid w:val="79F3BC78"/>
    <w:rsid w:val="7A5B6CAA"/>
    <w:rsid w:val="7A9314AC"/>
    <w:rsid w:val="7B4F6850"/>
    <w:rsid w:val="7BABD5C4"/>
    <w:rsid w:val="7BB12055"/>
    <w:rsid w:val="7BBFADBA"/>
    <w:rsid w:val="7BFF492D"/>
    <w:rsid w:val="7C631402"/>
    <w:rsid w:val="7C978C63"/>
    <w:rsid w:val="7CA35AD0"/>
    <w:rsid w:val="7CDF8BC3"/>
    <w:rsid w:val="7CEB72A5"/>
    <w:rsid w:val="7D18750B"/>
    <w:rsid w:val="7DDFDC39"/>
    <w:rsid w:val="7E140770"/>
    <w:rsid w:val="7E5D92FB"/>
    <w:rsid w:val="7EF51D64"/>
    <w:rsid w:val="7EFFF488"/>
    <w:rsid w:val="7F08F6C0"/>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2F52"/>
    <w:rsid w:val="8F7B4EC8"/>
    <w:rsid w:val="8FBD4480"/>
    <w:rsid w:val="8FF7AE96"/>
    <w:rsid w:val="955F5184"/>
    <w:rsid w:val="9F6311D7"/>
    <w:rsid w:val="9FF54399"/>
    <w:rsid w:val="A46D76C1"/>
    <w:rsid w:val="A7FF43C2"/>
    <w:rsid w:val="ABF66286"/>
    <w:rsid w:val="AD9E3F04"/>
    <w:rsid w:val="ADA70464"/>
    <w:rsid w:val="AFDF91A0"/>
    <w:rsid w:val="AFE97CD3"/>
    <w:rsid w:val="B1BF5C63"/>
    <w:rsid w:val="B1FF3A18"/>
    <w:rsid w:val="B3CDF284"/>
    <w:rsid w:val="B3E8107B"/>
    <w:rsid w:val="B5F66F24"/>
    <w:rsid w:val="B7F5200A"/>
    <w:rsid w:val="BABDA1AA"/>
    <w:rsid w:val="BB1B4BF1"/>
    <w:rsid w:val="BBE5FE68"/>
    <w:rsid w:val="BBFEB9C1"/>
    <w:rsid w:val="BDF7406A"/>
    <w:rsid w:val="BE6FD8DB"/>
    <w:rsid w:val="BEEF57C2"/>
    <w:rsid w:val="BF6D5596"/>
    <w:rsid w:val="BFBEBB2C"/>
    <w:rsid w:val="BFC68935"/>
    <w:rsid w:val="BFDD0F1D"/>
    <w:rsid w:val="BFDDD096"/>
    <w:rsid w:val="C5B3F496"/>
    <w:rsid w:val="C96F3E49"/>
    <w:rsid w:val="CBBF14F3"/>
    <w:rsid w:val="CBE5DCF2"/>
    <w:rsid w:val="CCFCC735"/>
    <w:rsid w:val="CEEB8A74"/>
    <w:rsid w:val="D37FB642"/>
    <w:rsid w:val="D7F99798"/>
    <w:rsid w:val="D7FF400C"/>
    <w:rsid w:val="DB9F7262"/>
    <w:rsid w:val="DBED1CD4"/>
    <w:rsid w:val="DBFBB328"/>
    <w:rsid w:val="DDD7453A"/>
    <w:rsid w:val="DE3E1FD7"/>
    <w:rsid w:val="DFBE1B79"/>
    <w:rsid w:val="DFCF1FEC"/>
    <w:rsid w:val="DFE75A3D"/>
    <w:rsid w:val="DFED2117"/>
    <w:rsid w:val="DFEF594B"/>
    <w:rsid w:val="DFF3F960"/>
    <w:rsid w:val="DFFE0D61"/>
    <w:rsid w:val="E35C4B3C"/>
    <w:rsid w:val="E3A3F03F"/>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Lines="50" w:line="360" w:lineRule="auto"/>
      <w:ind w:firstLine="480" w:firstLineChars="200"/>
    </w:pPr>
    <w:rPr>
      <w:rFonts w:eastAsia="仿宋"/>
      <w:sz w:val="24"/>
      <w:szCs w:val="23"/>
      <w:lang w:eastAsia="ar-SA"/>
    </w:rPr>
  </w:style>
  <w:style w:type="paragraph" w:styleId="3">
    <w:name w:val="Document Map"/>
    <w:basedOn w:val="1"/>
    <w:link w:val="19"/>
    <w:qFormat/>
    <w:uiPriority w:val="0"/>
    <w:rPr>
      <w:rFonts w:ascii="宋体" w:eastAsia="宋体"/>
      <w:sz w:val="18"/>
      <w:szCs w:val="18"/>
    </w:r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200" w:leftChars="200"/>
    </w:pPr>
    <w:rPr>
      <w:rFonts w:ascii="仿宋_GB2312"/>
      <w:szCs w:val="32"/>
    </w:rPr>
  </w:style>
  <w:style w:type="paragraph" w:styleId="6">
    <w:name w:val="Balloon Text"/>
    <w:basedOn w:val="1"/>
    <w:semiHidden/>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toc 1"/>
    <w:basedOn w:val="1"/>
    <w:next w:val="1"/>
    <w:qFormat/>
    <w:uiPriority w:val="0"/>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1">
    <w:name w:val="Body Text First Indent 2"/>
    <w:basedOn w:val="5"/>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7">
    <w:name w:val="四号正文"/>
    <w:basedOn w:val="1"/>
    <w:link w:val="18"/>
    <w:qFormat/>
    <w:uiPriority w:val="0"/>
    <w:pPr>
      <w:spacing w:line="360" w:lineRule="auto"/>
    </w:pPr>
    <w:rPr>
      <w:rFonts w:ascii="??" w:hAnsi="??" w:eastAsia="宋体" w:cs="宋体"/>
      <w:color w:val="000000"/>
      <w:kern w:val="0"/>
      <w:sz w:val="28"/>
      <w:szCs w:val="21"/>
    </w:rPr>
  </w:style>
  <w:style w:type="character" w:customStyle="1" w:styleId="18">
    <w:name w:val="四号正文 Char"/>
    <w:basedOn w:val="14"/>
    <w:link w:val="17"/>
    <w:qFormat/>
    <w:uiPriority w:val="0"/>
    <w:rPr>
      <w:rFonts w:ascii="??" w:hAnsi="??" w:eastAsia="宋体" w:cs="宋体"/>
      <w:color w:val="000000"/>
      <w:sz w:val="28"/>
      <w:szCs w:val="21"/>
      <w:lang w:val="en-US" w:eastAsia="zh-CN" w:bidi="ar-SA"/>
    </w:rPr>
  </w:style>
  <w:style w:type="character" w:customStyle="1" w:styleId="19">
    <w:name w:val="文档结构图 Char"/>
    <w:basedOn w:val="14"/>
    <w:link w:val="3"/>
    <w:qFormat/>
    <w:uiPriority w:val="0"/>
    <w:rPr>
      <w:rFonts w:ascii="宋体"/>
      <w:kern w:val="2"/>
      <w:sz w:val="18"/>
      <w:szCs w:val="18"/>
    </w:rPr>
  </w:style>
  <w:style w:type="paragraph" w:customStyle="1" w:styleId="20">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1">
    <w:name w:val="页脚 Char"/>
    <w:basedOn w:val="14"/>
    <w:link w:val="7"/>
    <w:qFormat/>
    <w:uiPriority w:val="99"/>
    <w:rPr>
      <w:kern w:val="2"/>
      <w:sz w:val="18"/>
      <w:szCs w:val="18"/>
    </w:rPr>
  </w:style>
  <w:style w:type="character" w:customStyle="1" w:styleId="22">
    <w:name w:val="font31"/>
    <w:basedOn w:val="14"/>
    <w:qFormat/>
    <w:uiPriority w:val="0"/>
    <w:rPr>
      <w:rFonts w:hint="eastAsia" w:ascii="宋体" w:hAnsi="宋体" w:eastAsia="宋体" w:cs="宋体"/>
      <w:color w:val="000000"/>
      <w:sz w:val="24"/>
      <w:szCs w:val="24"/>
      <w:u w:val="none"/>
    </w:rPr>
  </w:style>
  <w:style w:type="character" w:customStyle="1" w:styleId="23">
    <w:name w:val="font51"/>
    <w:basedOn w:val="14"/>
    <w:qFormat/>
    <w:uiPriority w:val="0"/>
    <w:rPr>
      <w:rFonts w:hint="default" w:ascii="Wingdings 2" w:hAnsi="Wingdings 2" w:eastAsia="Wingdings 2" w:cs="Wingdings 2"/>
      <w:color w:val="000000"/>
      <w:sz w:val="18"/>
      <w:szCs w:val="18"/>
      <w:u w:val="none"/>
    </w:rPr>
  </w:style>
  <w:style w:type="character" w:customStyle="1" w:styleId="24">
    <w:name w:val="font01"/>
    <w:basedOn w:val="14"/>
    <w:qFormat/>
    <w:uiPriority w:val="0"/>
    <w:rPr>
      <w:rFonts w:ascii="宋体" w:hAnsi="宋体" w:eastAsia="宋体" w:cs="宋体"/>
      <w:color w:val="000000"/>
      <w:sz w:val="18"/>
      <w:szCs w:val="18"/>
      <w:u w:val="none"/>
    </w:rPr>
  </w:style>
  <w:style w:type="character" w:customStyle="1" w:styleId="25">
    <w:name w:val="font41"/>
    <w:basedOn w:val="14"/>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12</Pages>
  <Words>5647</Words>
  <Characters>5925</Characters>
  <Lines>20</Lines>
  <Paragraphs>5</Paragraphs>
  <TotalTime>5</TotalTime>
  <ScaleCrop>false</ScaleCrop>
  <LinksUpToDate>false</LinksUpToDate>
  <CharactersWithSpaces>5987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2024-07-29T19:30:00Z</dcterms:created>
  <dc:creator>陈萍</dc:creator>
  <cp:lastModifiedBy>user</cp:lastModifiedBy>
  <cp:lastPrinted>2024-08-06T00:59:00Z</cp:lastPrinted>
  <dcterms:modified xsi:type="dcterms:W3CDTF">2025-04-14T16:35:15Z</dcterms:modified>
  <dc:title>区域性就业培训基地建设项目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A51A36801428E9B041879466C62AECE8</vt:lpwstr>
  </property>
</Properties>
</file>