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/>
          <w:bCs/>
          <w:sz w:val="36"/>
          <w:szCs w:val="44"/>
        </w:rPr>
      </w:pPr>
      <w:r>
        <w:rPr>
          <w:rFonts w:hint="eastAsia" w:ascii="仿宋_GB2312" w:hAnsi="华文中宋"/>
          <w:bCs/>
          <w:sz w:val="36"/>
          <w:szCs w:val="44"/>
        </w:rPr>
        <w:t>黑水县芦花完全小学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仿宋_GB2312" w:hAnsi="华文中宋"/>
          <w:bCs/>
          <w:sz w:val="36"/>
          <w:szCs w:val="44"/>
        </w:rPr>
        <w:t>彩票公益金转移支付2023年度绩效自评报告</w:t>
      </w:r>
    </w:p>
    <w:p>
      <w:pPr>
        <w:jc w:val="center"/>
        <w:rPr>
          <w:rFonts w:ascii="仿宋_GB2312"/>
          <w:szCs w:val="32"/>
        </w:rPr>
      </w:pP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（一）转移支付概况。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2023年彩票公益金3万元用于乡村学校少年宫正常运转。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（二）整体绩效目标情况。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我县2023年乡村学校少年宫正常运转项目自评99.5分。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我县乡村学校少年宫依托农村中小学校现有场地、教室和设施，进行修缮并配备必要的设备器材，依靠学校教师进行管理，在课余时间和节假日组织开展普及性课外活动的公益性活动。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乡村学校少年宫既是青少年的活动场所，也是推进素质教育的载体和阵地，满足了农村未成年人对优质教育资源的渴望，为农村未成年人的健康成长和全面发展创造了良好的条件。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（三）区域绩效目标情况。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我县2023年乡村学校少年宫1所，彩票公益金转移支付资金覆盖乡村学校少年宫1所。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二、综合评价结论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（一）实现了校内外教育的有机结合。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学校以“乡村学校少年宫”为载体，把“乡村学校少年宫”活动列入了学校教育教学计划，保证了未成年人每天都能参加课外活动。形成了学校教育与“乡村学校少年宫”活动紧密衔接，拓展了教育的途径和领域，有效推动了素质教育水平的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（二）学生综合素质明显提高。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“乡村学校少年宫”活动促进了未成年人综合素质的提升，未成年人懂得感恩父母，体谅他人，学到了课本以外的知识技能，社会实践能力得到进一步提高。未成年人从个人兴趣出发参加兴趣小组的活动，培养了初步的特长，促进了全面发展。通过参加脑思维训练活动，开发了智力，促进了学习成绩的提高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（三）丰富了学生的课余生活。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未成年人在快乐高效的课堂上学习知识，在丰富多彩的课外活动中陶冶身心。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三、绩效情况分析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（一）资金情况分析。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共投入资金3万元，完成支付3万元。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（二）资金管理情况分析。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按照《四川省财政厅四川省精神文明建设办公室四川省教育厅关于印发&lt;中央专项彩票公益金支持乡村学校少年宫项目实施办法&gt;的通知》（川财综〔2011〕45号）等文件要求，管理全县乡村学校少年宫。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（三）总体目标完成情况分析。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通过此项目的实施，一是提高了未成年人的思想道德素质、科学文化素质和健康素质，培养全面发展的社会主义接班人。二是通过开展活动向未成年人普及科学技术、劳动技术、文学艺术、体育等方面的知识，开阔他们的眼界，发展他们多方面的兴趣、爱好和特长；培养他们勤动手、善思考、勇于创新的良</w:t>
      </w:r>
      <w:bookmarkStart w:id="0" w:name="_GoBack"/>
      <w:bookmarkEnd w:id="0"/>
      <w:r>
        <w:rPr>
          <w:rFonts w:hint="eastAsia" w:ascii="仿宋_GB2312" w:hAnsi="仿宋"/>
          <w:color w:val="000000"/>
          <w:sz w:val="32"/>
          <w:szCs w:val="32"/>
        </w:rPr>
        <w:t>好习惯，使他们在实践中增长才干，促进健康成长、全面发展。三是通过丰富多彩的具有实践性、趣味性、教育性、灵活性的活动来配合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学习</w:t>
      </w:r>
      <w:r>
        <w:rPr>
          <w:rFonts w:hint="eastAsia" w:ascii="仿宋_GB2312" w:hAnsi="仿宋"/>
          <w:color w:val="000000"/>
          <w:sz w:val="32"/>
          <w:szCs w:val="32"/>
        </w:rPr>
        <w:t>教育，培养未成年人们适应社会的能力。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（四）绩效指标完成情况分析。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1.产出指标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覆盖乡村学校少年宫所数1所，活动器材质量合格率≥95%，资金及时下拨，乡村学校少年宫运转经费标准3万元。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2.效益指标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提升学生课外活动兴趣，提升教师业务水平，提升学生综合素质，提升学生心理健康水平，增强学生社会实践能力。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3.满意度指标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学生及家长满意率≥90%。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四、发现的主要问题和改进措施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1.乡村学校少年宫辅导员教师队伍建设还需加强。少年宫辅导员由学校教师兼任，有特长的教师不多，制约着学校少年宫活动项目的拓展和活动内容的丰富。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2.乡村学校少年宫是在学校教室的基础上改建的，活动场地窄等因素，使得少年宫活动难以达到较高水平。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五、绩效自评工作开展情况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建议一是上级财政将运转类经费及早下拨，二是加大少年宫辅导员教师交流、培训。</w:t>
      </w:r>
    </w:p>
    <w:p>
      <w:pPr>
        <w:spacing w:line="600" w:lineRule="exact"/>
        <w:ind w:firstLine="642" w:firstLineChars="200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/>
          <w:b/>
          <w:bCs/>
          <w:color w:val="000000"/>
          <w:sz w:val="32"/>
          <w:szCs w:val="32"/>
        </w:rPr>
        <w:t>六、其他需要说明的问题</w:t>
      </w:r>
    </w:p>
    <w:p>
      <w:pPr>
        <w:spacing w:line="60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无。</w:t>
      </w:r>
    </w:p>
    <w:p>
      <w:pPr>
        <w:ind w:firstLine="600" w:firstLineChars="200"/>
        <w:rPr>
          <w:rFonts w:ascii="黑体" w:hAnsi="黑体" w:eastAsia="黑体" w:cs="黑体"/>
        </w:rPr>
      </w:pPr>
    </w:p>
    <w:p>
      <w:pPr>
        <w:ind w:firstLine="60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dit="readOnly"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2"/>
  </w:compat>
  <w:docVars>
    <w:docVar w:name="commondata" w:val="eyJoZGlkIjoiNmQxZTliMTNmNzhkZDg3OWYyZTY3ODRhN2EzMGMwZjQifQ=="/>
  </w:docVars>
  <w:rsids>
    <w:rsidRoot w:val="00F57F82"/>
    <w:rsid w:val="000101E1"/>
    <w:rsid w:val="00020084"/>
    <w:rsid w:val="000732DA"/>
    <w:rsid w:val="00075CDC"/>
    <w:rsid w:val="000A0012"/>
    <w:rsid w:val="000B1E8F"/>
    <w:rsid w:val="00103D16"/>
    <w:rsid w:val="00164D84"/>
    <w:rsid w:val="00176CDD"/>
    <w:rsid w:val="001A112B"/>
    <w:rsid w:val="001D628A"/>
    <w:rsid w:val="00234CCA"/>
    <w:rsid w:val="00250053"/>
    <w:rsid w:val="00287C3C"/>
    <w:rsid w:val="002A5439"/>
    <w:rsid w:val="00373FC6"/>
    <w:rsid w:val="0039432D"/>
    <w:rsid w:val="003A5822"/>
    <w:rsid w:val="003C6374"/>
    <w:rsid w:val="00415F7C"/>
    <w:rsid w:val="0043208D"/>
    <w:rsid w:val="004531B5"/>
    <w:rsid w:val="00580561"/>
    <w:rsid w:val="005E102B"/>
    <w:rsid w:val="00744C87"/>
    <w:rsid w:val="00785AF7"/>
    <w:rsid w:val="007A1DC2"/>
    <w:rsid w:val="008A20F2"/>
    <w:rsid w:val="0099079F"/>
    <w:rsid w:val="00A519F1"/>
    <w:rsid w:val="00A6503E"/>
    <w:rsid w:val="00A83F5B"/>
    <w:rsid w:val="00A97C19"/>
    <w:rsid w:val="00AA2B82"/>
    <w:rsid w:val="00B66DE5"/>
    <w:rsid w:val="00B809E9"/>
    <w:rsid w:val="00BE02B5"/>
    <w:rsid w:val="00C552F2"/>
    <w:rsid w:val="00C6755B"/>
    <w:rsid w:val="00CC06D5"/>
    <w:rsid w:val="00CC152C"/>
    <w:rsid w:val="00D63908"/>
    <w:rsid w:val="00DD09A2"/>
    <w:rsid w:val="00DD16E3"/>
    <w:rsid w:val="00DF5C31"/>
    <w:rsid w:val="00E02E27"/>
    <w:rsid w:val="00E11C10"/>
    <w:rsid w:val="00EA6C07"/>
    <w:rsid w:val="00EB075E"/>
    <w:rsid w:val="00ED6D53"/>
    <w:rsid w:val="00F15573"/>
    <w:rsid w:val="00F437B4"/>
    <w:rsid w:val="00F57F82"/>
    <w:rsid w:val="00F66340"/>
    <w:rsid w:val="00F75963"/>
    <w:rsid w:val="00F87CF4"/>
    <w:rsid w:val="00FA2A79"/>
    <w:rsid w:val="00FA357A"/>
    <w:rsid w:val="00FC33DC"/>
    <w:rsid w:val="02C86339"/>
    <w:rsid w:val="037D0BC8"/>
    <w:rsid w:val="0845082D"/>
    <w:rsid w:val="096A663E"/>
    <w:rsid w:val="09E965F2"/>
    <w:rsid w:val="0A87714B"/>
    <w:rsid w:val="0BCE8248"/>
    <w:rsid w:val="0FFFAAC1"/>
    <w:rsid w:val="11D7196B"/>
    <w:rsid w:val="139840D3"/>
    <w:rsid w:val="143E091F"/>
    <w:rsid w:val="14865FC8"/>
    <w:rsid w:val="150C2DB0"/>
    <w:rsid w:val="1CE94882"/>
    <w:rsid w:val="1E761F05"/>
    <w:rsid w:val="1FC7205C"/>
    <w:rsid w:val="228B3D05"/>
    <w:rsid w:val="25FE8923"/>
    <w:rsid w:val="286D5E37"/>
    <w:rsid w:val="33792F26"/>
    <w:rsid w:val="38EF7AD8"/>
    <w:rsid w:val="3C5E2926"/>
    <w:rsid w:val="3DBBD6B4"/>
    <w:rsid w:val="3E1672E6"/>
    <w:rsid w:val="3EFF9E0B"/>
    <w:rsid w:val="3FBF2D69"/>
    <w:rsid w:val="415F08D8"/>
    <w:rsid w:val="433B52D2"/>
    <w:rsid w:val="44E2230F"/>
    <w:rsid w:val="46F9107C"/>
    <w:rsid w:val="48154424"/>
    <w:rsid w:val="48B51347"/>
    <w:rsid w:val="4A55216A"/>
    <w:rsid w:val="4D396183"/>
    <w:rsid w:val="4FE0696A"/>
    <w:rsid w:val="51FD19E1"/>
    <w:rsid w:val="55673508"/>
    <w:rsid w:val="57FCC004"/>
    <w:rsid w:val="59595A6F"/>
    <w:rsid w:val="599330CA"/>
    <w:rsid w:val="5B0D23FC"/>
    <w:rsid w:val="5BFB0F68"/>
    <w:rsid w:val="5DB076C2"/>
    <w:rsid w:val="5F76F0C1"/>
    <w:rsid w:val="60D5009F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6FDF08E7"/>
    <w:rsid w:val="6FDF4489"/>
    <w:rsid w:val="715B2F02"/>
    <w:rsid w:val="71F5E8EA"/>
    <w:rsid w:val="76A548F2"/>
    <w:rsid w:val="7765772E"/>
    <w:rsid w:val="77867685"/>
    <w:rsid w:val="77F04540"/>
    <w:rsid w:val="781F36B6"/>
    <w:rsid w:val="790627AD"/>
    <w:rsid w:val="7ADC59FA"/>
    <w:rsid w:val="7BB71159"/>
    <w:rsid w:val="7CD836C4"/>
    <w:rsid w:val="7DBDD65E"/>
    <w:rsid w:val="7DBF21E3"/>
    <w:rsid w:val="7DDD794F"/>
    <w:rsid w:val="7E778D16"/>
    <w:rsid w:val="7F6F721B"/>
    <w:rsid w:val="7FED9F9F"/>
    <w:rsid w:val="9FFF3766"/>
    <w:rsid w:val="B7F7950F"/>
    <w:rsid w:val="BECF1CFC"/>
    <w:rsid w:val="BFF6A151"/>
    <w:rsid w:val="CA49ADC2"/>
    <w:rsid w:val="CADDA160"/>
    <w:rsid w:val="D7FBE5FA"/>
    <w:rsid w:val="DFDF27BD"/>
    <w:rsid w:val="EBCEF170"/>
    <w:rsid w:val="EF8574AB"/>
    <w:rsid w:val="F1A7643A"/>
    <w:rsid w:val="F3FFDB15"/>
    <w:rsid w:val="F57B6F99"/>
    <w:rsid w:val="F6FFFE3B"/>
    <w:rsid w:val="F76F2F4C"/>
    <w:rsid w:val="F7DFB8FF"/>
    <w:rsid w:val="F8DBBE3A"/>
    <w:rsid w:val="FA7DCE76"/>
    <w:rsid w:val="FAEFC359"/>
    <w:rsid w:val="FB5ECFCA"/>
    <w:rsid w:val="FEAF114B"/>
    <w:rsid w:val="FEBF0180"/>
    <w:rsid w:val="FEDC2866"/>
    <w:rsid w:val="FEED1334"/>
    <w:rsid w:val="FFC601BD"/>
    <w:rsid w:val="FFFF4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1347</Words>
  <Characters>70</Characters>
  <Lines>1</Lines>
  <Paragraphs>2</Paragraphs>
  <TotalTime>4</TotalTime>
  <ScaleCrop>false</ScaleCrop>
  <LinksUpToDate>false</LinksUpToDate>
  <CharactersWithSpaces>1415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2011-03-07T00:16:00Z</dcterms:created>
  <dc:creator>lhn</dc:creator>
  <cp:lastModifiedBy>聋子听见哑巴说瞎子看见爱</cp:lastModifiedBy>
  <cp:lastPrinted>2023-02-25T09:52:00Z</cp:lastPrinted>
  <dcterms:modified xsi:type="dcterms:W3CDTF">2025-04-11T10:27:56Z</dcterms:modified>
  <dc:title>财政支出绩效评价报告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2C5CC0A81F2D4A3F97EB70DB20817B2C</vt:lpwstr>
  </property>
</Properties>
</file>