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专项预算项目绩效评价报告</w:t>
      </w:r>
    </w:p>
    <w:p>
      <w:pPr>
        <w:pStyle w:val="13"/>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kern w:val="2"/>
          <w:sz w:val="30"/>
          <w:szCs w:val="30"/>
          <w:highlight w:val="none"/>
          <w:lang w:val="en-US" w:eastAsia="zh-CN"/>
        </w:rPr>
      </w:pPr>
      <w:r>
        <w:rPr>
          <w:rFonts w:hint="eastAsia" w:ascii="方正小标宋_GBK" w:hAnsi="方正小标宋_GBK" w:eastAsia="方正小标宋_GBK" w:cs="方正小标宋_GBK"/>
          <w:b w:val="0"/>
          <w:bCs w:val="0"/>
          <w:color w:val="auto"/>
          <w:kern w:val="2"/>
          <w:sz w:val="30"/>
          <w:szCs w:val="30"/>
          <w:highlight w:val="none"/>
          <w:lang w:val="en-US" w:eastAsia="zh-CN"/>
        </w:rPr>
        <w:t>（彩票公益金用于少年宫运行）</w:t>
      </w: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乡村学校少年宫是依托乡镇中心学校现有场地、教室和设施，进行修缮并配备必要的设备器材，依靠教师和志愿者进行管理，在课余时间和节假日组织开展普及性校外活动的公益性活动场所。</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en-US" w:eastAsia="zh-CN"/>
        </w:rPr>
      </w:pPr>
      <w:r>
        <w:rPr>
          <w:rFonts w:hint="eastAsia" w:ascii="仿宋_GB2312" w:hAnsi="宋体"/>
          <w:lang w:val="en-US" w:eastAsia="zh-CN"/>
        </w:rPr>
        <w:t>按照州文明办、州财政局、州教育局统一规划，组织符合申报条件学校进行申报，县文明办、财政局、教育局共同审核并向州提出立项申请。乡村学校少年宫项目建设运转资金实行定额下达，纳入国家新建项目的每个项目资金15万元，新建后从第二年起每年运转资金1000人以下学校为3万元。</w:t>
      </w:r>
      <w:r>
        <w:rPr>
          <w:rFonts w:hint="eastAsia" w:ascii="仿宋_GB2312" w:hAnsi="仿宋_GB2312" w:cs="仿宋_GB2312"/>
          <w:color w:val="000000" w:themeColor="text1"/>
          <w:sz w:val="32"/>
          <w:szCs w:val="32"/>
          <w:lang w:val="en-US" w:eastAsia="zh-CN"/>
          <w14:textFill>
            <w14:solidFill>
              <w14:schemeClr w14:val="tx1"/>
            </w14:solidFill>
          </w14:textFill>
        </w:rPr>
        <w:t>维持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色尔古寄小、七一维古小学、木苏镇中心校、红岩寄小、沙石多镇中心校、知木林寄小、晴朗乡中心校、扎窝镇中心校少年宫</w:t>
      </w:r>
      <w:r>
        <w:rPr>
          <w:rFonts w:hint="eastAsia" w:ascii="仿宋_GB2312" w:hAnsi="仿宋_GB2312" w:cs="仿宋_GB2312"/>
          <w:color w:val="000000" w:themeColor="text1"/>
          <w:sz w:val="32"/>
          <w:szCs w:val="32"/>
          <w:lang w:val="en-US" w:eastAsia="zh-CN"/>
          <w14:textFill>
            <w14:solidFill>
              <w14:schemeClr w14:val="tx1"/>
            </w14:solidFill>
          </w14:textFill>
        </w:rPr>
        <w:t>管理规范、高效运转。</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仿宋_GB2312" w:hAnsi="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en-US" w:eastAsia="zh-CN"/>
        </w:rPr>
        <w:t>根据《中央专项彩票公益金支持乡村学校少年宫项目资金管理办法》（财教〔2016〕189号）“第六条项目资金使用范围如下：（一）修缮装备补助：对新立项的乡村学校少年宫项目，利用学校现有场地和教室进行修缮并配置设备器材，将其整修成适合组织开展普及性校外活动的乡村学校少年宫；（二）运转补助：用于已开展活动的乡村学校少年宫专项运转补助；培训乡村学校少年宫的管理人员、支持校内志愿辅导乡村学校少年宫活动并做出突出贡献的教师参加专业培训、适当补贴校外辅导员志愿开展辅导”，我县少年宫运行费用于保障乡村学校少年宫日常运转。</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600" w:lineRule="exact"/>
        <w:ind w:firstLine="720"/>
        <w:rPr>
          <w:rFonts w:hint="eastAsia" w:ascii="仿宋_GB2312" w:hAnsi="仿宋_GB2312" w:cs="仿宋_GB2312"/>
          <w:color w:val="auto"/>
          <w:kern w:val="0"/>
          <w:sz w:val="32"/>
          <w:szCs w:val="32"/>
          <w:highlight w:val="none"/>
          <w:u w:val="none"/>
          <w:shd w:val="clear" w:color="auto" w:fill="FFFFFF"/>
          <w:lang w:val="zh-CN"/>
        </w:rPr>
      </w:pPr>
      <w:r>
        <w:rPr>
          <w:rFonts w:hint="eastAsia" w:ascii="仿宋_GB2312" w:hAnsi="宋体"/>
          <w:lang w:val="en-US" w:eastAsia="zh-CN"/>
        </w:rPr>
        <w:t>严格按批复落实的资金及时足额分配到项目学校，</w:t>
      </w:r>
      <w:r>
        <w:rPr>
          <w:rFonts w:hint="eastAsia" w:ascii="仿宋_GB2312" w:hAnsi="仿宋_GB2312" w:cs="仿宋_GB2312"/>
          <w:color w:val="auto"/>
          <w:kern w:val="0"/>
          <w:sz w:val="32"/>
          <w:szCs w:val="32"/>
          <w:highlight w:val="none"/>
          <w:u w:val="none"/>
          <w:shd w:val="clear" w:color="auto" w:fill="FFFFFF"/>
          <w:lang w:val="zh-CN" w:eastAsia="zh-CN"/>
        </w:rPr>
        <w:t>项目</w:t>
      </w:r>
      <w:r>
        <w:rPr>
          <w:rFonts w:hint="eastAsia" w:ascii="仿宋_GB2312" w:hAnsi="仿宋_GB2312" w:cs="仿宋_GB2312"/>
          <w:color w:val="auto"/>
          <w:kern w:val="0"/>
          <w:sz w:val="32"/>
          <w:szCs w:val="32"/>
          <w:highlight w:val="none"/>
          <w:u w:val="none"/>
          <w:shd w:val="clear" w:color="auto" w:fill="FFFFFF"/>
          <w:lang w:val="en-US" w:eastAsia="zh-CN"/>
        </w:rPr>
        <w:t>共安排资金15万元，</w:t>
      </w:r>
      <w:r>
        <w:rPr>
          <w:rFonts w:hint="eastAsia" w:ascii="仿宋_GB2312"/>
          <w:szCs w:val="32"/>
        </w:rPr>
        <w:t>用于</w:t>
      </w:r>
      <w:r>
        <w:rPr>
          <w:rFonts w:hint="eastAsia" w:ascii="仿宋_GB2312"/>
          <w:szCs w:val="32"/>
          <w:lang w:val="en-US" w:eastAsia="zh-CN"/>
        </w:rPr>
        <w:t>维持</w:t>
      </w:r>
      <w:r>
        <w:rPr>
          <w:rFonts w:hint="eastAsia" w:ascii="仿宋_GB2312"/>
          <w:szCs w:val="32"/>
        </w:rPr>
        <w:t>少年宫</w:t>
      </w:r>
      <w:r>
        <w:rPr>
          <w:rFonts w:hint="eastAsia" w:ascii="仿宋_GB2312"/>
          <w:szCs w:val="32"/>
          <w:lang w:val="en-US" w:eastAsia="zh-CN"/>
        </w:rPr>
        <w:t>的</w:t>
      </w:r>
      <w:r>
        <w:rPr>
          <w:rFonts w:hint="eastAsia" w:ascii="仿宋_GB2312"/>
          <w:szCs w:val="32"/>
        </w:rPr>
        <w:t>正常运转</w:t>
      </w:r>
      <w:r>
        <w:rPr>
          <w:rFonts w:hint="eastAsia" w:ascii="仿宋_GB2312" w:hAnsi="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p>
    <w:p>
      <w:pPr>
        <w:adjustRightInd w:val="0"/>
        <w:snapToGrid w:val="0"/>
        <w:spacing w:line="600" w:lineRule="exact"/>
        <w:ind w:firstLine="720"/>
        <w:rPr>
          <w:rFonts w:hint="default" w:ascii="仿宋_GB2312" w:hAnsi="仿宋_GB2312" w:cs="仿宋_GB2312"/>
          <w:color w:val="auto"/>
          <w:kern w:val="0"/>
          <w:sz w:val="32"/>
          <w:szCs w:val="32"/>
          <w:highlight w:val="none"/>
          <w:u w:val="none"/>
          <w:shd w:val="clear" w:color="auto" w:fill="FFFFFF"/>
          <w:lang w:val="zh-CN" w:eastAsia="zh-CN"/>
        </w:rPr>
      </w:pPr>
      <w:r>
        <w:rPr>
          <w:rFonts w:hint="eastAsia" w:ascii="仿宋_GB2312" w:hAnsi="仿宋_GB2312" w:cs="仿宋_GB2312"/>
          <w:color w:val="auto"/>
          <w:kern w:val="0"/>
          <w:sz w:val="32"/>
          <w:szCs w:val="32"/>
          <w:highlight w:val="none"/>
          <w:u w:val="none"/>
          <w:shd w:val="clear" w:color="auto" w:fill="FFFFFF"/>
          <w:lang w:val="en-US" w:eastAsia="zh-CN"/>
        </w:rPr>
        <w:t>项目</w:t>
      </w:r>
      <w:r>
        <w:rPr>
          <w:rFonts w:hint="eastAsia" w:ascii="仿宋_GB2312" w:hAnsi="仿宋_GB2312" w:cs="仿宋_GB2312"/>
          <w:color w:val="auto"/>
          <w:kern w:val="0"/>
          <w:sz w:val="32"/>
          <w:szCs w:val="32"/>
          <w:highlight w:val="none"/>
          <w:u w:val="none"/>
          <w:shd w:val="clear" w:color="auto" w:fill="FFFFFF"/>
          <w:lang w:val="zh-CN" w:eastAsia="zh-CN"/>
        </w:rPr>
        <w:t>自评工作</w:t>
      </w:r>
      <w:r>
        <w:rPr>
          <w:rFonts w:hint="eastAsia" w:ascii="仿宋_GB2312" w:hAnsi="仿宋_GB2312" w:cs="仿宋_GB2312"/>
          <w:color w:val="auto"/>
          <w:kern w:val="0"/>
          <w:sz w:val="32"/>
          <w:szCs w:val="32"/>
          <w:highlight w:val="none"/>
          <w:u w:val="none"/>
          <w:shd w:val="clear" w:color="auto" w:fill="FFFFFF"/>
          <w:lang w:val="en-US" w:eastAsia="zh-CN"/>
        </w:rPr>
        <w:t>由教育和体育局计财股组织人员</w:t>
      </w:r>
      <w:r>
        <w:rPr>
          <w:rFonts w:hint="eastAsia" w:ascii="仿宋_GB2312" w:hAnsi="仿宋_GB2312" w:cs="仿宋_GB2312"/>
          <w:color w:val="auto"/>
          <w:kern w:val="0"/>
          <w:sz w:val="32"/>
          <w:szCs w:val="32"/>
          <w:highlight w:val="none"/>
          <w:u w:val="none"/>
          <w:shd w:val="clear" w:color="auto" w:fill="FFFFFF"/>
          <w:lang w:val="zh-CN" w:eastAsia="zh-CN"/>
        </w:rPr>
        <w:t>开展。</w:t>
      </w:r>
      <w:r>
        <w:rPr>
          <w:rFonts w:hint="eastAsia" w:ascii="仿宋_GB2312" w:hAnsi="仿宋_GB2312" w:cs="仿宋_GB2312"/>
          <w:color w:val="auto"/>
          <w:kern w:val="0"/>
          <w:sz w:val="32"/>
          <w:szCs w:val="32"/>
          <w:highlight w:val="none"/>
          <w:u w:val="none"/>
          <w:shd w:val="clear" w:color="auto" w:fill="FFFFFF"/>
          <w:lang w:val="en-US" w:eastAsia="zh-CN"/>
        </w:rPr>
        <w:t>各</w:t>
      </w:r>
      <w:r>
        <w:rPr>
          <w:rFonts w:hint="eastAsia" w:ascii="仿宋_GB2312" w:hAnsi="宋体"/>
          <w:lang w:val="en-US" w:eastAsia="zh-CN"/>
        </w:rPr>
        <w:t>运转项目按要求受益学生不低于100人，设置活动个数不少于5个，配备辅导员不低于6人；设置功能室不少于6个，活动场所面积不少于150平方米；资金管理使用规范有效；学生综合素质明显提升，形成家庭、社会、学校三结合的教育氛围；学校教育教学质量稳步提升，师生 关系和谐融洽，学生文明素养明显提升；家长、学生、社会满意度分别达到90%以上。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cs="Times New Roman"/>
          <w:szCs w:val="32"/>
          <w:lang w:eastAsia="zh-CN"/>
        </w:rPr>
      </w:pPr>
      <w:r>
        <w:rPr>
          <w:rFonts w:eastAsia="仿宋_GB2312" w:cs="Times New Roman"/>
          <w:szCs w:val="32"/>
        </w:rPr>
        <w:t>通过</w:t>
      </w:r>
      <w:r>
        <w:rPr>
          <w:rFonts w:hint="eastAsia" w:cs="Times New Roman"/>
          <w:szCs w:val="32"/>
          <w:lang w:eastAsia="zh-CN"/>
        </w:rPr>
        <w:t>项目</w:t>
      </w:r>
      <w:r>
        <w:rPr>
          <w:rFonts w:hint="eastAsia" w:eastAsia="仿宋_GB2312" w:cs="Times New Roman"/>
          <w:szCs w:val="32"/>
        </w:rPr>
        <w:t>绩效</w:t>
      </w:r>
      <w:r>
        <w:rPr>
          <w:rFonts w:hint="eastAsia" w:cs="Times New Roman"/>
          <w:szCs w:val="32"/>
          <w:lang w:eastAsia="zh-CN"/>
        </w:rPr>
        <w:t>自评要实现的目的。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eastAsia="仿宋_GB2312" w:cs="Times New Roman"/>
          <w:szCs w:val="32"/>
          <w:lang w:val="en-US"/>
        </w:rPr>
      </w:pPr>
      <w:r>
        <w:rPr>
          <w:rFonts w:hint="eastAsia" w:ascii="Times New Roman" w:hAnsi="Times New Roman" w:cs="Times New Roman"/>
          <w:color w:val="000000"/>
          <w:kern w:val="0"/>
          <w:szCs w:val="32"/>
          <w:highlight w:val="none"/>
          <w:shd w:val="clear" w:color="auto" w:fill="FFFFFF"/>
          <w:lang w:val="en-US" w:eastAsia="zh-CN"/>
        </w:rPr>
        <w:t>通过绩效评价，可以了解项目的实际进展情况，判断项目是否偏离预定目标，从而及时调整策略。</w:t>
      </w:r>
      <w:r>
        <w:rPr>
          <w:rFonts w:hint="eastAsia" w:cs="Times New Roman"/>
          <w:szCs w:val="32"/>
          <w:lang w:val="en-US" w:eastAsia="zh-CN"/>
        </w:rPr>
        <w:t>促进乡村少年宫在正常开展活动过程中，合理规划资金、合法合规使用资金。</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（二）预设问题及评价重点。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eastAsia="仿宋_GB2312" w:cs="Times New Roman"/>
          <w:szCs w:val="32"/>
          <w:lang w:eastAsia="zh-CN"/>
        </w:rPr>
      </w:pPr>
      <w:r>
        <w:rPr>
          <w:rFonts w:hint="eastAsia" w:eastAsia="仿宋_GB2312" w:cs="Times New Roman"/>
          <w:szCs w:val="32"/>
        </w:rPr>
        <w:t>按照绩效评价指标体系，</w:t>
      </w:r>
      <w:r>
        <w:rPr>
          <w:rFonts w:hint="eastAsia" w:cs="Times New Roman"/>
          <w:szCs w:val="32"/>
          <w:lang w:val="en-US" w:eastAsia="zh-CN"/>
        </w:rPr>
        <w:t>着重查看覆盖学生人数、学生课外活动兴趣等指标</w:t>
      </w:r>
      <w:r>
        <w:rPr>
          <w:rFonts w:hint="eastAsia" w:cs="Times New Roman"/>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cs="Times New Roman"/>
          <w:szCs w:val="32"/>
          <w:lang w:val="zh-CN" w:eastAsia="zh-CN"/>
        </w:rPr>
      </w:pPr>
      <w:r>
        <w:rPr>
          <w:rFonts w:hint="eastAsia" w:cs="Times New Roman"/>
          <w:szCs w:val="32"/>
          <w:lang w:val="zh-CN" w:eastAsia="zh-CN"/>
        </w:rPr>
        <w:t>项目绩效自评抽样</w:t>
      </w:r>
      <w:r>
        <w:rPr>
          <w:rFonts w:hint="eastAsia" w:cs="Times New Roman"/>
          <w:szCs w:val="32"/>
          <w:lang w:val="en-US" w:eastAsia="zh-CN"/>
        </w:rPr>
        <w:t>1个少年宫为样本</w:t>
      </w:r>
      <w:r>
        <w:rPr>
          <w:rFonts w:hint="eastAsia" w:cs="Times New Roman"/>
          <w:szCs w:val="32"/>
          <w:lang w:val="zh-CN" w:eastAsia="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eastAsia="zh-CN"/>
        </w:rPr>
      </w:pPr>
      <w:r>
        <w:rPr>
          <w:rFonts w:eastAsia="仿宋_GB2312" w:cs="Times New Roman"/>
          <w:szCs w:val="32"/>
        </w:rPr>
        <w:t>根据项目情况和评价重点，</w:t>
      </w:r>
      <w:r>
        <w:rPr>
          <w:rFonts w:hint="eastAsia" w:cs="Times New Roman"/>
          <w:szCs w:val="32"/>
          <w:lang w:eastAsia="zh-CN"/>
        </w:rPr>
        <w:t>用来</w:t>
      </w:r>
      <w:r>
        <w:rPr>
          <w:rFonts w:eastAsia="仿宋_GB2312" w:cs="Times New Roman"/>
          <w:szCs w:val="32"/>
        </w:rPr>
        <w:t>收集相关材料和开展具体评价</w:t>
      </w:r>
      <w:r>
        <w:rPr>
          <w:rFonts w:hint="eastAsia" w:cs="Times New Roman"/>
          <w:szCs w:val="32"/>
          <w:lang w:eastAsia="zh-CN"/>
        </w:rPr>
        <w:t>的方法</w:t>
      </w:r>
      <w:r>
        <w:rPr>
          <w:rFonts w:eastAsia="仿宋_GB2312" w:cs="Times New Roman"/>
          <w:szCs w:val="32"/>
        </w:rPr>
        <w:t>。</w:t>
      </w:r>
      <w:r>
        <w:rPr>
          <w:rFonts w:hint="eastAsia" w:cs="Times New Roman"/>
          <w:szCs w:val="32"/>
          <w:lang w:eastAsia="zh-CN"/>
        </w:rPr>
        <w:t>包括：</w:t>
      </w:r>
      <w:r>
        <w:rPr>
          <w:rFonts w:eastAsia="仿宋_GB2312" w:cs="Times New Roman"/>
          <w:szCs w:val="32"/>
        </w:rPr>
        <w:t>案卷研究法、单位自评法、座谈调研法等多种方法</w:t>
      </w:r>
      <w:r>
        <w:rPr>
          <w:rFonts w:hint="eastAsia" w:cs="Times New Roman"/>
          <w:szCs w:val="32"/>
          <w:lang w:eastAsia="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（五）评价组织。</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eastAsia="zh-CN"/>
        </w:rPr>
      </w:pPr>
      <w:r>
        <w:rPr>
          <w:rFonts w:eastAsia="仿宋_GB2312" w:cs="Times New Roman"/>
          <w:szCs w:val="32"/>
        </w:rPr>
        <w:t>评价组人员构成</w:t>
      </w:r>
      <w:r>
        <w:rPr>
          <w:rFonts w:hint="eastAsia" w:cs="Times New Roman"/>
          <w:szCs w:val="32"/>
          <w:lang w:eastAsia="zh-CN"/>
        </w:rPr>
        <w:t>和</w:t>
      </w:r>
      <w:r>
        <w:rPr>
          <w:rFonts w:eastAsia="仿宋_GB2312" w:cs="Times New Roman"/>
          <w:szCs w:val="32"/>
        </w:rPr>
        <w:t>职责分工</w:t>
      </w:r>
      <w:r>
        <w:rPr>
          <w:rFonts w:hint="eastAsia" w:cs="Times New Roman"/>
          <w:szCs w:val="32"/>
          <w:lang w:eastAsia="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szCs w:val="32"/>
          <w:lang w:val="en-US" w:eastAsia="zh-CN"/>
        </w:rPr>
      </w:pPr>
      <w:r>
        <w:rPr>
          <w:rFonts w:hint="eastAsia" w:cs="Times New Roman"/>
          <w:szCs w:val="32"/>
          <w:lang w:val="en-US" w:eastAsia="zh-CN"/>
        </w:rPr>
        <w:t>组  长：胥德平  教育局局长</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szCs w:val="32"/>
          <w:lang w:val="en-US" w:eastAsia="zh-CN"/>
        </w:rPr>
      </w:pPr>
      <w:r>
        <w:rPr>
          <w:rFonts w:hint="eastAsia" w:cs="Times New Roman"/>
          <w:szCs w:val="32"/>
          <w:lang w:val="en-US" w:eastAsia="zh-CN"/>
        </w:rPr>
        <w:t>副组长：唐公建  教育局副局长</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szCs w:val="32"/>
          <w:lang w:val="en-US" w:eastAsia="zh-CN"/>
        </w:rPr>
      </w:pPr>
      <w:r>
        <w:rPr>
          <w:rFonts w:hint="eastAsia" w:cs="Times New Roman"/>
          <w:szCs w:val="32"/>
          <w:lang w:val="en-US" w:eastAsia="zh-CN"/>
        </w:rPr>
        <w:t>组  员：高祎凡  教育局德育股股长</w:t>
      </w:r>
    </w:p>
    <w:p>
      <w:pPr>
        <w:keepNext w:val="0"/>
        <w:keepLines w:val="0"/>
        <w:pageBreakBefore w:val="0"/>
        <w:widowControl w:val="0"/>
        <w:kinsoku/>
        <w:wordWrap/>
        <w:overflowPunct/>
        <w:topLinePunct w:val="0"/>
        <w:autoSpaceDE/>
        <w:autoSpaceDN/>
        <w:bidi w:val="0"/>
        <w:spacing w:line="578" w:lineRule="exact"/>
        <w:ind w:firstLine="1920" w:firstLineChars="600"/>
        <w:textAlignment w:val="auto"/>
        <w:outlineLvl w:val="9"/>
        <w:rPr>
          <w:rFonts w:hint="default" w:cs="Times New Roman"/>
          <w:szCs w:val="32"/>
          <w:lang w:val="en-US" w:eastAsia="zh-CN"/>
        </w:rPr>
      </w:pPr>
      <w:r>
        <w:rPr>
          <w:rFonts w:hint="eastAsia" w:cs="Times New Roman"/>
          <w:szCs w:val="32"/>
          <w:lang w:val="en-US" w:eastAsia="zh-CN"/>
        </w:rPr>
        <w:t>文  福  教育局计财股股长</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eastAsia="zh-CN"/>
        </w:rPr>
        <w:t>项目决策。</w:t>
      </w:r>
      <w:r>
        <w:rPr>
          <w:rFonts w:hint="eastAsia" w:ascii="Times New Roman" w:hAnsi="Times New Roman" w:cs="Times New Roman"/>
          <w:color w:val="auto"/>
          <w:szCs w:val="32"/>
          <w:lang w:eastAsia="zh-CN"/>
        </w:rPr>
        <w:t>围绕决策程序、规划论证、资金投向进行绩效分析。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楷体_GB2312" w:eastAsia="楷体_GB2312" w:cs="楷体_GB2312"/>
          <w:color w:val="auto"/>
          <w:szCs w:val="32"/>
          <w:lang w:val="en-US" w:eastAsia="zh-CN"/>
        </w:rPr>
      </w:pPr>
      <w:r>
        <w:rPr>
          <w:rFonts w:hint="eastAsia" w:cs="Times New Roman"/>
          <w:color w:val="auto"/>
          <w:szCs w:val="32"/>
          <w:lang w:val="en-US" w:eastAsia="zh-CN"/>
        </w:rPr>
        <w:t>(1)</w:t>
      </w:r>
      <w:r>
        <w:rPr>
          <w:rFonts w:hint="eastAsia" w:ascii="Times New Roman" w:hAnsi="Times New Roman" w:cs="Times New Roman"/>
          <w:color w:val="auto"/>
          <w:szCs w:val="32"/>
          <w:lang w:eastAsia="zh-CN"/>
        </w:rPr>
        <w:t>决策程序</w:t>
      </w:r>
      <w:r>
        <w:rPr>
          <w:rFonts w:hint="eastAsia" w:ascii="Times New Roman" w:hAnsi="Times New Roman" w:cs="Times New Roman"/>
          <w:color w:val="auto"/>
          <w:szCs w:val="32"/>
          <w:lang w:val="en-US" w:eastAsia="zh-CN"/>
        </w:rPr>
        <w:t>:</w:t>
      </w:r>
      <w:r>
        <w:rPr>
          <w:rFonts w:hint="eastAsia" w:ascii="楷体_GB2312" w:hAnsi="楷体_GB2312" w:eastAsia="楷体_GB2312" w:cs="楷体_GB2312"/>
          <w:color w:val="auto"/>
          <w:szCs w:val="32"/>
          <w:lang w:val="zh-CN" w:eastAsia="zh-CN"/>
        </w:rPr>
        <w:t>按照国家相关文件规定标准执行，并按照“三重一大”上局务会审批决定。本项得分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楷体_GB2312" w:eastAsia="楷体_GB2312" w:cs="楷体_GB2312"/>
          <w:color w:val="auto"/>
          <w:szCs w:val="32"/>
          <w:lang w:val="en-US" w:eastAsia="zh-CN"/>
        </w:rPr>
      </w:pPr>
      <w:r>
        <w:rPr>
          <w:rFonts w:hint="eastAsia" w:cs="Times New Roman"/>
          <w:color w:val="auto"/>
          <w:szCs w:val="32"/>
          <w:lang w:val="en-US" w:eastAsia="zh-CN"/>
        </w:rPr>
        <w:t>(2)</w:t>
      </w:r>
      <w:r>
        <w:rPr>
          <w:rFonts w:hint="eastAsia" w:ascii="楷体_GB2312" w:hAnsi="楷体_GB2312" w:eastAsia="楷体_GB2312" w:cs="楷体_GB2312"/>
          <w:b w:val="0"/>
          <w:color w:val="auto"/>
          <w:kern w:val="2"/>
          <w:sz w:val="32"/>
          <w:szCs w:val="32"/>
          <w:lang w:val="en-US" w:eastAsia="zh-CN" w:bidi="ar-SA"/>
        </w:rPr>
        <w:t>规划论证：</w:t>
      </w:r>
      <w:r>
        <w:rPr>
          <w:rFonts w:hint="eastAsia" w:ascii="楷体_GB2312" w:hAnsi="楷体_GB2312" w:eastAsia="楷体_GB2312" w:cs="楷体_GB2312"/>
          <w:color w:val="auto"/>
          <w:szCs w:val="32"/>
          <w:lang w:val="zh-CN" w:eastAsia="zh-CN"/>
        </w:rPr>
        <w:t>按照国家相关文件规定标准执行，</w:t>
      </w:r>
      <w:r>
        <w:rPr>
          <w:rFonts w:hint="eastAsia" w:ascii="楷体_GB2312" w:hAnsi="楷体_GB2312" w:eastAsia="楷体_GB2312" w:cs="楷体_GB2312"/>
          <w:color w:val="auto"/>
          <w:szCs w:val="32"/>
          <w:lang w:val="en-US" w:eastAsia="zh-CN"/>
        </w:rPr>
        <w:t>多方论证执行</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cs="Times New Roman"/>
          <w:color w:val="auto"/>
          <w:szCs w:val="32"/>
          <w:lang w:eastAsia="zh-CN"/>
        </w:rPr>
      </w:pPr>
      <w:r>
        <w:rPr>
          <w:rFonts w:hint="eastAsia" w:cs="Times New Roman"/>
          <w:color w:val="auto"/>
          <w:szCs w:val="32"/>
          <w:lang w:val="en-US" w:eastAsia="zh-CN"/>
        </w:rPr>
        <w:t>（3）</w:t>
      </w:r>
      <w:r>
        <w:rPr>
          <w:rFonts w:hint="eastAsia" w:ascii="Times New Roman" w:hAnsi="Times New Roman" w:cs="Times New Roman"/>
          <w:color w:val="auto"/>
          <w:szCs w:val="32"/>
          <w:lang w:eastAsia="zh-CN"/>
        </w:rPr>
        <w:t>资金投向：</w:t>
      </w:r>
      <w:r>
        <w:rPr>
          <w:rFonts w:hint="eastAsia" w:cs="Times New Roman"/>
          <w:color w:val="auto"/>
          <w:szCs w:val="32"/>
          <w:lang w:val="en-US" w:eastAsia="zh-CN"/>
        </w:rPr>
        <w:t>资金</w:t>
      </w:r>
      <w:r>
        <w:rPr>
          <w:rFonts w:hint="eastAsia" w:ascii="仿宋_GB2312" w:hAnsi="宋体"/>
          <w:lang w:val="en-US" w:eastAsia="zh-CN"/>
        </w:rPr>
        <w:t>严格按批复落实的资金及时足额分配到项目学校</w:t>
      </w:r>
      <w:r>
        <w:rPr>
          <w:rFonts w:hint="eastAsia" w:cs="Times New Roman"/>
          <w:color w:val="auto"/>
          <w:szCs w:val="32"/>
          <w:lang w:val="en-US" w:eastAsia="zh-CN"/>
        </w:rPr>
        <w:t>上级下拨金额，每所乡村少年宫1.5万元，用</w:t>
      </w:r>
      <w:r>
        <w:rPr>
          <w:rFonts w:hint="eastAsia" w:ascii="Times New Roman" w:hAnsi="Times New Roman" w:cs="Times New Roman"/>
          <w:color w:val="auto"/>
          <w:szCs w:val="32"/>
          <w:lang w:eastAsia="zh-CN"/>
        </w:rPr>
        <w:t>于</w:t>
      </w:r>
      <w:r>
        <w:rPr>
          <w:rFonts w:hint="eastAsia" w:cs="Times New Roman"/>
          <w:color w:val="auto"/>
          <w:szCs w:val="32"/>
          <w:lang w:val="en-US" w:eastAsia="zh-CN"/>
        </w:rPr>
        <w:t>保障乡村少年宫基本运行。</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val="en-US" w:eastAsia="zh-CN"/>
        </w:rPr>
        <w:t>2.</w:t>
      </w:r>
      <w:r>
        <w:rPr>
          <w:rFonts w:hint="eastAsia" w:ascii="楷体_GB2312" w:hAnsi="楷体_GB2312" w:eastAsia="楷体_GB2312" w:cs="楷体_GB2312"/>
          <w:color w:val="auto"/>
          <w:szCs w:val="32"/>
          <w:lang w:eastAsia="zh-CN"/>
        </w:rPr>
        <w:t>项目管理。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制度办法：乡村少年宫已制定了相关制度办法。</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分配管理：</w:t>
      </w:r>
      <w:r>
        <w:rPr>
          <w:rFonts w:hint="eastAsia" w:cs="Times New Roman"/>
          <w:color w:val="auto"/>
          <w:szCs w:val="32"/>
          <w:lang w:val="en-US" w:eastAsia="zh-CN"/>
        </w:rPr>
        <w:t>资金</w:t>
      </w:r>
      <w:r>
        <w:rPr>
          <w:rFonts w:hint="eastAsia" w:ascii="仿宋_GB2312" w:hAnsi="宋体"/>
          <w:lang w:val="en-US" w:eastAsia="zh-CN"/>
        </w:rPr>
        <w:t>严格按批复落实的资金及时足额分配到项目学校</w:t>
      </w:r>
      <w:r>
        <w:rPr>
          <w:rFonts w:hint="eastAsia" w:cs="Times New Roman"/>
          <w:color w:val="auto"/>
          <w:szCs w:val="32"/>
          <w:lang w:val="en-US" w:eastAsia="zh-CN"/>
        </w:rPr>
        <w:t>上级下拨金额，每所乡村少年宫1.5万元，用</w:t>
      </w:r>
      <w:r>
        <w:rPr>
          <w:rFonts w:hint="eastAsia" w:ascii="Times New Roman" w:hAnsi="Times New Roman" w:cs="Times New Roman"/>
          <w:color w:val="auto"/>
          <w:szCs w:val="32"/>
          <w:lang w:eastAsia="zh-CN"/>
        </w:rPr>
        <w:t>于</w:t>
      </w:r>
      <w:r>
        <w:rPr>
          <w:rFonts w:hint="eastAsia" w:cs="Times New Roman"/>
          <w:color w:val="auto"/>
          <w:szCs w:val="32"/>
          <w:lang w:val="en-US" w:eastAsia="zh-CN"/>
        </w:rPr>
        <w:t>保障乡村少年宫基本运行</w:t>
      </w:r>
      <w:r>
        <w:rPr>
          <w:rFonts w:hint="eastAsia" w:ascii="Times New Roman" w:hAnsi="Times New Roman" w:cs="Times New Roman"/>
          <w:color w:val="000000"/>
          <w:kern w:val="0"/>
          <w:szCs w:val="32"/>
          <w:highlight w:val="none"/>
          <w:shd w:val="clear" w:color="auto" w:fill="FFFFFF"/>
          <w:lang w:val="en-US" w:eastAsia="zh-CN"/>
        </w:rPr>
        <w:t>。</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10分。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楷体_GB2312" w:cs="Times New Roman"/>
          <w:b w:val="0"/>
          <w:color w:val="000000"/>
          <w:kern w:val="0"/>
          <w:sz w:val="32"/>
          <w:szCs w:val="32"/>
          <w:highlight w:val="none"/>
          <w:shd w:val="clear" w:color="auto" w:fill="FFFFFF"/>
          <w:lang w:val="en-US" w:eastAsia="zh-CN" w:bidi="ar-SA"/>
        </w:rPr>
      </w:pPr>
      <w:r>
        <w:rPr>
          <w:rFonts w:hint="eastAsia" w:ascii="Times New Roman" w:hAnsi="Times New Roman" w:cs="Times New Roman"/>
          <w:color w:val="000000"/>
          <w:kern w:val="0"/>
          <w:szCs w:val="32"/>
          <w:highlight w:val="none"/>
          <w:shd w:val="clear" w:color="auto" w:fill="FFFFFF"/>
          <w:lang w:val="en-US" w:eastAsia="zh-CN"/>
        </w:rPr>
        <w:t>绩效监管：本单位绩效监管尚待完善，单位管理层对绩效监管认识程度不够，对项目绩效监管开展不足。本项得分4分。</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项目实施。</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预算</w:t>
      </w:r>
      <w:r>
        <w:rPr>
          <w:rFonts w:hint="eastAsia" w:ascii="Times New Roman" w:hAnsi="Times New Roman" w:cs="Times New Roman"/>
          <w:color w:val="000000"/>
          <w:kern w:val="0"/>
          <w:szCs w:val="32"/>
          <w:highlight w:val="none"/>
          <w:shd w:val="clear" w:color="auto" w:fill="FFFFFF"/>
          <w:lang w:val="zh-CN" w:eastAsia="zh-CN"/>
        </w:rPr>
        <w:t>执行：</w:t>
      </w:r>
      <w:r>
        <w:rPr>
          <w:rFonts w:hint="eastAsia" w:ascii="Times New Roman" w:hAnsi="Times New Roman" w:cs="Times New Roman"/>
          <w:color w:val="000000"/>
          <w:kern w:val="0"/>
          <w:szCs w:val="32"/>
          <w:highlight w:val="none"/>
          <w:shd w:val="clear" w:color="auto" w:fill="FFFFFF"/>
          <w:lang w:val="en-US" w:eastAsia="zh-CN"/>
        </w:rPr>
        <w:t>2023年</w:t>
      </w:r>
      <w:r>
        <w:rPr>
          <w:rFonts w:hint="eastAsia" w:ascii="Times New Roman" w:hAnsi="Times New Roman" w:cs="Times New Roman"/>
          <w:color w:val="000000"/>
          <w:kern w:val="0"/>
          <w:szCs w:val="32"/>
          <w:highlight w:val="none"/>
          <w:shd w:val="clear" w:color="auto" w:fill="FFFFFF"/>
          <w:lang w:val="zh-CN" w:eastAsia="zh-CN"/>
        </w:rPr>
        <w:t>预算</w:t>
      </w:r>
      <w:r>
        <w:rPr>
          <w:rFonts w:hint="eastAsia" w:ascii="Times New Roman" w:hAnsi="Times New Roman" w:cs="Times New Roman"/>
          <w:color w:val="000000"/>
          <w:kern w:val="0"/>
          <w:szCs w:val="32"/>
          <w:highlight w:val="none"/>
          <w:shd w:val="clear" w:color="auto" w:fill="FFFFFF"/>
          <w:lang w:val="en-US" w:eastAsia="zh-CN"/>
        </w:rPr>
        <w:t>15万元，预算执行14.99万元。调整预算金额较大的原因：年初预算只包含县级财政资金，未包括上级补助专项资金。</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资金使用：2023年使用14.99万元，均符</w:t>
      </w:r>
      <w:r>
        <w:rPr>
          <w:rFonts w:hint="default" w:cs="Times New Roman"/>
          <w:color w:val="000000"/>
          <w:kern w:val="0"/>
          <w:szCs w:val="32"/>
          <w:highlight w:val="none"/>
          <w:shd w:val="clear" w:color="auto" w:fill="FFFFFF"/>
          <w:lang w:eastAsia="zh-CN"/>
        </w:rPr>
        <w:t>合</w:t>
      </w:r>
      <w:r>
        <w:rPr>
          <w:rFonts w:hint="eastAsia" w:ascii="Times New Roman" w:hAnsi="Times New Roman" w:cs="Times New Roman"/>
          <w:color w:val="000000"/>
          <w:kern w:val="0"/>
          <w:szCs w:val="32"/>
          <w:highlight w:val="none"/>
          <w:shd w:val="clear" w:color="auto" w:fill="FFFFFF"/>
          <w:lang w:val="en-US" w:eastAsia="zh-CN"/>
        </w:rPr>
        <w:t>国家政策规定，无虚报冒领现象，不存在</w:t>
      </w:r>
      <w:r>
        <w:rPr>
          <w:rFonts w:hint="eastAsia" w:cs="Times New Roman"/>
          <w:color w:val="000000"/>
          <w:kern w:val="0"/>
          <w:szCs w:val="32"/>
          <w:highlight w:val="none"/>
          <w:shd w:val="clear" w:color="auto" w:fill="FFFFFF"/>
          <w:lang w:val="zh-CN" w:eastAsia="zh-CN"/>
        </w:rPr>
        <w:t>长期沉淀、截留、挤占、挪用、虚列支出等情况。</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3分。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0" w:firstLineChars="0"/>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en-US" w:eastAsia="zh-CN"/>
        </w:rPr>
        <w:t>项目结果。</w:t>
      </w:r>
      <w:r>
        <w:rPr>
          <w:rFonts w:hint="eastAsia" w:ascii="Times New Roman" w:hAnsi="Times New Roman" w:cs="Times New Roman"/>
          <w:color w:val="auto"/>
          <w:szCs w:val="32"/>
          <w:lang w:val="en-US" w:eastAsia="zh-CN"/>
        </w:rPr>
        <w:t>围绕</w:t>
      </w:r>
      <w:r>
        <w:rPr>
          <w:rFonts w:hint="eastAsia" w:ascii="Times New Roman" w:hAnsi="Times New Roman" w:cs="Times New Roman"/>
          <w:color w:val="auto"/>
          <w:szCs w:val="32"/>
          <w:lang w:eastAsia="zh-CN"/>
        </w:rPr>
        <w:t>目标完成、完成时效进行绩效分析。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目标完成：2023年乡村少年宫项目</w:t>
      </w:r>
      <w:r>
        <w:rPr>
          <w:rFonts w:hint="eastAsia" w:ascii="Times New Roman" w:hAnsi="Times New Roman" w:cs="Times New Roman"/>
          <w:color w:val="000000"/>
          <w:kern w:val="0"/>
          <w:szCs w:val="32"/>
          <w:highlight w:val="none"/>
          <w:shd w:val="clear" w:color="auto" w:fill="FFFFFF"/>
          <w:lang w:val="zh-CN" w:eastAsia="zh-CN"/>
        </w:rPr>
        <w:t>已按照目标设置完成任务。</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Times New Roman" w:hAnsi="Times New Roman" w:cs="Times New Roman"/>
          <w:color w:val="000000"/>
          <w:kern w:val="0"/>
          <w:szCs w:val="32"/>
          <w:highlight w:val="none"/>
          <w:shd w:val="clear" w:color="auto" w:fill="FFFFFF"/>
          <w:lang w:val="en-US" w:eastAsia="zh-CN"/>
        </w:rPr>
        <w:t>完成时效：2023年乡村少年宫项目</w:t>
      </w:r>
      <w:r>
        <w:rPr>
          <w:rFonts w:hint="eastAsia" w:ascii="Times New Roman" w:hAnsi="Times New Roman" w:cs="Times New Roman"/>
          <w:color w:val="000000"/>
          <w:kern w:val="0"/>
          <w:szCs w:val="32"/>
          <w:highlight w:val="none"/>
          <w:shd w:val="clear" w:color="auto" w:fill="FFFFFF"/>
          <w:lang w:val="zh-CN" w:eastAsia="zh-CN"/>
        </w:rPr>
        <w:t>已在当年完成任务。</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3分。</w:t>
      </w:r>
    </w:p>
    <w:p>
      <w:pPr>
        <w:pStyle w:val="2"/>
        <w:rPr>
          <w:rFonts w:hint="eastAsia" w:cs="Times New Roman"/>
          <w:color w:val="auto"/>
          <w:szCs w:val="32"/>
          <w:lang w:val="en-US" w:eastAsia="zh-CN"/>
        </w:rPr>
      </w:pPr>
      <w:r>
        <w:rPr>
          <w:rFonts w:hint="eastAsia" w:ascii="楷体_GB2312" w:hAnsi="楷体_GB2312" w:eastAsia="楷体_GB2312" w:cs="楷体_GB2312"/>
          <w:color w:val="auto"/>
          <w:szCs w:val="32"/>
          <w:lang w:val="en-US" w:eastAsia="zh-CN"/>
        </w:rPr>
        <w:t>通用指标共计得分52分。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Times New Roman" w:hAnsi="Times New Roman" w:cs="Times New Roman"/>
          <w:color w:val="auto"/>
          <w:szCs w:val="32"/>
          <w:lang w:val="zh-CN" w:eastAsia="zh-CN"/>
        </w:rPr>
        <w:t>根据</w:t>
      </w:r>
      <w:r>
        <w:rPr>
          <w:rFonts w:hint="eastAsia" w:ascii="Times New Roman" w:hAnsi="Times New Roman" w:cs="Times New Roman"/>
          <w:color w:val="auto"/>
          <w:szCs w:val="32"/>
          <w:lang w:val="en-US" w:eastAsia="zh-CN"/>
        </w:rPr>
        <w:t>专项预算项目</w:t>
      </w:r>
      <w:r>
        <w:rPr>
          <w:rFonts w:hint="eastAsia" w:cs="Times New Roman"/>
          <w:color w:val="auto"/>
          <w:szCs w:val="32"/>
          <w:lang w:val="en-US" w:eastAsia="zh-CN"/>
        </w:rPr>
        <w:t>资金支持对象</w:t>
      </w:r>
      <w:r>
        <w:rPr>
          <w:rFonts w:hint="eastAsia" w:ascii="Times New Roman" w:hAnsi="Times New Roman" w:cs="Times New Roman"/>
          <w:color w:val="auto"/>
          <w:szCs w:val="32"/>
          <w:lang w:val="en-US" w:eastAsia="zh-CN"/>
        </w:rPr>
        <w:t>选择所属指标进行绩效分析。</w:t>
      </w:r>
      <w:r>
        <w:rPr>
          <w:rFonts w:hint="eastAsia" w:cs="Times New Roman"/>
          <w:color w:val="auto"/>
          <w:szCs w:val="32"/>
          <w:lang w:val="en-US" w:eastAsia="zh-CN"/>
        </w:rPr>
        <w:t>支持对象</w:t>
      </w:r>
      <w:r>
        <w:rPr>
          <w:rFonts w:hint="eastAsia" w:ascii="Times New Roman" w:hAnsi="Times New Roman" w:cs="Times New Roman"/>
          <w:color w:val="auto"/>
          <w:szCs w:val="32"/>
          <w:lang w:val="zh-CN" w:eastAsia="zh-CN"/>
        </w:rPr>
        <w:t>包括产业发展、民生保障、基础设施、行政运转等方面。</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1.产业发展。</w:t>
      </w:r>
      <w:r>
        <w:rPr>
          <w:rFonts w:hint="eastAsia" w:ascii="Times New Roman" w:hAnsi="Times New Roman" w:cs="Times New Roman"/>
          <w:color w:val="auto"/>
          <w:szCs w:val="32"/>
          <w:lang w:eastAsia="zh-CN"/>
        </w:rPr>
        <w:t>围绕</w:t>
      </w:r>
      <w:r>
        <w:rPr>
          <w:rFonts w:hint="eastAsia" w:cs="Times New Roman"/>
          <w:color w:val="auto"/>
          <w:szCs w:val="32"/>
          <w:lang w:eastAsia="zh-CN"/>
        </w:rPr>
        <w:t>符合性、成长性、经济性进行绩效分析。本单位</w:t>
      </w:r>
      <w:r>
        <w:rPr>
          <w:rFonts w:hint="eastAsia" w:cs="Times New Roman"/>
          <w:color w:val="auto"/>
          <w:szCs w:val="32"/>
          <w:lang w:val="en-US" w:eastAsia="zh-CN"/>
        </w:rPr>
        <w:t>2023年乡村少年宫项目不涉及此项。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eastAsia="zh-CN"/>
        </w:rPr>
      </w:pPr>
      <w:r>
        <w:rPr>
          <w:rFonts w:hint="eastAsia" w:ascii="楷体_GB2312" w:hAnsi="楷体_GB2312" w:eastAsia="楷体_GB2312" w:cs="楷体_GB2312"/>
          <w:color w:val="auto"/>
          <w:szCs w:val="32"/>
          <w:lang w:val="en-US" w:eastAsia="zh-CN"/>
        </w:rPr>
        <w:t>2.</w:t>
      </w:r>
      <w:r>
        <w:rPr>
          <w:rFonts w:hint="eastAsia" w:ascii="楷体_GB2312" w:hAnsi="楷体_GB2312" w:eastAsia="楷体_GB2312" w:cs="楷体_GB2312"/>
          <w:color w:val="auto"/>
          <w:szCs w:val="32"/>
          <w:lang w:val="zh-CN" w:eastAsia="zh-CN"/>
        </w:rPr>
        <w:t>民生保障。</w:t>
      </w:r>
      <w:r>
        <w:rPr>
          <w:rFonts w:hint="eastAsia" w:ascii="Times New Roman" w:hAnsi="Times New Roman" w:cs="Times New Roman"/>
          <w:color w:val="auto"/>
          <w:szCs w:val="32"/>
          <w:lang w:eastAsia="zh-CN"/>
        </w:rPr>
        <w:t>围绕</w:t>
      </w:r>
      <w:r>
        <w:rPr>
          <w:rFonts w:hint="eastAsia" w:cs="Times New Roman"/>
          <w:color w:val="auto"/>
          <w:szCs w:val="32"/>
          <w:lang w:eastAsia="zh-CN"/>
        </w:rPr>
        <w:t>区域均衡性、对象精准性、标准合理性、群众满意度进行绩效分析。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（1）区域均衡性：2023年乡村少年宫项目资金按标准及时落实到各校。</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cs="Times New Roman"/>
          <w:color w:val="auto"/>
          <w:szCs w:val="32"/>
          <w:lang w:eastAsia="zh-CN"/>
        </w:rPr>
        <w:t>（</w:t>
      </w:r>
      <w:r>
        <w:rPr>
          <w:rFonts w:hint="eastAsia" w:cs="Times New Roman"/>
          <w:color w:val="auto"/>
          <w:szCs w:val="32"/>
          <w:lang w:val="en-US" w:eastAsia="zh-CN"/>
        </w:rPr>
        <w:t>2）</w:t>
      </w:r>
      <w:r>
        <w:rPr>
          <w:rFonts w:hint="eastAsia" w:cs="Times New Roman"/>
          <w:color w:val="auto"/>
          <w:szCs w:val="32"/>
          <w:lang w:eastAsia="zh-CN"/>
        </w:rPr>
        <w:t>对象精准性：</w:t>
      </w:r>
      <w:r>
        <w:rPr>
          <w:rFonts w:hint="eastAsia" w:ascii="Times New Roman" w:hAnsi="Times New Roman" w:cs="Times New Roman"/>
          <w:color w:val="000000"/>
          <w:kern w:val="0"/>
          <w:szCs w:val="32"/>
          <w:highlight w:val="none"/>
          <w:shd w:val="clear" w:color="auto" w:fill="FFFFFF"/>
          <w:lang w:val="en-US" w:eastAsia="zh-CN"/>
        </w:rPr>
        <w:t>2023年乡村少年宫项目实施对象精准，</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cs="Times New Roman"/>
          <w:color w:val="auto"/>
          <w:szCs w:val="32"/>
          <w:lang w:eastAsia="zh-CN"/>
        </w:rPr>
        <w:t>（</w:t>
      </w:r>
      <w:r>
        <w:rPr>
          <w:rFonts w:hint="eastAsia" w:cs="Times New Roman"/>
          <w:color w:val="auto"/>
          <w:szCs w:val="32"/>
          <w:lang w:val="en-US" w:eastAsia="zh-CN"/>
        </w:rPr>
        <w:t>3）</w:t>
      </w:r>
      <w:r>
        <w:rPr>
          <w:rFonts w:hint="eastAsia" w:cs="Times New Roman"/>
          <w:color w:val="auto"/>
          <w:szCs w:val="32"/>
          <w:lang w:eastAsia="zh-CN"/>
        </w:rPr>
        <w:t>标准合理性：</w:t>
      </w:r>
      <w:r>
        <w:rPr>
          <w:rFonts w:hint="eastAsia" w:cs="Times New Roman"/>
          <w:color w:val="auto"/>
          <w:szCs w:val="32"/>
          <w:lang w:val="en-US" w:eastAsia="zh-CN"/>
        </w:rPr>
        <w:t>乡村少年宫管理运行符合标准</w:t>
      </w:r>
      <w:r>
        <w:rPr>
          <w:rFonts w:hint="eastAsia" w:cs="Times New Roman"/>
          <w:color w:val="auto"/>
          <w:szCs w:val="32"/>
          <w:lang w:eastAsia="zh-CN"/>
        </w:rPr>
        <w:t>。</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5分。</w:t>
      </w:r>
    </w:p>
    <w:p>
      <w:pPr>
        <w:pStyle w:val="2"/>
        <w:rPr>
          <w:rFonts w:hint="eastAsia" w:ascii="Times New Roman" w:hAnsi="Times New Roman" w:cs="Times New Roman"/>
          <w:color w:val="000000"/>
          <w:kern w:val="0"/>
          <w:szCs w:val="32"/>
          <w:highlight w:val="none"/>
          <w:shd w:val="clear" w:color="auto" w:fill="FFFFFF"/>
          <w:lang w:val="en-US" w:eastAsia="zh-CN"/>
        </w:rPr>
      </w:pPr>
      <w:r>
        <w:rPr>
          <w:rFonts w:hint="eastAsia" w:cs="Times New Roman"/>
          <w:color w:val="auto"/>
          <w:szCs w:val="32"/>
          <w:lang w:eastAsia="zh-CN"/>
        </w:rPr>
        <w:t>（</w:t>
      </w:r>
      <w:r>
        <w:rPr>
          <w:rFonts w:hint="eastAsia" w:cs="Times New Roman"/>
          <w:color w:val="auto"/>
          <w:szCs w:val="32"/>
          <w:lang w:val="en-US" w:eastAsia="zh-CN"/>
        </w:rPr>
        <w:t>4）</w:t>
      </w:r>
      <w:r>
        <w:rPr>
          <w:rFonts w:hint="eastAsia" w:cs="Times New Roman"/>
          <w:color w:val="auto"/>
          <w:szCs w:val="32"/>
          <w:lang w:eastAsia="zh-CN"/>
        </w:rPr>
        <w:t>群众满意度：</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5分</w:t>
      </w:r>
    </w:p>
    <w:p>
      <w:pPr>
        <w:rPr>
          <w:rFonts w:hint="eastAsia"/>
          <w:lang w:val="en-US" w:eastAsia="zh-CN"/>
        </w:rPr>
      </w:pPr>
      <w:r>
        <w:rPr>
          <w:rFonts w:hint="eastAsia"/>
          <w:lang w:val="en-US" w:eastAsia="zh-CN"/>
        </w:rPr>
        <w:t>专用指标共计得分30分。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eastAsia="zh-CN"/>
        </w:rPr>
      </w:pPr>
      <w:r>
        <w:rPr>
          <w:rFonts w:hint="eastAsia" w:ascii="楷体_GB2312" w:hAnsi="楷体_GB2312" w:eastAsia="楷体_GB2312" w:cs="楷体_GB2312"/>
          <w:color w:val="auto"/>
          <w:szCs w:val="32"/>
          <w:lang w:val="en-US" w:eastAsia="zh-CN"/>
        </w:rPr>
        <w:t>3.基础设施。</w:t>
      </w:r>
      <w:r>
        <w:rPr>
          <w:rFonts w:hint="eastAsia" w:cs="Times New Roman"/>
          <w:color w:val="auto"/>
          <w:szCs w:val="32"/>
          <w:lang w:eastAsia="zh-CN"/>
        </w:rPr>
        <w:t>在建项目</w:t>
      </w:r>
      <w:r>
        <w:rPr>
          <w:rFonts w:hint="eastAsia" w:ascii="Times New Roman" w:hAnsi="Times New Roman" w:cs="Times New Roman"/>
          <w:color w:val="auto"/>
          <w:szCs w:val="32"/>
          <w:lang w:eastAsia="zh-CN"/>
        </w:rPr>
        <w:t>围绕</w:t>
      </w:r>
      <w:r>
        <w:rPr>
          <w:rFonts w:hint="eastAsia" w:cs="Times New Roman"/>
          <w:color w:val="auto"/>
          <w:szCs w:val="32"/>
          <w:lang w:eastAsia="zh-CN"/>
        </w:rPr>
        <w:t>工程进度和资金拨付进行绩效分析；建成项目围绕项目验收、功能实现、后续管护进行绩效分析。</w:t>
      </w:r>
    </w:p>
    <w:p>
      <w:pPr>
        <w:pStyle w:val="2"/>
        <w:rPr>
          <w:rFonts w:hint="eastAsia"/>
          <w:lang w:val="en-US" w:eastAsia="zh-CN"/>
        </w:rPr>
      </w:pPr>
      <w:r>
        <w:rPr>
          <w:rFonts w:hint="eastAsia" w:cs="Times New Roman"/>
          <w:color w:val="auto"/>
          <w:szCs w:val="32"/>
          <w:lang w:eastAsia="zh-CN"/>
        </w:rPr>
        <w:t>本单位</w:t>
      </w:r>
      <w:r>
        <w:rPr>
          <w:rFonts w:hint="eastAsia" w:cs="Times New Roman"/>
          <w:color w:val="auto"/>
          <w:szCs w:val="32"/>
          <w:lang w:val="en-US" w:eastAsia="zh-CN"/>
        </w:rPr>
        <w:t>2023年乡村少年宫项目不涉及此项。</w:t>
      </w:r>
    </w:p>
    <w:p>
      <w:pPr>
        <w:ind w:firstLine="640" w:firstLineChars="200"/>
        <w:rPr>
          <w:rFonts w:hint="eastAsia"/>
          <w:lang w:val="zh-CN" w:eastAsia="zh-CN"/>
        </w:rPr>
      </w:pPr>
      <w:r>
        <w:rPr>
          <w:rFonts w:hint="eastAsia" w:ascii="楷体_GB2312" w:hAnsi="楷体_GB2312" w:eastAsia="楷体_GB2312" w:cs="楷体_GB2312"/>
          <w:color w:val="auto"/>
          <w:szCs w:val="32"/>
          <w:lang w:val="en-US" w:eastAsia="zh-CN"/>
        </w:rPr>
        <w:t>4.</w:t>
      </w:r>
      <w:r>
        <w:rPr>
          <w:rFonts w:hint="eastAsia" w:ascii="楷体_GB2312" w:hAnsi="楷体_GB2312" w:eastAsia="楷体_GB2312" w:cs="楷体_GB2312"/>
          <w:color w:val="auto"/>
          <w:szCs w:val="32"/>
          <w:lang w:val="zh-CN" w:eastAsia="zh-CN"/>
        </w:rPr>
        <w:t>行政运转。</w:t>
      </w:r>
      <w:r>
        <w:rPr>
          <w:rFonts w:hint="eastAsia"/>
          <w:lang w:val="zh-CN" w:eastAsia="zh-CN"/>
        </w:rPr>
        <w:t>围绕用途合规性、程序合规性、标准合规性进行绩效分析。</w:t>
      </w:r>
    </w:p>
    <w:p>
      <w:pPr>
        <w:ind w:firstLine="640" w:firstLineChars="200"/>
        <w:rPr>
          <w:rFonts w:hint="default"/>
          <w:lang w:val="en-US" w:eastAsia="zh-CN"/>
        </w:rPr>
      </w:pPr>
      <w:r>
        <w:rPr>
          <w:rFonts w:hint="eastAsia"/>
          <w:lang w:eastAsia="zh-CN"/>
        </w:rPr>
        <w:t>本单位</w:t>
      </w:r>
      <w:r>
        <w:rPr>
          <w:rFonts w:hint="eastAsia"/>
          <w:lang w:val="en-US" w:eastAsia="zh-CN"/>
        </w:rPr>
        <w:t>2023年所有乡村少年宫项目在上级项</w:t>
      </w:r>
      <w:r>
        <w:rPr>
          <w:rFonts w:hint="default"/>
          <w:lang w:eastAsia="zh-CN"/>
        </w:rPr>
        <w:t>目主</w:t>
      </w:r>
      <w:r>
        <w:rPr>
          <w:rFonts w:hint="eastAsia"/>
          <w:lang w:val="en-US" w:eastAsia="zh-CN"/>
        </w:rPr>
        <w:t>管部门的指导下，按乡村少年宫管理办法正常运行。</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楷体_GB2312" w:hAnsi="宋体" w:eastAsia="楷体_GB2312" w:cs="Times New Roman"/>
          <w:b/>
          <w:color w:val="auto"/>
          <w:sz w:val="32"/>
          <w:szCs w:val="32"/>
          <w:highlight w:val="none"/>
          <w:u w:val="none"/>
          <w:lang w:val="zh-CN" w:eastAsia="zh-CN"/>
        </w:rPr>
        <w:t>根据项目个性自行设定部分指标，反映该项指标执行完成情况。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rPr>
      </w:pPr>
      <w:r>
        <w:rPr>
          <w:rFonts w:hint="eastAsia" w:ascii="Times New Roman" w:hAnsi="Times New Roman" w:cs="Times New Roman"/>
          <w:color w:val="000000"/>
          <w:kern w:val="0"/>
          <w:szCs w:val="32"/>
          <w:highlight w:val="none"/>
          <w:shd w:val="clear" w:color="auto" w:fill="FFFFFF"/>
          <w:lang w:val="en-US" w:eastAsia="zh-CN"/>
        </w:rPr>
        <w:t>本单位2023年度乡村少年宫项目设置了二级指标（包括学生综合素质提升、资金及时下拨、覆盖学生人数、教师业务水平提升、学生社会实践能力提升），从各个不同维度对项目执行及评估情况进行细化，绩效目标设置达到了科学合理、规范完整、量化细化、与预算相匹配</w:t>
      </w:r>
    </w:p>
    <w:p>
      <w:pPr>
        <w:pStyle w:val="2"/>
        <w:numPr>
          <w:ilvl w:val="0"/>
          <w:numId w:val="0"/>
        </w:numPr>
        <w:ind w:leftChars="200"/>
        <w:rPr>
          <w:rFonts w:hint="default"/>
          <w:lang w:val="en-US" w:eastAsia="zh-CN"/>
        </w:rPr>
      </w:pPr>
      <w:r>
        <w:rPr>
          <w:rFonts w:hint="eastAsia" w:cs="Times New Roman"/>
          <w:color w:val="auto"/>
          <w:szCs w:val="32"/>
          <w:lang w:eastAsia="zh-CN"/>
        </w:rPr>
        <w:t>本单位</w:t>
      </w:r>
      <w:r>
        <w:rPr>
          <w:rFonts w:hint="eastAsia" w:cs="Times New Roman"/>
          <w:color w:val="auto"/>
          <w:szCs w:val="32"/>
          <w:lang w:val="en-US" w:eastAsia="zh-CN"/>
        </w:rPr>
        <w:t>2023年乡村少年宫项目</w:t>
      </w:r>
      <w:r>
        <w:rPr>
          <w:rFonts w:hint="eastAsia"/>
          <w:lang w:val="en-US" w:eastAsia="zh-CN"/>
        </w:rPr>
        <w:t>个性指标得分13分。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cs="Times New Roman"/>
          <w:color w:val="auto"/>
          <w:szCs w:val="32"/>
          <w:lang w:val="en-US" w:eastAsia="zh-CN"/>
        </w:rPr>
      </w:pPr>
      <w:r>
        <w:rPr>
          <w:rFonts w:hint="eastAsia" w:cs="Times New Roman"/>
          <w:color w:val="auto"/>
          <w:szCs w:val="32"/>
          <w:lang w:val="en-US" w:eastAsia="zh-CN"/>
        </w:rPr>
        <w:t>（一）实现了校内外教育的有机结合。</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cs="Times New Roman"/>
          <w:color w:val="auto"/>
          <w:szCs w:val="32"/>
          <w:lang w:val="en-US" w:eastAsia="zh-CN"/>
        </w:rPr>
      </w:pPr>
      <w:r>
        <w:rPr>
          <w:rFonts w:hint="eastAsia" w:cs="Times New Roman"/>
          <w:color w:val="auto"/>
          <w:szCs w:val="32"/>
          <w:lang w:val="en-US" w:eastAsia="zh-CN"/>
        </w:rPr>
        <w:t>学校以“乡村学校少年宫”为载体，把“乡村学校少年宫”活动列入了教学计划，保证了未成年人每天都能参加课外活动。形成了</w:t>
      </w:r>
      <w:r>
        <w:rPr>
          <w:rFonts w:hint="default" w:cs="Times New Roman"/>
          <w:color w:val="auto"/>
          <w:szCs w:val="32"/>
          <w:lang w:eastAsia="zh-CN"/>
        </w:rPr>
        <w:t>学习</w:t>
      </w:r>
      <w:bookmarkStart w:id="1" w:name="_GoBack"/>
      <w:bookmarkEnd w:id="1"/>
      <w:r>
        <w:rPr>
          <w:rFonts w:hint="eastAsia" w:cs="Times New Roman"/>
          <w:color w:val="auto"/>
          <w:szCs w:val="32"/>
          <w:lang w:val="en-US" w:eastAsia="zh-CN"/>
        </w:rPr>
        <w:t>教育与“乡村学校少年宫”活动紧密衔接，拓展了教育的途径和领域，有效推动了素质教育水平的提高。</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cs="Times New Roman"/>
          <w:color w:val="auto"/>
          <w:szCs w:val="32"/>
          <w:lang w:val="en-US" w:eastAsia="zh-CN"/>
        </w:rPr>
      </w:pPr>
      <w:r>
        <w:rPr>
          <w:rFonts w:hint="eastAsia" w:cs="Times New Roman"/>
          <w:color w:val="auto"/>
          <w:szCs w:val="32"/>
          <w:lang w:val="en-US" w:eastAsia="zh-CN"/>
        </w:rPr>
        <w:t>（二）学生综合素质明显提高。</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cs="Times New Roman"/>
          <w:color w:val="auto"/>
          <w:szCs w:val="32"/>
          <w:lang w:val="en-US" w:eastAsia="zh-CN"/>
        </w:rPr>
      </w:pPr>
      <w:r>
        <w:rPr>
          <w:rFonts w:hint="eastAsia" w:cs="Times New Roman"/>
          <w:color w:val="auto"/>
          <w:szCs w:val="32"/>
          <w:lang w:val="en-US" w:eastAsia="zh-CN"/>
        </w:rPr>
        <w:t>“乡村学校少年宫”活动促进了未成年人综合素质的提升，未成年人懂得感恩父母，体谅他人，学到了课本以外的知识技能，社会实践能力得到进一步提高。未成年人从个人兴趣出发参加兴趣小组的活动，培养了初步的特长，促进了全面发展。通过参加脑思维训练活动，开发了智力，促进了学习成绩的提高。</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cs="Times New Roman"/>
          <w:color w:val="auto"/>
          <w:szCs w:val="32"/>
          <w:lang w:val="en-US" w:eastAsia="zh-CN"/>
        </w:rPr>
      </w:pPr>
      <w:r>
        <w:rPr>
          <w:rFonts w:hint="eastAsia" w:cs="Times New Roman"/>
          <w:color w:val="auto"/>
          <w:szCs w:val="32"/>
          <w:lang w:val="en-US" w:eastAsia="zh-CN"/>
        </w:rPr>
        <w:t>（三）丰富了学生的课余生活。</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cs="Times New Roman"/>
          <w:color w:val="auto"/>
          <w:szCs w:val="32"/>
          <w:lang w:val="en-US" w:eastAsia="zh-CN"/>
        </w:rPr>
      </w:pPr>
      <w:r>
        <w:rPr>
          <w:rFonts w:hint="eastAsia" w:cs="Times New Roman"/>
          <w:color w:val="auto"/>
          <w:szCs w:val="32"/>
          <w:lang w:val="en-US" w:eastAsia="zh-CN"/>
        </w:rPr>
        <w:t>未成年人在快乐高效的课堂上学习知识，在丰富多彩的课外活动中陶冶身心。</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专项预算项目绩效自评总体结论，包含评价总分95分</w:t>
      </w:r>
      <w:r>
        <w:rPr>
          <w:rFonts w:hint="eastAsia" w:ascii="仿宋_GB2312" w:hAnsi="仿宋_GB2312" w:eastAsia="仿宋_GB2312" w:cs="仿宋_GB2312"/>
          <w:b w:val="0"/>
          <w:bCs w:val="0"/>
          <w:sz w:val="32"/>
          <w:szCs w:val="32"/>
          <w:highlight w:val="none"/>
          <w:lang w:val="zh-CN"/>
        </w:rPr>
        <w:t>。</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乡村少年宫开展的课外活动种类少，形式比较单一，学生的社会综合实践能力及综合素质提升不明显。</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ind w:firstLine="640" w:firstLineChars="200"/>
        <w:outlineLvl w:val="0"/>
        <w:rPr>
          <w:rFonts w:ascii="仿宋_GB2312"/>
          <w:szCs w:val="32"/>
        </w:rPr>
      </w:pPr>
      <w:r>
        <w:rPr>
          <w:rFonts w:hint="eastAsia" w:ascii="仿宋_GB2312"/>
          <w:szCs w:val="32"/>
          <w:lang w:eastAsia="zh-CN"/>
        </w:rPr>
        <w:t>（</w:t>
      </w:r>
      <w:r>
        <w:rPr>
          <w:rFonts w:hint="eastAsia" w:ascii="仿宋_GB2312"/>
          <w:szCs w:val="32"/>
          <w:lang w:val="en-US" w:eastAsia="zh-CN"/>
        </w:rPr>
        <w:t>一</w:t>
      </w:r>
      <w:r>
        <w:rPr>
          <w:rFonts w:hint="eastAsia" w:ascii="仿宋_GB2312"/>
          <w:szCs w:val="32"/>
          <w:lang w:eastAsia="zh-CN"/>
        </w:rPr>
        <w:t>）</w:t>
      </w:r>
      <w:r>
        <w:rPr>
          <w:rFonts w:hint="eastAsia" w:ascii="仿宋_GB2312"/>
          <w:szCs w:val="32"/>
        </w:rPr>
        <w:t>乡村学校少年宫辅导员教师队伍建设还需加强。少年宫辅导员由学校教师兼任，有特长的教师不多，制约着学校少年宫活动项目的拓展和活动内容的丰富。</w:t>
      </w:r>
    </w:p>
    <w:p>
      <w:pPr>
        <w:ind w:firstLine="640" w:firstLineChars="200"/>
        <w:outlineLvl w:val="0"/>
        <w:rPr>
          <w:rFonts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乡村学校少年宫是在学校教室的基础上改建的，活动场地窄等因素，使得少年宫活动难以达到较高水平。</w:t>
      </w:r>
    </w:p>
    <w:p>
      <w:pPr>
        <w:pStyle w:val="3"/>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（三）积极将黑水县本土阿尔麦多声部民歌、卡斯达温舞和圈德迪等非遗文化纳入到少年宫活动中，既能丰富活动内容，也能培养学生家国情怀，让本土文化得到传承。</w:t>
      </w:r>
      <w:bookmarkStart w:id="0" w:name="_Hlk110546638"/>
    </w:p>
    <w:bookmarkEnd w:id="0"/>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1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黑水县教育局</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95</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中央彩票公益金_乡村少年宫运行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黑水县教育局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维持乡村学校少年宫正常运转。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覆盖乡村少年宫所数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所</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覆盖学生人数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1600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资金及时下拨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学生课外活动兴趣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提升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教师业务水平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提升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可持续发展</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学生心理健康水平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提升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有提升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学生社会实践能力</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增强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有增强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学生满意率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乡村学校少年宫运转经费标准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745A4"/>
    <w:multiLevelType w:val="singleLevel"/>
    <w:tmpl w:val="DFF745A4"/>
    <w:lvl w:ilvl="0" w:tentative="0">
      <w:start w:val="2"/>
      <w:numFmt w:val="decimal"/>
      <w:lvlText w:val="%1."/>
      <w:lvlJc w:val="left"/>
      <w:pPr>
        <w:tabs>
          <w:tab w:val="left" w:pos="312"/>
        </w:tabs>
      </w:pPr>
    </w:lvl>
  </w:abstractNum>
  <w:abstractNum w:abstractNumId="1">
    <w:nsid w:val="F14A61ED"/>
    <w:multiLevelType w:val="singleLevel"/>
    <w:tmpl w:val="F14A61ED"/>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ZWY4MGFmZGY4NTgzYjdiM2U5N2Q0NzUyZjBlNjYifQ=="/>
  </w:docVars>
  <w:rsids>
    <w:rsidRoot w:val="771D4D51"/>
    <w:rsid w:val="005C2B93"/>
    <w:rsid w:val="09FE5D1F"/>
    <w:rsid w:val="0BFA3AD3"/>
    <w:rsid w:val="0C0B171E"/>
    <w:rsid w:val="1080477A"/>
    <w:rsid w:val="11EA74BD"/>
    <w:rsid w:val="132334DC"/>
    <w:rsid w:val="134A76C5"/>
    <w:rsid w:val="1C25106F"/>
    <w:rsid w:val="1C9F5C92"/>
    <w:rsid w:val="1CFD8DF6"/>
    <w:rsid w:val="1F527BD3"/>
    <w:rsid w:val="1FFF9AD9"/>
    <w:rsid w:val="20AC5F2A"/>
    <w:rsid w:val="213C4D67"/>
    <w:rsid w:val="221D5CEA"/>
    <w:rsid w:val="22AD555F"/>
    <w:rsid w:val="250B55F3"/>
    <w:rsid w:val="252D6EAD"/>
    <w:rsid w:val="26CF2DB3"/>
    <w:rsid w:val="26D508DF"/>
    <w:rsid w:val="28F270EE"/>
    <w:rsid w:val="2AF86ED7"/>
    <w:rsid w:val="2AFDF212"/>
    <w:rsid w:val="2B385C88"/>
    <w:rsid w:val="2B6BF484"/>
    <w:rsid w:val="2E026106"/>
    <w:rsid w:val="2FFF7DE7"/>
    <w:rsid w:val="33F748AD"/>
    <w:rsid w:val="35874596"/>
    <w:rsid w:val="35F2A362"/>
    <w:rsid w:val="36EA2AC9"/>
    <w:rsid w:val="371A51D2"/>
    <w:rsid w:val="373BBD0C"/>
    <w:rsid w:val="39BFEDBA"/>
    <w:rsid w:val="39DBABD8"/>
    <w:rsid w:val="3AED12ED"/>
    <w:rsid w:val="3AFF6A5D"/>
    <w:rsid w:val="3BDD34D2"/>
    <w:rsid w:val="3BDDFF97"/>
    <w:rsid w:val="3BFECD95"/>
    <w:rsid w:val="3BFFD43B"/>
    <w:rsid w:val="3C7BD5C9"/>
    <w:rsid w:val="3DCF98C1"/>
    <w:rsid w:val="3EBF4384"/>
    <w:rsid w:val="3FBF9251"/>
    <w:rsid w:val="3FED766E"/>
    <w:rsid w:val="3FFEEAD9"/>
    <w:rsid w:val="3FFFE931"/>
    <w:rsid w:val="457F07F2"/>
    <w:rsid w:val="480949B8"/>
    <w:rsid w:val="49274178"/>
    <w:rsid w:val="4B5F797C"/>
    <w:rsid w:val="4BC728BE"/>
    <w:rsid w:val="4CC6FDBD"/>
    <w:rsid w:val="4E07F45D"/>
    <w:rsid w:val="4FF59AF5"/>
    <w:rsid w:val="503D00E8"/>
    <w:rsid w:val="50B9353C"/>
    <w:rsid w:val="51274060"/>
    <w:rsid w:val="55FE10A2"/>
    <w:rsid w:val="56EF6619"/>
    <w:rsid w:val="57AF1E73"/>
    <w:rsid w:val="58FF5B20"/>
    <w:rsid w:val="59084A64"/>
    <w:rsid w:val="590A5234"/>
    <w:rsid w:val="5AB21C33"/>
    <w:rsid w:val="5B778EC0"/>
    <w:rsid w:val="5BFD93EC"/>
    <w:rsid w:val="5CBA8FF2"/>
    <w:rsid w:val="5D2F0585"/>
    <w:rsid w:val="5D5F7E21"/>
    <w:rsid w:val="5F5B35E4"/>
    <w:rsid w:val="5F751275"/>
    <w:rsid w:val="60087D38"/>
    <w:rsid w:val="609FA7B0"/>
    <w:rsid w:val="614344E0"/>
    <w:rsid w:val="672F190C"/>
    <w:rsid w:val="69FCE5E7"/>
    <w:rsid w:val="6A073CB7"/>
    <w:rsid w:val="6BCDA9CC"/>
    <w:rsid w:val="6D9F2765"/>
    <w:rsid w:val="6DB508E5"/>
    <w:rsid w:val="6DDFA6BD"/>
    <w:rsid w:val="6E767ACE"/>
    <w:rsid w:val="6E781687"/>
    <w:rsid w:val="6EEE3ED1"/>
    <w:rsid w:val="6EFFED40"/>
    <w:rsid w:val="6F1B2166"/>
    <w:rsid w:val="6F22654E"/>
    <w:rsid w:val="6F5FC1DE"/>
    <w:rsid w:val="6FB3E1FD"/>
    <w:rsid w:val="6FD768E4"/>
    <w:rsid w:val="6FF341F1"/>
    <w:rsid w:val="6FFEBD86"/>
    <w:rsid w:val="71C410CC"/>
    <w:rsid w:val="72EA0D76"/>
    <w:rsid w:val="73FF1F09"/>
    <w:rsid w:val="73FF684B"/>
    <w:rsid w:val="74A708C5"/>
    <w:rsid w:val="756B2C7C"/>
    <w:rsid w:val="76D4117A"/>
    <w:rsid w:val="76DFCB7D"/>
    <w:rsid w:val="771D4D51"/>
    <w:rsid w:val="7735A28E"/>
    <w:rsid w:val="774C67D6"/>
    <w:rsid w:val="77778F6D"/>
    <w:rsid w:val="77ABFD6B"/>
    <w:rsid w:val="77B7A121"/>
    <w:rsid w:val="77C748BA"/>
    <w:rsid w:val="77DD24F1"/>
    <w:rsid w:val="77F10335"/>
    <w:rsid w:val="77F7E860"/>
    <w:rsid w:val="77FB8D34"/>
    <w:rsid w:val="782A4BAE"/>
    <w:rsid w:val="797D0128"/>
    <w:rsid w:val="79EDB415"/>
    <w:rsid w:val="7ABBCDAB"/>
    <w:rsid w:val="7AFCAD25"/>
    <w:rsid w:val="7AFEB9B4"/>
    <w:rsid w:val="7B5E0C37"/>
    <w:rsid w:val="7B5FB610"/>
    <w:rsid w:val="7B63F034"/>
    <w:rsid w:val="7B735637"/>
    <w:rsid w:val="7B7DE504"/>
    <w:rsid w:val="7BFEC4F8"/>
    <w:rsid w:val="7D827575"/>
    <w:rsid w:val="7DA14F75"/>
    <w:rsid w:val="7DB57A61"/>
    <w:rsid w:val="7DC7DC1F"/>
    <w:rsid w:val="7DF95E12"/>
    <w:rsid w:val="7DFDF40F"/>
    <w:rsid w:val="7DFF9BC7"/>
    <w:rsid w:val="7EB645E3"/>
    <w:rsid w:val="7EB6B7AB"/>
    <w:rsid w:val="7EDEF702"/>
    <w:rsid w:val="7EFD6908"/>
    <w:rsid w:val="7EFF8787"/>
    <w:rsid w:val="7F1C270D"/>
    <w:rsid w:val="7F2E3E2F"/>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13CC22"/>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3">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2318</Words>
  <Characters>2380</Characters>
  <Lines>0</Lines>
  <Paragraphs>0</Paragraphs>
  <TotalTime>39</TotalTime>
  <ScaleCrop>false</ScaleCrop>
  <LinksUpToDate>false</LinksUpToDate>
  <CharactersWithSpaces>2417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2025-04-10T16:07:45Z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