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8" w:lineRule="exact"/>
        <w:ind w:left="0" w:leftChars="0"/>
        <w:textAlignment w:val="auto"/>
        <w:rPr>
          <w:rFonts w:hint="eastAsia" w:ascii="黑体" w:hAnsi="黑体" w:eastAsia="黑体" w:cs="黑体"/>
          <w:highlight w:val="none"/>
          <w:lang w:val="en-US" w:eastAsia="zh-CN"/>
        </w:rPr>
      </w:pPr>
      <w:r>
        <w:rPr>
          <w:rFonts w:hint="eastAsia" w:ascii="黑体" w:hAnsi="黑体" w:eastAsia="黑体" w:cs="黑体"/>
          <w:highlight w:val="none"/>
        </w:rPr>
        <w:t>附件</w:t>
      </w:r>
      <w:r>
        <w:rPr>
          <w:rFonts w:hint="eastAsia" w:ascii="黑体" w:hAnsi="黑体" w:eastAsia="黑体" w:cs="黑体"/>
          <w:highlight w:val="none"/>
          <w:lang w:val="en-US" w:eastAsia="zh-CN"/>
        </w:rPr>
        <w:t>5</w:t>
      </w:r>
    </w:p>
    <w:p>
      <w:pPr>
        <w:pStyle w:val="13"/>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rPr>
      </w:pPr>
    </w:p>
    <w:p>
      <w:pPr>
        <w:pStyle w:val="13"/>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黑水县教育局2023年</w:t>
      </w:r>
    </w:p>
    <w:p>
      <w:pPr>
        <w:pStyle w:val="13"/>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学生资助类项目支出绩效评价报告</w:t>
      </w:r>
    </w:p>
    <w:p>
      <w:pPr>
        <w:pStyle w:val="13"/>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宋体" w:cs="方正小标宋简体"/>
          <w:color w:val="auto"/>
          <w:kern w:val="2"/>
          <w:sz w:val="44"/>
          <w:szCs w:val="44"/>
          <w:highlight w:val="none"/>
          <w:lang w:val="en-US" w:eastAsia="zh-CN"/>
        </w:rPr>
      </w:pPr>
    </w:p>
    <w:p>
      <w:pPr>
        <w:pStyle w:val="13"/>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（一）设立背景及基本情况。</w:t>
      </w:r>
      <w:r>
        <w:rPr>
          <w:rFonts w:hint="eastAsia" w:ascii="仿宋_GB2312" w:hAnsi="仿宋_GB2312" w:cs="仿宋_GB2312"/>
          <w:color w:val="auto"/>
          <w:kern w:val="0"/>
          <w:sz w:val="32"/>
          <w:szCs w:val="32"/>
          <w:highlight w:val="none"/>
          <w:u w:val="none"/>
          <w:shd w:val="clear" w:color="auto" w:fill="FFFFFF"/>
          <w:lang w:val="en-US" w:eastAsia="zh-CN"/>
        </w:rPr>
        <w:t>项目设立原因及背景，</w:t>
      </w:r>
      <w:r>
        <w:rPr>
          <w:rFonts w:hint="eastAsia" w:ascii="仿宋_GB2312" w:hAnsi="仿宋_GB2312" w:eastAsia="仿宋_GB2312" w:cs="仿宋_GB2312"/>
          <w:color w:val="auto"/>
          <w:kern w:val="0"/>
          <w:sz w:val="32"/>
          <w:szCs w:val="32"/>
          <w:highlight w:val="none"/>
          <w:u w:val="none"/>
          <w:shd w:val="clear" w:color="auto" w:fill="FFFFFF"/>
          <w:lang w:val="zh-CN"/>
        </w:rPr>
        <w:t>项目立项、资金申报的依据</w:t>
      </w:r>
      <w:r>
        <w:rPr>
          <w:rFonts w:hint="eastAsia" w:ascii="仿宋_GB2312" w:hAnsi="仿宋_GB2312" w:cs="仿宋_GB2312"/>
          <w:color w:val="auto"/>
          <w:kern w:val="0"/>
          <w:sz w:val="32"/>
          <w:szCs w:val="32"/>
          <w:highlight w:val="none"/>
          <w:u w:val="none"/>
          <w:shd w:val="clear" w:color="auto" w:fill="FFFFFF"/>
          <w:lang w:val="zh-CN"/>
        </w:rPr>
        <w:t>，项目主要内容</w:t>
      </w:r>
      <w:r>
        <w:rPr>
          <w:rFonts w:hint="eastAsia" w:ascii="仿宋_GB2312" w:hAnsi="仿宋_GB2312" w:eastAsia="仿宋_GB2312" w:cs="仿宋_GB2312"/>
          <w:color w:val="auto"/>
          <w:kern w:val="0"/>
          <w:sz w:val="32"/>
          <w:szCs w:val="32"/>
          <w:highlight w:val="none"/>
          <w:u w:val="none"/>
          <w:shd w:val="clear" w:color="auto" w:fill="FFFFFF"/>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zh-CN"/>
        </w:rPr>
        <w:t>主管部门职能。</w:t>
      </w:r>
    </w:p>
    <w:p>
      <w:pPr>
        <w:adjustRightInd w:val="0"/>
        <w:snapToGrid w:val="0"/>
        <w:spacing w:line="520" w:lineRule="exact"/>
        <w:ind w:firstLine="480" w:firstLineChars="150"/>
        <w:rPr>
          <w:rFonts w:ascii="仿宋_GB2312" w:hAnsi="宋体"/>
          <w:sz w:val="32"/>
          <w:szCs w:val="32"/>
        </w:rPr>
      </w:pPr>
      <w:r>
        <w:rPr>
          <w:rFonts w:ascii="仿宋_GB2312" w:hAnsi="仿宋_GB2312"/>
          <w:sz w:val="32"/>
          <w:szCs w:val="32"/>
        </w:rPr>
        <w:t>为促进民族教育事业持续、协调、健康发展，提高自治州各族人民素质，</w:t>
      </w:r>
      <w:r>
        <w:rPr>
          <w:rFonts w:ascii="仿宋_GB2312" w:hAnsi="宋体"/>
          <w:sz w:val="32"/>
          <w:szCs w:val="32"/>
        </w:rPr>
        <w:t xml:space="preserve"> 2012年12月28日阿坝藏族羌族自治州第十一届人民代表大会第二次会议通过</w:t>
      </w:r>
      <w:r>
        <w:rPr>
          <w:rFonts w:ascii="仿宋_GB2312" w:hAnsi="仿宋_GB2312"/>
          <w:sz w:val="32"/>
          <w:szCs w:val="32"/>
        </w:rPr>
        <w:t>《阿坝藏族羌族自治州教育条例》</w:t>
      </w:r>
      <w:r>
        <w:rPr>
          <w:rFonts w:ascii="仿宋_GB2312" w:hAnsi="宋体"/>
          <w:sz w:val="32"/>
          <w:szCs w:val="32"/>
        </w:rPr>
        <w:t xml:space="preserve"> </w:t>
      </w:r>
      <w:r>
        <w:rPr>
          <w:rFonts w:ascii="仿宋_GB2312" w:hAnsi="仿宋_GB2312"/>
          <w:sz w:val="32"/>
          <w:szCs w:val="32"/>
        </w:rPr>
        <w:t>。该条例</w:t>
      </w:r>
      <w:r>
        <w:rPr>
          <w:rFonts w:ascii="仿宋_GB2312" w:hAnsi="宋体"/>
          <w:sz w:val="32"/>
          <w:szCs w:val="32"/>
        </w:rPr>
        <w:t>2013年4月2日得</w:t>
      </w:r>
      <w:r>
        <w:rPr>
          <w:rFonts w:ascii="仿宋_GB2312" w:hAnsi="仿宋_GB2312"/>
          <w:sz w:val="32"/>
          <w:szCs w:val="32"/>
        </w:rPr>
        <w:t>到四川省第十二届人民代表大会常务委员会第二次会议批准</w:t>
      </w:r>
      <w:r>
        <w:rPr>
          <w:rFonts w:ascii="仿宋_GB2312" w:hAnsi="宋体"/>
          <w:sz w:val="32"/>
          <w:szCs w:val="32"/>
        </w:rPr>
        <w:t xml:space="preserve"> </w:t>
      </w:r>
      <w:r>
        <w:rPr>
          <w:rFonts w:ascii="仿宋_GB2312" w:hAnsi="仿宋_GB2312"/>
          <w:sz w:val="32"/>
          <w:szCs w:val="32"/>
        </w:rPr>
        <w:t>。并于</w:t>
      </w:r>
      <w:r>
        <w:rPr>
          <w:rFonts w:ascii="仿宋_GB2312" w:hAnsi="宋体"/>
          <w:sz w:val="32"/>
          <w:szCs w:val="32"/>
        </w:rPr>
        <w:t xml:space="preserve">2013年4月8日阿坝藏族羌族自治州第十一届人民代表大会常务委员会公告第4号公布 </w:t>
      </w:r>
      <w:r>
        <w:rPr>
          <w:rFonts w:ascii="仿宋_GB2312" w:hAnsi="仿宋_GB2312"/>
          <w:sz w:val="32"/>
          <w:szCs w:val="32"/>
        </w:rPr>
        <w:t>，自</w:t>
      </w:r>
      <w:r>
        <w:rPr>
          <w:rFonts w:ascii="仿宋_GB2312" w:hAnsi="宋体"/>
          <w:sz w:val="32"/>
          <w:szCs w:val="32"/>
        </w:rPr>
        <w:t>2013年6月1日起施行</w:t>
      </w:r>
      <w:r>
        <w:rPr>
          <w:rFonts w:ascii="仿宋_GB2312" w:hAnsi="仿宋_GB2312"/>
          <w:sz w:val="32"/>
          <w:szCs w:val="32"/>
        </w:rPr>
        <w:t>。第一次以立法形式明确了阿坝州应当确保适龄儿童、少年不因家庭经济困难、就学困难、学习困难等原因失学，严格控辍保学。保障进城务工人员子女平等接受义务教育。</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shd w:val="clear" w:color="auto" w:fill="FFFFFF"/>
          <w:lang w:val="en-US" w:eastAsia="zh-CN"/>
        </w:rPr>
        <w:t>项目</w:t>
      </w:r>
      <w:r>
        <w:rPr>
          <w:rFonts w:hint="eastAsia" w:ascii="仿宋_GB2312" w:hAnsi="仿宋_GB2312" w:cs="仿宋_GB2312"/>
          <w:color w:val="auto"/>
          <w:kern w:val="0"/>
          <w:sz w:val="32"/>
          <w:szCs w:val="32"/>
          <w:highlight w:val="none"/>
          <w:u w:val="none"/>
          <w:shd w:val="clear" w:color="auto" w:fill="FFFFFF"/>
          <w:lang w:val="en-US" w:eastAsia="zh-CN"/>
        </w:rPr>
        <w:t>资金</w:t>
      </w:r>
      <w:r>
        <w:rPr>
          <w:rFonts w:hint="eastAsia" w:ascii="仿宋_GB2312" w:hAnsi="仿宋_GB2312" w:eastAsia="仿宋_GB2312" w:cs="仿宋_GB2312"/>
          <w:color w:val="auto"/>
          <w:kern w:val="0"/>
          <w:sz w:val="32"/>
          <w:szCs w:val="32"/>
          <w:highlight w:val="none"/>
          <w:u w:val="none"/>
          <w:shd w:val="clear" w:color="auto" w:fill="FFFFFF"/>
          <w:lang w:val="zh-CN"/>
        </w:rPr>
        <w:t>管理办法制定情况，</w:t>
      </w:r>
      <w:r>
        <w:rPr>
          <w:rFonts w:hint="eastAsia" w:ascii="仿宋_GB2312" w:hAnsi="仿宋_GB2312" w:cs="仿宋_GB2312"/>
          <w:color w:val="auto"/>
          <w:kern w:val="0"/>
          <w:sz w:val="32"/>
          <w:szCs w:val="32"/>
          <w:highlight w:val="none"/>
          <w:u w:val="none"/>
          <w:shd w:val="clear" w:color="auto" w:fill="FFFFFF"/>
          <w:lang w:val="zh-CN"/>
        </w:rPr>
        <w:t>项目实施目的和主要工作任务，项目支持方向</w:t>
      </w:r>
      <w:r>
        <w:rPr>
          <w:rFonts w:hint="eastAsia" w:ascii="仿宋_GB2312" w:hAnsi="仿宋_GB2312" w:eastAsia="仿宋_GB2312" w:cs="仿宋_GB2312"/>
          <w:color w:val="auto"/>
          <w:kern w:val="0"/>
          <w:sz w:val="32"/>
          <w:szCs w:val="32"/>
          <w:highlight w:val="none"/>
          <w:u w:val="none"/>
          <w:shd w:val="clear" w:color="auto" w:fill="FFFFFF"/>
          <w:lang w:val="zh-CN"/>
        </w:rPr>
        <w:t>。</w:t>
      </w:r>
    </w:p>
    <w:p>
      <w:pPr>
        <w:adjustRightInd w:val="0"/>
        <w:snapToGrid w:val="0"/>
        <w:spacing w:line="520" w:lineRule="exact"/>
        <w:ind w:firstLine="640" w:firstLineChars="200"/>
        <w:rPr>
          <w:rFonts w:ascii="仿宋_GB2312" w:hAnsi="宋体"/>
          <w:sz w:val="32"/>
          <w:szCs w:val="32"/>
        </w:rPr>
      </w:pPr>
      <w:r>
        <w:rPr>
          <w:rFonts w:ascii="仿宋_GB2312" w:hAnsi="仿宋_GB2312"/>
          <w:sz w:val="32"/>
          <w:szCs w:val="32"/>
        </w:rPr>
        <w:t>为深入贯彻落实党的十八大精神，全面落实《阿坝藏族羌族自治州教育条例》，经十一届州人民政府第</w:t>
      </w:r>
      <w:r>
        <w:rPr>
          <w:rFonts w:ascii="仿宋_GB2312" w:hAnsi="宋体"/>
          <w:sz w:val="32"/>
          <w:szCs w:val="32"/>
        </w:rPr>
        <w:t>25</w:t>
      </w:r>
      <w:r>
        <w:rPr>
          <w:rFonts w:ascii="仿宋_GB2312" w:hAnsi="仿宋_GB2312"/>
          <w:sz w:val="32"/>
          <w:szCs w:val="32"/>
        </w:rPr>
        <w:t>次常务会研究同意，阿坝州人民政府下发了《阿坝藏族羌族自治州十五年义务教育经费保障机制实施意见（试行）》，从</w:t>
      </w:r>
      <w:r>
        <w:rPr>
          <w:rFonts w:ascii="仿宋_GB2312" w:hAnsi="宋体"/>
          <w:sz w:val="32"/>
          <w:szCs w:val="32"/>
        </w:rPr>
        <w:t>2013</w:t>
      </w:r>
      <w:r>
        <w:rPr>
          <w:rFonts w:ascii="仿宋_GB2312" w:hAnsi="仿宋_GB2312"/>
          <w:sz w:val="32"/>
          <w:szCs w:val="32"/>
        </w:rPr>
        <w:t>年秋季学期起，对九年义务教育实施</w:t>
      </w:r>
      <w:r>
        <w:rPr>
          <w:rFonts w:ascii="仿宋_GB2312" w:hAnsi="宋体"/>
          <w:sz w:val="32"/>
          <w:szCs w:val="32"/>
        </w:rPr>
        <w:t>“三免两补”政策，为实现县域内义务教育均衡发展提供了基础性保障；按照深化财税体制改革、教育领域综合改革的新要求，统筹设计城乡一体化的义务教育经费保障机制，增强政策的统一性、协调性和前瞻性。</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仿宋_GB2312" w:cs="仿宋_GB2312"/>
          <w:color w:val="auto"/>
          <w:kern w:val="0"/>
          <w:sz w:val="32"/>
          <w:szCs w:val="32"/>
          <w:highlight w:val="none"/>
          <w:u w:val="none"/>
          <w:shd w:val="clear" w:color="auto" w:fill="FFFFFF"/>
          <w:lang w:val="zh-CN"/>
        </w:rPr>
      </w:pP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_GB2312" w:hAnsi="仿宋_GB2312" w:cs="仿宋_GB2312"/>
          <w:color w:val="auto"/>
          <w:kern w:val="0"/>
          <w:sz w:val="32"/>
          <w:szCs w:val="32"/>
          <w:highlight w:val="none"/>
          <w:u w:val="none"/>
          <w:shd w:val="clear" w:color="auto" w:fill="FFFFFF"/>
          <w:lang w:val="zh-CN" w:eastAsia="zh-CN"/>
        </w:rPr>
        <w:t>项目预算安排情况，项目</w:t>
      </w:r>
      <w:r>
        <w:rPr>
          <w:rFonts w:hint="eastAsia" w:ascii="仿宋_GB2312" w:hAnsi="仿宋_GB2312" w:cs="仿宋_GB2312"/>
          <w:color w:val="auto"/>
          <w:kern w:val="0"/>
          <w:sz w:val="32"/>
          <w:szCs w:val="32"/>
          <w:highlight w:val="none"/>
          <w:u w:val="none"/>
          <w:shd w:val="clear" w:color="auto" w:fill="FFFFFF"/>
          <w:lang w:val="zh-CN"/>
        </w:rPr>
        <w:t>资金分配原则及考虑因素，项目资金分配情况。</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按照“中央、省补助，州县主体”的原则，统一十五年免费教育经费保障机制资金分担办法，具体项目按比例分担。 </w:t>
      </w:r>
    </w:p>
    <w:p>
      <w:pPr>
        <w:numPr>
          <w:ilvl w:val="0"/>
          <w:numId w:val="2"/>
        </w:num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免除学前教育3年保教费及补助午餐费。学前教育保教费在省财政给予每生每年500元补助的基础上，不足部分由州、县（市）财政按3∶7比例分担；午餐补助按现行财政体制州、县（市）分级负担解决。</w:t>
      </w:r>
    </w:p>
    <w:p>
      <w:pPr>
        <w:numPr>
          <w:ilvl w:val="0"/>
          <w:numId w:val="2"/>
        </w:numPr>
        <w:adjustRightInd w:val="0"/>
        <w:snapToGrid w:val="0"/>
        <w:spacing w:line="520" w:lineRule="exact"/>
        <w:ind w:firstLine="640" w:firstLineChars="200"/>
        <w:rPr>
          <w:rFonts w:ascii="仿宋_GB2312" w:hAnsi="宋体"/>
          <w:sz w:val="32"/>
          <w:szCs w:val="32"/>
        </w:rPr>
      </w:pPr>
      <w:r>
        <w:rPr>
          <w:rFonts w:hint="eastAsia" w:ascii="仿宋_GB2312" w:hAnsi="宋体"/>
          <w:sz w:val="32"/>
          <w:szCs w:val="32"/>
        </w:rPr>
        <w:t>九年义务教育生均公用经费基准定额。按国家和省规定，九年义务教育生均公用经费基准定额所需资金，提高寄宿制学校、规模较小学校公用经费补助水平所需资金由中央和省全额分担；海拔2500米以上地区义务教育学校取暖经费由省财政给予补助。</w:t>
      </w:r>
    </w:p>
    <w:p>
      <w:pPr>
        <w:adjustRightInd w:val="0"/>
        <w:snapToGrid w:val="0"/>
        <w:spacing w:line="520" w:lineRule="exact"/>
        <w:ind w:firstLine="640" w:firstLineChars="200"/>
        <w:rPr>
          <w:rFonts w:ascii="仿宋_GB2312" w:hAnsi="宋体"/>
          <w:sz w:val="32"/>
          <w:szCs w:val="32"/>
        </w:rPr>
      </w:pPr>
      <w:r>
        <w:rPr>
          <w:rFonts w:hint="eastAsia" w:ascii="仿宋_GB2312" w:hAnsi="宋体"/>
          <w:sz w:val="32"/>
          <w:szCs w:val="32"/>
        </w:rPr>
        <w:t>（三）</w:t>
      </w:r>
      <w:r>
        <w:rPr>
          <w:rFonts w:hint="eastAsia" w:ascii="仿宋_GB2312" w:hAnsi="宋体"/>
          <w:sz w:val="32"/>
          <w:szCs w:val="32"/>
          <w:lang w:eastAsia="zh-CN"/>
        </w:rPr>
        <w:t>义务教育阶段</w:t>
      </w:r>
      <w:r>
        <w:rPr>
          <w:rFonts w:hint="eastAsia" w:ascii="仿宋_GB2312" w:hAnsi="宋体"/>
          <w:sz w:val="32"/>
          <w:szCs w:val="32"/>
        </w:rPr>
        <w:t>免费提供教科书。免费提供国家规定课程教科书所需资金由中央全额承担（含出版发行少数民族文字教材亏损补贴），免费提供地方课程教科书所需资金由省级财政全额承担。</w:t>
      </w:r>
    </w:p>
    <w:p>
      <w:pPr>
        <w:adjustRightInd w:val="0"/>
        <w:snapToGrid w:val="0"/>
        <w:spacing w:line="520" w:lineRule="exact"/>
        <w:ind w:firstLine="640" w:firstLineChars="200"/>
        <w:rPr>
          <w:rFonts w:ascii="仿宋_GB2312" w:hAnsi="宋体"/>
          <w:sz w:val="32"/>
          <w:szCs w:val="32"/>
        </w:rPr>
      </w:pPr>
      <w:r>
        <w:rPr>
          <w:rFonts w:hint="eastAsia" w:ascii="仿宋_GB2312" w:hAnsi="宋体"/>
          <w:sz w:val="32"/>
          <w:szCs w:val="32"/>
        </w:rPr>
        <w:t>（四）免费提供作业本。免费提供作业本所需资金由省、州按5.5∶4.5比例分担。</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五）提供膳食补助。在现行膳食补助标准下，国家试点地区膳食补助费由中央资金承担，地方试点地区膳食补助资金扣除中央、省级补助资金后，州级按每生每天0.35元定额补助，不足部分由县（市）级财政承担。 </w:t>
      </w:r>
    </w:p>
    <w:p>
      <w:pPr>
        <w:adjustRightInd w:val="0"/>
        <w:snapToGrid w:val="0"/>
        <w:spacing w:line="520" w:lineRule="exact"/>
        <w:ind w:firstLine="640" w:firstLineChars="200"/>
        <w:rPr>
          <w:rFonts w:ascii="仿宋_GB2312" w:hAnsi="宋体"/>
          <w:sz w:val="32"/>
          <w:szCs w:val="32"/>
        </w:rPr>
      </w:pPr>
      <w:r>
        <w:rPr>
          <w:rFonts w:hint="eastAsia" w:ascii="仿宋_GB2312" w:hAnsi="宋体"/>
          <w:sz w:val="32"/>
          <w:szCs w:val="32"/>
        </w:rPr>
        <w:t>（六）对家庭经济困难寄宿生补助生活费。家庭经济困难寄宿生生活费补助所需资金按国家和省规定由中央和省全额分担。</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w:t>
      </w:r>
      <w:r>
        <w:rPr>
          <w:rFonts w:hint="eastAsia" w:ascii="仿宋_GB2312" w:hAnsi="宋体"/>
          <w:sz w:val="32"/>
          <w:szCs w:val="32"/>
          <w:lang w:eastAsia="zh-CN"/>
        </w:rPr>
        <w:t>七</w:t>
      </w:r>
      <w:r>
        <w:rPr>
          <w:rFonts w:hint="eastAsia" w:ascii="仿宋_GB2312" w:hAnsi="宋体"/>
          <w:sz w:val="32"/>
          <w:szCs w:val="32"/>
        </w:rPr>
        <w:t>）免除普通高中学费。免除普通高中学费所需资金在省财政给予每生每年450元补助的基础上，不足部分由州、县（市）按3∶7比例分担。省级示范性普通高中、双语高中招收的跨县（市）学生所需资金由州级财政全额承担。 </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w:t>
      </w:r>
      <w:r>
        <w:rPr>
          <w:rFonts w:hint="eastAsia" w:ascii="仿宋_GB2312" w:hAnsi="宋体"/>
          <w:sz w:val="32"/>
          <w:szCs w:val="32"/>
          <w:lang w:eastAsia="zh-CN"/>
        </w:rPr>
        <w:t>八</w:t>
      </w:r>
      <w:r>
        <w:rPr>
          <w:rFonts w:hint="eastAsia" w:ascii="仿宋_GB2312" w:hAnsi="宋体"/>
          <w:sz w:val="32"/>
          <w:szCs w:val="32"/>
        </w:rPr>
        <w:t>）</w:t>
      </w:r>
      <w:r>
        <w:rPr>
          <w:rFonts w:hint="eastAsia" w:ascii="仿宋_GB2312" w:hAnsi="宋体"/>
          <w:sz w:val="32"/>
          <w:szCs w:val="32"/>
          <w:lang w:eastAsia="zh-CN"/>
        </w:rPr>
        <w:t>普通高中</w:t>
      </w:r>
      <w:r>
        <w:rPr>
          <w:rFonts w:hint="eastAsia" w:ascii="仿宋_GB2312" w:hAnsi="宋体"/>
          <w:sz w:val="32"/>
          <w:szCs w:val="32"/>
        </w:rPr>
        <w:t>免</w:t>
      </w:r>
      <w:r>
        <w:rPr>
          <w:rFonts w:hint="eastAsia" w:ascii="仿宋_GB2312" w:hAnsi="宋体"/>
          <w:sz w:val="32"/>
          <w:szCs w:val="32"/>
          <w:lang w:eastAsia="zh-CN"/>
        </w:rPr>
        <w:t>教材费</w:t>
      </w:r>
      <w:r>
        <w:rPr>
          <w:rFonts w:hint="eastAsia" w:ascii="仿宋_GB2312" w:hAnsi="宋体"/>
          <w:sz w:val="32"/>
          <w:szCs w:val="32"/>
        </w:rPr>
        <w:t>。免费提供教科书所需资金在省财政给予每生每年350元补助的基础上，不足部分由州、县（市）按3∶7比例分担。省级示范性普通高中、双语高中招收的跨县（市）学生所需资金由州级财政全额承担。 </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w:t>
      </w:r>
      <w:r>
        <w:rPr>
          <w:rFonts w:hint="eastAsia" w:ascii="仿宋_GB2312" w:hAnsi="宋体"/>
          <w:sz w:val="32"/>
          <w:szCs w:val="32"/>
          <w:lang w:eastAsia="zh-CN"/>
        </w:rPr>
        <w:t>九</w:t>
      </w:r>
      <w:r>
        <w:rPr>
          <w:rFonts w:hint="eastAsia" w:ascii="仿宋_GB2312" w:hAnsi="宋体"/>
          <w:sz w:val="32"/>
          <w:szCs w:val="32"/>
        </w:rPr>
        <w:t>）普通高中</w:t>
      </w:r>
      <w:r>
        <w:rPr>
          <w:rFonts w:hint="eastAsia" w:ascii="仿宋_GB2312" w:hAnsi="宋体"/>
          <w:sz w:val="32"/>
          <w:szCs w:val="32"/>
          <w:lang w:eastAsia="zh-CN"/>
        </w:rPr>
        <w:t>困难学生</w:t>
      </w:r>
      <w:r>
        <w:rPr>
          <w:rFonts w:hint="eastAsia" w:ascii="仿宋_GB2312" w:hAnsi="宋体"/>
          <w:sz w:val="32"/>
          <w:szCs w:val="32"/>
        </w:rPr>
        <w:t>国家助学金。普通高中</w:t>
      </w:r>
      <w:r>
        <w:rPr>
          <w:rFonts w:hint="eastAsia" w:ascii="仿宋_GB2312" w:hAnsi="宋体"/>
          <w:sz w:val="32"/>
          <w:szCs w:val="32"/>
          <w:lang w:eastAsia="zh-CN"/>
        </w:rPr>
        <w:t>困难学生</w:t>
      </w:r>
      <w:r>
        <w:rPr>
          <w:rFonts w:hint="eastAsia" w:ascii="仿宋_GB2312" w:hAnsi="宋体"/>
          <w:sz w:val="32"/>
          <w:szCs w:val="32"/>
        </w:rPr>
        <w:t>国家助学金补助标准为每生每年2000元，覆盖面为普通高中在校学生人数的50%。所需资金在中央、省按36%的覆盖面和每生每年1793元标准补助的基础上，剩余部分由州、县（市）按3∶7比例分担解决。</w:t>
      </w:r>
    </w:p>
    <w:p>
      <w:pPr>
        <w:adjustRightInd w:val="0"/>
        <w:snapToGrid w:val="0"/>
        <w:spacing w:line="520" w:lineRule="exact"/>
        <w:ind w:firstLine="640" w:firstLineChars="200"/>
        <w:rPr>
          <w:rFonts w:hint="default" w:ascii="仿宋_GB2312" w:hAnsi="宋体" w:eastAsiaTheme="minorEastAsia"/>
          <w:sz w:val="32"/>
          <w:szCs w:val="32"/>
          <w:lang w:val="en-US" w:eastAsia="zh-CN"/>
        </w:rPr>
      </w:pPr>
      <w:r>
        <w:rPr>
          <w:rFonts w:hint="eastAsia" w:ascii="仿宋_GB2312" w:hAnsi="宋体"/>
          <w:sz w:val="32"/>
          <w:szCs w:val="32"/>
          <w:lang w:eastAsia="zh-CN"/>
        </w:rPr>
        <w:t>（十）义务教育阶段学生取暖费。</w:t>
      </w:r>
      <w:r>
        <w:rPr>
          <w:rFonts w:hint="eastAsia" w:ascii="仿宋_GB2312" w:hAnsi="宋体"/>
          <w:sz w:val="32"/>
          <w:szCs w:val="32"/>
        </w:rPr>
        <w:t> </w:t>
      </w:r>
      <w:r>
        <w:rPr>
          <w:rFonts w:hint="eastAsia" w:ascii="仿宋_GB2312" w:hAnsi="宋体"/>
          <w:sz w:val="32"/>
          <w:szCs w:val="32"/>
          <w:lang w:eastAsia="zh-CN"/>
        </w:rPr>
        <w:t>川财教</w:t>
      </w:r>
      <w:r>
        <w:rPr>
          <w:rFonts w:hint="eastAsia" w:ascii="仿宋_GB2312" w:hAnsi="宋体"/>
          <w:sz w:val="32"/>
          <w:szCs w:val="32"/>
          <w:lang w:val="en-US" w:eastAsia="zh-CN"/>
        </w:rPr>
        <w:t>[2013]79号《四川省财政厅  四川省教育厅关于对高海拔民族地区义务教育阶段学校给予取暖经费补助的通知》，从2013年春季学期起，对我省海拔在2500米及以上的民</w:t>
      </w:r>
      <w:r>
        <w:rPr>
          <w:rFonts w:hint="default" w:ascii="仿宋_GB2312" w:hAnsi="宋体"/>
          <w:sz w:val="32"/>
          <w:szCs w:val="32"/>
          <w:lang w:eastAsia="zh-CN"/>
        </w:rPr>
        <w:t>族</w:t>
      </w:r>
      <w:r>
        <w:rPr>
          <w:rFonts w:hint="eastAsia" w:ascii="仿宋_GB2312" w:hAnsi="宋体"/>
          <w:sz w:val="32"/>
          <w:szCs w:val="32"/>
          <w:lang w:val="en-US" w:eastAsia="zh-CN"/>
        </w:rPr>
        <w:t>地区义务教育阶段学校给予取暖经费补助。</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具体执行标准及资金来源：</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学前保教费：每生每年1200元,分摊比例按原标准执行:省财政500元,余额州县财政3:7分担</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幼儿午餐补助金：每生每年800元，由县级财政全额承担</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学前生均经费：四川省财政厅四川省教育厅关于完善公办幼儿园生均公用经费财政拨款制度和建立普惠性民办幼儿园财政补助标准的通知，要求从2020年起，将我省公办幼儿园生均公用经费财政拨款基础标准由每生每年不低于50元提高至每生每年不低于500元。县级财政全额承担</w:t>
      </w:r>
    </w:p>
    <w:p>
      <w:pPr>
        <w:adjustRightInd w:val="0"/>
        <w:snapToGrid w:val="0"/>
        <w:spacing w:line="520" w:lineRule="exact"/>
        <w:ind w:firstLine="640" w:firstLineChars="200"/>
        <w:rPr>
          <w:rFonts w:hint="eastAsia" w:ascii="仿宋_GB2312" w:hAnsi="宋体" w:eastAsiaTheme="minorEastAsia"/>
          <w:sz w:val="32"/>
          <w:szCs w:val="32"/>
          <w:lang w:eastAsia="zh-CN"/>
        </w:rPr>
      </w:pPr>
      <w:r>
        <w:rPr>
          <w:rFonts w:hint="eastAsia" w:ascii="仿宋_GB2312" w:hAnsi="宋体"/>
          <w:sz w:val="32"/>
          <w:szCs w:val="32"/>
        </w:rPr>
        <w:t>普通高中免教材费：每生每年600元,分摊比例:省财政350元,余额州县财政3:7分担</w:t>
      </w:r>
      <w:r>
        <w:rPr>
          <w:rFonts w:hint="eastAsia" w:ascii="仿宋_GB2312" w:hAnsi="宋体"/>
          <w:sz w:val="32"/>
          <w:szCs w:val="32"/>
          <w:lang w:eastAsia="zh-CN"/>
        </w:rPr>
        <w:t>。</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普通高中困难学生国家助学金：每生每年2000元,覆盖面为普通高中在校学生人数的50%.所需资金在中央、省按36%的覆盖面和每生每年1793元标准补助的基础上，剩余部分由州、县按3：7比例分担。设学生人数为X，（2000*0.5x-0.36x*1793)*70%中央省645.48元，州105.52元，县249元，考虑按比例分担时涉及四舍五入问题，故县财政按251元承担。</w:t>
      </w:r>
    </w:p>
    <w:p>
      <w:pPr>
        <w:adjustRightInd w:val="0"/>
        <w:snapToGrid w:val="0"/>
        <w:spacing w:line="520" w:lineRule="exact"/>
        <w:ind w:firstLine="640" w:firstLineChars="200"/>
        <w:rPr>
          <w:rFonts w:hint="eastAsia" w:ascii="仿宋_GB2312" w:hAnsi="宋体" w:eastAsiaTheme="minorEastAsia"/>
          <w:sz w:val="32"/>
          <w:szCs w:val="32"/>
          <w:lang w:eastAsia="zh-CN"/>
        </w:rPr>
      </w:pPr>
      <w:r>
        <w:rPr>
          <w:rFonts w:hint="eastAsia" w:ascii="仿宋_GB2312" w:hAnsi="宋体"/>
          <w:sz w:val="32"/>
          <w:szCs w:val="32"/>
        </w:rPr>
        <w:t>普通高中免学杂费：每生每年1200元,分摊比例按原标准执行:省财政450元,余额州县财政3:7分担</w:t>
      </w:r>
      <w:r>
        <w:rPr>
          <w:rFonts w:hint="eastAsia" w:ascii="仿宋_GB2312" w:hAnsi="宋体"/>
          <w:sz w:val="32"/>
          <w:szCs w:val="32"/>
          <w:lang w:eastAsia="zh-CN"/>
        </w:rPr>
        <w:t>。</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高中生均经费：川财教[2019]212号四川省财政厅四川省教育厅关于进一步健全公办普通高中经费保障机制的意见，要求普通高中生均公用经费基础标准每生每年不低于1000元，其中，省级资金500元，余额500元由县级财政承担。</w:t>
      </w:r>
    </w:p>
    <w:p>
      <w:pPr>
        <w:adjustRightInd w:val="0"/>
        <w:snapToGrid w:val="0"/>
        <w:spacing w:line="520" w:lineRule="exact"/>
        <w:ind w:firstLine="640" w:firstLineChars="200"/>
        <w:rPr>
          <w:rFonts w:hint="eastAsia" w:ascii="仿宋_GB2312" w:hAnsi="宋体" w:eastAsiaTheme="minorEastAsia"/>
          <w:sz w:val="32"/>
          <w:szCs w:val="32"/>
          <w:lang w:eastAsia="zh-CN"/>
        </w:rPr>
      </w:pPr>
      <w:r>
        <w:rPr>
          <w:rFonts w:hint="eastAsia" w:ascii="仿宋_GB2312" w:hAnsi="宋体"/>
          <w:sz w:val="32"/>
          <w:szCs w:val="32"/>
        </w:rPr>
        <w:t>小学生均经费：每生每年</w:t>
      </w:r>
      <w:r>
        <w:rPr>
          <w:rFonts w:hint="eastAsia" w:ascii="仿宋_GB2312" w:hAnsi="宋体"/>
          <w:sz w:val="32"/>
          <w:szCs w:val="32"/>
          <w:lang w:val="en-US" w:eastAsia="zh-CN"/>
        </w:rPr>
        <w:t>900</w:t>
      </w:r>
      <w:r>
        <w:rPr>
          <w:rFonts w:hint="eastAsia" w:ascii="仿宋_GB2312" w:hAnsi="宋体"/>
          <w:sz w:val="32"/>
          <w:szCs w:val="32"/>
        </w:rPr>
        <w:t>元，寄宿制学生另增加</w:t>
      </w:r>
      <w:r>
        <w:rPr>
          <w:rFonts w:hint="eastAsia" w:ascii="仿宋_GB2312" w:hAnsi="宋体"/>
          <w:sz w:val="32"/>
          <w:szCs w:val="32"/>
          <w:lang w:val="en-US" w:eastAsia="zh-CN"/>
        </w:rPr>
        <w:t>3</w:t>
      </w:r>
      <w:r>
        <w:rPr>
          <w:rFonts w:hint="eastAsia" w:ascii="仿宋_GB2312" w:hAnsi="宋体"/>
          <w:sz w:val="32"/>
          <w:szCs w:val="32"/>
        </w:rPr>
        <w:t>00元。县级财政180元，上级财政</w:t>
      </w:r>
      <w:r>
        <w:rPr>
          <w:rFonts w:hint="eastAsia" w:ascii="仿宋_GB2312" w:hAnsi="宋体"/>
          <w:sz w:val="32"/>
          <w:szCs w:val="32"/>
          <w:lang w:val="en-US" w:eastAsia="zh-CN"/>
        </w:rPr>
        <w:t>720</w:t>
      </w:r>
      <w:r>
        <w:rPr>
          <w:rFonts w:hint="eastAsia" w:ascii="仿宋_GB2312" w:hAnsi="宋体"/>
          <w:sz w:val="32"/>
          <w:szCs w:val="32"/>
        </w:rPr>
        <w:t>元</w:t>
      </w:r>
      <w:r>
        <w:rPr>
          <w:rFonts w:hint="eastAsia" w:ascii="仿宋_GB2312" w:hAnsi="宋体"/>
          <w:sz w:val="32"/>
          <w:szCs w:val="32"/>
          <w:lang w:eastAsia="zh-CN"/>
        </w:rPr>
        <w:t>。</w:t>
      </w:r>
    </w:p>
    <w:p>
      <w:pPr>
        <w:adjustRightInd w:val="0"/>
        <w:snapToGrid w:val="0"/>
        <w:spacing w:line="520" w:lineRule="exact"/>
        <w:ind w:firstLine="640" w:firstLineChars="200"/>
        <w:rPr>
          <w:rFonts w:hint="eastAsia" w:ascii="仿宋_GB2312" w:hAnsi="宋体" w:eastAsiaTheme="minorEastAsia"/>
          <w:sz w:val="32"/>
          <w:szCs w:val="32"/>
          <w:lang w:eastAsia="zh-CN"/>
        </w:rPr>
      </w:pPr>
      <w:r>
        <w:rPr>
          <w:rFonts w:hint="eastAsia" w:ascii="仿宋_GB2312" w:hAnsi="宋体"/>
          <w:sz w:val="32"/>
          <w:szCs w:val="32"/>
        </w:rPr>
        <w:t>初中生均经费：每生每年11</w:t>
      </w:r>
      <w:r>
        <w:rPr>
          <w:rFonts w:hint="eastAsia" w:ascii="仿宋_GB2312" w:hAnsi="宋体"/>
          <w:sz w:val="32"/>
          <w:szCs w:val="32"/>
          <w:lang w:val="en-US" w:eastAsia="zh-CN"/>
        </w:rPr>
        <w:t>68</w:t>
      </w:r>
      <w:r>
        <w:rPr>
          <w:rFonts w:hint="eastAsia" w:ascii="仿宋_GB2312" w:hAnsi="宋体"/>
          <w:sz w:val="32"/>
          <w:szCs w:val="32"/>
        </w:rPr>
        <w:t>元，寄宿制学生另增加</w:t>
      </w:r>
      <w:r>
        <w:rPr>
          <w:rFonts w:hint="eastAsia" w:ascii="仿宋_GB2312" w:hAnsi="宋体"/>
          <w:sz w:val="32"/>
          <w:szCs w:val="32"/>
          <w:lang w:val="en-US" w:eastAsia="zh-CN"/>
        </w:rPr>
        <w:t>3</w:t>
      </w:r>
      <w:r>
        <w:rPr>
          <w:rFonts w:hint="eastAsia" w:ascii="仿宋_GB2312" w:hAnsi="宋体"/>
          <w:sz w:val="32"/>
          <w:szCs w:val="32"/>
        </w:rPr>
        <w:t>00元。县级财政288元，上级财政</w:t>
      </w:r>
      <w:r>
        <w:rPr>
          <w:rFonts w:hint="eastAsia" w:ascii="仿宋_GB2312" w:hAnsi="宋体"/>
          <w:sz w:val="32"/>
          <w:szCs w:val="32"/>
          <w:lang w:val="en-US" w:eastAsia="zh-CN"/>
        </w:rPr>
        <w:t>940</w:t>
      </w:r>
      <w:r>
        <w:rPr>
          <w:rFonts w:hint="eastAsia" w:ascii="仿宋_GB2312" w:hAnsi="宋体"/>
          <w:sz w:val="32"/>
          <w:szCs w:val="32"/>
        </w:rPr>
        <w:t>元</w:t>
      </w:r>
      <w:r>
        <w:rPr>
          <w:rFonts w:hint="eastAsia" w:ascii="仿宋_GB2312" w:hAnsi="宋体"/>
          <w:sz w:val="32"/>
          <w:szCs w:val="32"/>
          <w:lang w:eastAsia="zh-CN"/>
        </w:rPr>
        <w:t>。</w:t>
      </w:r>
    </w:p>
    <w:p>
      <w:pPr>
        <w:adjustRightInd w:val="0"/>
        <w:snapToGrid w:val="0"/>
        <w:spacing w:line="520" w:lineRule="exact"/>
        <w:ind w:firstLine="640" w:firstLineChars="200"/>
        <w:rPr>
          <w:rFonts w:hint="eastAsia" w:ascii="仿宋_GB2312" w:hAnsi="宋体"/>
          <w:sz w:val="32"/>
          <w:szCs w:val="32"/>
        </w:rPr>
      </w:pPr>
      <w:r>
        <w:rPr>
          <w:rFonts w:hint="eastAsia" w:ascii="仿宋_GB2312" w:hAnsi="宋体"/>
          <w:sz w:val="32"/>
          <w:szCs w:val="32"/>
        </w:rPr>
        <w:t>高海拔寄宿制学生生活补助金：每生每年1700元，全部由上级财政承担</w:t>
      </w:r>
    </w:p>
    <w:p>
      <w:pPr>
        <w:adjustRightInd w:val="0"/>
        <w:snapToGrid w:val="0"/>
        <w:spacing w:line="520" w:lineRule="exact"/>
        <w:ind w:firstLine="640" w:firstLineChars="200"/>
        <w:rPr>
          <w:rFonts w:hint="eastAsia" w:ascii="仿宋_GB2312" w:hAnsi="宋体"/>
          <w:sz w:val="32"/>
          <w:szCs w:val="32"/>
          <w:lang w:eastAsia="zh-CN"/>
        </w:rPr>
      </w:pPr>
      <w:r>
        <w:rPr>
          <w:rFonts w:hint="eastAsia" w:ascii="仿宋_GB2312" w:hAnsi="宋体"/>
          <w:sz w:val="32"/>
          <w:szCs w:val="32"/>
        </w:rPr>
        <w:t>课后延时服务：黑府办发【2021】1号，黑水县人民政府办公室关于印发《黑水县中小学课后服务工作实施方案》的通知，每生每年200元，全部由县级财政承担</w:t>
      </w:r>
      <w:r>
        <w:rPr>
          <w:rFonts w:hint="eastAsia" w:ascii="仿宋_GB2312" w:hAnsi="宋体"/>
          <w:sz w:val="32"/>
          <w:szCs w:val="32"/>
          <w:lang w:eastAsia="zh-CN"/>
        </w:rPr>
        <w:t>。</w:t>
      </w:r>
    </w:p>
    <w:p>
      <w:pPr>
        <w:adjustRightInd w:val="0"/>
        <w:snapToGrid w:val="0"/>
        <w:spacing w:line="520" w:lineRule="exact"/>
        <w:ind w:firstLine="640" w:firstLineChars="200"/>
        <w:rPr>
          <w:rFonts w:hint="default" w:ascii="仿宋_GB2312" w:hAnsi="宋体"/>
          <w:sz w:val="32"/>
          <w:szCs w:val="32"/>
          <w:lang w:val="en-US" w:eastAsia="zh-CN"/>
        </w:rPr>
      </w:pPr>
      <w:r>
        <w:rPr>
          <w:rFonts w:hint="eastAsia" w:ascii="仿宋_GB2312" w:hAnsi="宋体"/>
          <w:sz w:val="32"/>
          <w:szCs w:val="32"/>
          <w:lang w:eastAsia="zh-CN"/>
        </w:rPr>
        <w:t>取暖费：省财政按每生每年</w:t>
      </w:r>
      <w:r>
        <w:rPr>
          <w:rFonts w:hint="eastAsia" w:ascii="仿宋_GB2312" w:hAnsi="宋体"/>
          <w:sz w:val="32"/>
          <w:szCs w:val="32"/>
          <w:lang w:val="en-US" w:eastAsia="zh-CN"/>
        </w:rPr>
        <w:t>200元的标准定额补助，不足部分由州、县财政承担。自2020年起，省财政计划统筹</w:t>
      </w:r>
      <w:r>
        <w:rPr>
          <w:rFonts w:hint="default" w:ascii="仿宋_GB2312" w:hAnsi="宋体"/>
          <w:sz w:val="32"/>
          <w:szCs w:val="32"/>
          <w:lang w:eastAsia="zh-CN"/>
        </w:rPr>
        <w:t>中央、省委</w:t>
      </w:r>
      <w:r>
        <w:rPr>
          <w:rFonts w:hint="eastAsia" w:ascii="仿宋_GB2312" w:hAnsi="宋体"/>
          <w:sz w:val="32"/>
          <w:szCs w:val="32"/>
          <w:lang w:val="en-US" w:eastAsia="zh-CN"/>
        </w:rPr>
        <w:t>相关资金，将取暖补助标准由每生每年200元提高至250元。</w:t>
      </w:r>
    </w:p>
    <w:p>
      <w:pPr>
        <w:keepNext w:val="0"/>
        <w:keepLines w:val="0"/>
        <w:pageBreakBefore w:val="0"/>
        <w:numPr>
          <w:ilvl w:val="0"/>
          <w:numId w:val="2"/>
        </w:numPr>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_GB2312" w:hAnsi="仿宋_GB2312" w:cs="仿宋_GB2312"/>
          <w:color w:val="auto"/>
          <w:kern w:val="0"/>
          <w:sz w:val="32"/>
          <w:szCs w:val="32"/>
          <w:highlight w:val="none"/>
          <w:u w:val="none"/>
          <w:shd w:val="clear" w:color="auto" w:fill="FFFFFF"/>
          <w:lang w:val="zh-CN" w:eastAsia="zh-CN"/>
        </w:rPr>
      </w:pPr>
      <w:r>
        <w:rPr>
          <w:rFonts w:hint="eastAsia" w:ascii="楷体_GB2312" w:hAnsi="宋体" w:eastAsia="楷体_GB2312" w:cs="Times New Roman"/>
          <w:b/>
          <w:color w:val="auto"/>
          <w:sz w:val="32"/>
          <w:szCs w:val="32"/>
          <w:highlight w:val="none"/>
          <w:u w:val="none"/>
          <w:lang w:val="zh-CN" w:eastAsia="zh-CN"/>
        </w:rPr>
        <w:t>项目绩效目标设置。</w:t>
      </w:r>
      <w:r>
        <w:rPr>
          <w:rFonts w:hint="eastAsia" w:ascii="仿宋_GB2312" w:hAnsi="仿宋_GB2312" w:cs="仿宋_GB2312"/>
          <w:color w:val="auto"/>
          <w:kern w:val="0"/>
          <w:sz w:val="32"/>
          <w:szCs w:val="32"/>
          <w:highlight w:val="none"/>
          <w:u w:val="none"/>
          <w:shd w:val="clear" w:color="auto" w:fill="FFFFFF"/>
          <w:lang w:val="zh-CN" w:eastAsia="zh-CN"/>
        </w:rPr>
        <w:t>项目整体、区域和具体绩效目标设置情况，项目自评工作开展情况。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仿宋_GB2312"/>
          <w:highlight w:val="none"/>
          <w:lang w:val="en-US" w:eastAsia="zh-CN"/>
        </w:rPr>
      </w:pPr>
      <w:r>
        <w:rPr>
          <w:rFonts w:hint="eastAsia" w:ascii="Times New Roman" w:hAnsi="Times New Roman" w:cs="Times New Roman"/>
          <w:color w:val="000000"/>
          <w:kern w:val="0"/>
          <w:szCs w:val="32"/>
          <w:highlight w:val="none"/>
          <w:shd w:val="clear" w:color="auto" w:fill="FFFFFF"/>
          <w:lang w:val="en-US" w:eastAsia="zh-CN"/>
        </w:rPr>
        <w:t>本单位2023年度学生资助类项目均设置了一级指标（包括产出指标、效益指标、成本指标满意度指标等）、二级指标（包括数量指标、时效指标、社会效益指标、满意度指标等）、三级指标（包括项目受益人数、完成金额、完成任务时间、执行标准、服务对象满意度等），从各个不同维度对项目执行及评估情况进行细化，绩效目标设置达到了科学合理、规范完整、量化细化、与预算相匹配</w:t>
      </w:r>
      <w:r>
        <w:rPr>
          <w:rFonts w:hint="eastAsia" w:cs="Times New Roman"/>
          <w:color w:val="000000"/>
          <w:kern w:val="0"/>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cs="Times New Roman"/>
          <w:szCs w:val="32"/>
          <w:lang w:eastAsia="zh-CN"/>
        </w:rPr>
      </w:pPr>
      <w:r>
        <w:rPr>
          <w:rFonts w:hint="eastAsia" w:ascii="楷体_GB2312" w:hAnsi="宋体" w:eastAsia="楷体_GB2312"/>
          <w:b/>
          <w:color w:val="auto"/>
          <w:sz w:val="32"/>
          <w:szCs w:val="32"/>
          <w:highlight w:val="none"/>
          <w:u w:val="none"/>
          <w:lang w:val="zh-CN"/>
        </w:rPr>
        <w:t>（一）评价目的。</w:t>
      </w:r>
      <w:r>
        <w:rPr>
          <w:rFonts w:eastAsia="仿宋_GB2312" w:cs="Times New Roman"/>
          <w:szCs w:val="32"/>
        </w:rPr>
        <w:t>通过</w:t>
      </w:r>
      <w:r>
        <w:rPr>
          <w:rFonts w:hint="eastAsia" w:cs="Times New Roman"/>
          <w:szCs w:val="32"/>
          <w:lang w:eastAsia="zh-CN"/>
        </w:rPr>
        <w:t>项目</w:t>
      </w:r>
      <w:r>
        <w:rPr>
          <w:rFonts w:hint="eastAsia" w:eastAsia="仿宋_GB2312" w:cs="Times New Roman"/>
          <w:szCs w:val="32"/>
        </w:rPr>
        <w:t>绩效</w:t>
      </w:r>
      <w:r>
        <w:rPr>
          <w:rFonts w:hint="eastAsia" w:cs="Times New Roman"/>
          <w:szCs w:val="32"/>
          <w:lang w:eastAsia="zh-CN"/>
        </w:rPr>
        <w:t>自评要实现的目的。</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通过绩效评价，可以了解项目的实际进展情况，判断项目是否偏离预定目标，从而及时调整策略。最终促进项目目标实现。</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cs="Times New Roman"/>
          <w:szCs w:val="32"/>
          <w:lang w:eastAsia="zh-CN"/>
        </w:rPr>
      </w:pPr>
      <w:r>
        <w:rPr>
          <w:rFonts w:hint="eastAsia" w:ascii="楷体_GB2312" w:hAnsi="宋体" w:eastAsia="楷体_GB2312"/>
          <w:b/>
          <w:color w:val="auto"/>
          <w:sz w:val="32"/>
          <w:szCs w:val="32"/>
          <w:highlight w:val="none"/>
          <w:u w:val="none"/>
          <w:lang w:val="zh-CN"/>
        </w:rPr>
        <w:t>（二）预设问题及评价重点。</w:t>
      </w:r>
      <w:r>
        <w:rPr>
          <w:rFonts w:hint="eastAsia" w:eastAsia="仿宋_GB2312" w:cs="Times New Roman"/>
          <w:szCs w:val="32"/>
        </w:rPr>
        <w:t>按照绩效评价指标体系，对资金支出使用全过程及其实施效果进行综合评价和判断</w:t>
      </w:r>
      <w:r>
        <w:rPr>
          <w:rFonts w:hint="eastAsia"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eastAsia" w:cs="Times New Roman"/>
          <w:szCs w:val="32"/>
          <w:lang w:val="zh-CN" w:eastAsia="zh-CN"/>
        </w:rPr>
      </w:pPr>
      <w:r>
        <w:rPr>
          <w:rFonts w:hint="eastAsia" w:ascii="楷体_GB2312" w:hAnsi="宋体" w:eastAsia="楷体_GB2312"/>
          <w:b/>
          <w:color w:val="auto"/>
          <w:sz w:val="32"/>
          <w:szCs w:val="32"/>
          <w:highlight w:val="none"/>
          <w:u w:val="none"/>
          <w:lang w:val="zh-CN"/>
        </w:rPr>
        <w:t>（三）评价选点。</w:t>
      </w:r>
      <w:r>
        <w:rPr>
          <w:rFonts w:hint="eastAsia" w:cs="Times New Roman"/>
          <w:szCs w:val="32"/>
          <w:lang w:val="zh-CN" w:eastAsia="zh-CN"/>
        </w:rPr>
        <w:t>项目绩效自评所抽样点位情况。</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szCs w:val="32"/>
          <w:lang w:eastAsia="zh-CN"/>
        </w:rPr>
      </w:pPr>
      <w:r>
        <w:rPr>
          <w:rFonts w:hint="eastAsia" w:ascii="楷体_GB2312" w:hAnsi="宋体" w:eastAsia="楷体_GB2312"/>
          <w:b/>
          <w:color w:val="auto"/>
          <w:sz w:val="32"/>
          <w:szCs w:val="32"/>
          <w:highlight w:val="none"/>
          <w:u w:val="none"/>
          <w:lang w:val="zh-CN"/>
        </w:rPr>
        <w:t>（四）评价方法。</w:t>
      </w:r>
      <w:r>
        <w:rPr>
          <w:rFonts w:eastAsia="仿宋_GB2312" w:cs="Times New Roman"/>
          <w:szCs w:val="32"/>
        </w:rPr>
        <w:t>根据项目情况和评价重点，</w:t>
      </w:r>
      <w:r>
        <w:rPr>
          <w:rFonts w:hint="eastAsia" w:cs="Times New Roman"/>
          <w:szCs w:val="32"/>
          <w:lang w:eastAsia="zh-CN"/>
        </w:rPr>
        <w:t>用来</w:t>
      </w:r>
      <w:r>
        <w:rPr>
          <w:rFonts w:eastAsia="仿宋_GB2312" w:cs="Times New Roman"/>
          <w:szCs w:val="32"/>
        </w:rPr>
        <w:t>收集相关材料和开展具体评价</w:t>
      </w:r>
      <w:r>
        <w:rPr>
          <w:rFonts w:hint="eastAsia" w:cs="Times New Roman"/>
          <w:szCs w:val="32"/>
          <w:lang w:eastAsia="zh-CN"/>
        </w:rPr>
        <w:t>的方法</w:t>
      </w:r>
      <w:r>
        <w:rPr>
          <w:rFonts w:eastAsia="仿宋_GB2312" w:cs="Times New Roman"/>
          <w:szCs w:val="32"/>
        </w:rPr>
        <w:t>。</w:t>
      </w:r>
      <w:r>
        <w:rPr>
          <w:rFonts w:hint="eastAsia" w:cs="Times New Roman"/>
          <w:szCs w:val="32"/>
          <w:lang w:eastAsia="zh-CN"/>
        </w:rPr>
        <w:t>包括：</w:t>
      </w:r>
      <w:r>
        <w:rPr>
          <w:rFonts w:eastAsia="仿宋_GB2312" w:cs="Times New Roman"/>
          <w:szCs w:val="32"/>
        </w:rPr>
        <w:t>采用</w:t>
      </w:r>
      <w:r>
        <w:rPr>
          <w:rFonts w:hint="eastAsia" w:eastAsia="仿宋_GB2312" w:cs="Times New Roman"/>
          <w:szCs w:val="32"/>
        </w:rPr>
        <w:t>成本效益分析法、标杆管理法、</w:t>
      </w:r>
      <w:r>
        <w:rPr>
          <w:rFonts w:eastAsia="仿宋_GB2312" w:cs="Times New Roman"/>
          <w:szCs w:val="32"/>
        </w:rPr>
        <w:t>案卷研究法、单位自评法、实地勘察法、问卷调查法、座谈调研法等多种方法</w:t>
      </w:r>
      <w:r>
        <w:rPr>
          <w:rFonts w:hint="eastAsia" w:cs="Times New Roman"/>
          <w:szCs w:val="32"/>
          <w:lang w:eastAsia="zh-CN"/>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cs="Times New Roman"/>
          <w:szCs w:val="32"/>
          <w:lang w:eastAsia="zh-CN"/>
        </w:rPr>
      </w:pPr>
      <w:r>
        <w:rPr>
          <w:rFonts w:hint="eastAsia" w:ascii="楷体_GB2312" w:hAnsi="宋体" w:eastAsia="楷体_GB2312"/>
          <w:b/>
          <w:color w:val="auto"/>
          <w:sz w:val="32"/>
          <w:szCs w:val="32"/>
          <w:highlight w:val="none"/>
          <w:u w:val="none"/>
          <w:lang w:val="zh-CN"/>
        </w:rPr>
        <w:t>（五）评价组织。</w:t>
      </w:r>
      <w:r>
        <w:rPr>
          <w:rFonts w:eastAsia="仿宋_GB2312" w:cs="Times New Roman"/>
          <w:szCs w:val="32"/>
        </w:rPr>
        <w:t>评价组人员构成</w:t>
      </w:r>
      <w:r>
        <w:rPr>
          <w:rFonts w:hint="eastAsia" w:cs="Times New Roman"/>
          <w:szCs w:val="32"/>
          <w:lang w:eastAsia="zh-CN"/>
        </w:rPr>
        <w:t>和</w:t>
      </w:r>
      <w:r>
        <w:rPr>
          <w:rFonts w:eastAsia="仿宋_GB2312" w:cs="Times New Roman"/>
          <w:szCs w:val="32"/>
        </w:rPr>
        <w:t>职责分工</w:t>
      </w:r>
      <w:r>
        <w:rPr>
          <w:rFonts w:hint="eastAsia" w:cs="Times New Roman"/>
          <w:szCs w:val="32"/>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Times New Roman"/>
          <w:szCs w:val="32"/>
          <w:lang w:val="en-US" w:eastAsia="zh-CN"/>
        </w:rPr>
      </w:pPr>
      <w:r>
        <w:rPr>
          <w:rFonts w:hint="default" w:eastAsia="仿宋_GB2312" w:cs="Times New Roman"/>
          <w:szCs w:val="32"/>
          <w:lang w:val="zh-CN" w:eastAsia="zh-CN"/>
        </w:rPr>
        <w:t>根据</w:t>
      </w:r>
      <w:r>
        <w:rPr>
          <w:rFonts w:hint="eastAsia" w:eastAsia="仿宋_GB2312" w:cs="Times New Roman"/>
          <w:szCs w:val="32"/>
          <w:lang w:val="zh-CN" w:eastAsia="zh-CN"/>
        </w:rPr>
        <w:t>项目</w:t>
      </w:r>
      <w:r>
        <w:rPr>
          <w:rFonts w:hint="default" w:eastAsia="仿宋_GB2312" w:cs="Times New Roman"/>
          <w:szCs w:val="32"/>
          <w:lang w:val="zh-CN" w:eastAsia="zh-CN"/>
        </w:rPr>
        <w:t>预算绩效评价指标体系“</w:t>
      </w:r>
      <w:r>
        <w:rPr>
          <w:rFonts w:hint="eastAsia" w:eastAsia="仿宋_GB2312" w:cs="Times New Roman"/>
          <w:szCs w:val="32"/>
          <w:lang w:val="zh-CN" w:eastAsia="zh-CN"/>
        </w:rPr>
        <w:t>通用指标</w:t>
      </w:r>
      <w:r>
        <w:rPr>
          <w:rFonts w:hint="default" w:eastAsia="仿宋_GB2312" w:cs="Times New Roman"/>
          <w:szCs w:val="32"/>
          <w:lang w:val="zh-CN" w:eastAsia="zh-CN"/>
        </w:rPr>
        <w:t>”</w:t>
      </w:r>
      <w:r>
        <w:rPr>
          <w:rFonts w:hint="eastAsia" w:eastAsia="仿宋_GB2312" w:cs="Times New Roman"/>
          <w:szCs w:val="32"/>
          <w:lang w:val="zh-CN" w:eastAsia="zh-CN"/>
        </w:rPr>
        <w:t>“专用指标”“个性指标”</w:t>
      </w:r>
      <w:r>
        <w:rPr>
          <w:rFonts w:hint="default" w:eastAsia="仿宋_GB2312" w:cs="Times New Roman"/>
          <w:szCs w:val="32"/>
          <w:lang w:val="zh-CN" w:eastAsia="zh-CN"/>
        </w:rPr>
        <w:t>涉及</w:t>
      </w:r>
      <w:r>
        <w:rPr>
          <w:rFonts w:hint="eastAsia" w:eastAsia="仿宋_GB2312" w:cs="Times New Roman"/>
          <w:szCs w:val="32"/>
          <w:lang w:val="zh-CN" w:eastAsia="zh-CN"/>
        </w:rPr>
        <w:t>二、三级</w:t>
      </w:r>
      <w:r>
        <w:rPr>
          <w:rFonts w:hint="default" w:eastAsia="仿宋_GB2312" w:cs="Times New Roman"/>
          <w:szCs w:val="32"/>
          <w:lang w:val="zh-CN" w:eastAsia="zh-CN"/>
        </w:rPr>
        <w:t>指标进行</w:t>
      </w:r>
      <w:r>
        <w:rPr>
          <w:rFonts w:hint="eastAsia" w:eastAsia="仿宋_GB2312" w:cs="Times New Roman"/>
          <w:szCs w:val="32"/>
          <w:lang w:val="zh-CN" w:eastAsia="zh-CN"/>
        </w:rPr>
        <w:t>逐项</w:t>
      </w:r>
      <w:r>
        <w:rPr>
          <w:rFonts w:hint="default" w:eastAsia="仿宋_GB2312" w:cs="Times New Roman"/>
          <w:szCs w:val="32"/>
          <w:lang w:val="zh-CN" w:eastAsia="zh-CN"/>
        </w:rPr>
        <w:t>绩效分析</w:t>
      </w:r>
      <w:r>
        <w:rPr>
          <w:rFonts w:hint="eastAsia" w:eastAsia="仿宋_GB2312" w:cs="Times New Roman"/>
          <w:szCs w:val="32"/>
          <w:lang w:val="zh-CN" w:eastAsia="zh-CN"/>
        </w:rPr>
        <w:t>并评分</w:t>
      </w:r>
      <w:r>
        <w:rPr>
          <w:rFonts w:hint="eastAsia" w:cs="Times New Roman"/>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仿宋_GB2312" w:cs="Times New Roman"/>
          <w:color w:val="auto"/>
          <w:szCs w:val="32"/>
          <w:lang w:val="en-US" w:eastAsia="zh-CN"/>
        </w:rPr>
      </w:pPr>
      <w:r>
        <w:rPr>
          <w:rFonts w:hint="eastAsia" w:ascii="楷体_GB2312" w:hAnsi="楷体_GB2312" w:eastAsia="楷体_GB2312" w:cs="楷体_GB2312"/>
          <w:color w:val="auto"/>
          <w:szCs w:val="32"/>
          <w:lang w:val="en-US" w:eastAsia="zh-CN"/>
        </w:rPr>
        <w:t>1.</w:t>
      </w:r>
      <w:r>
        <w:rPr>
          <w:rFonts w:hint="eastAsia" w:ascii="楷体_GB2312" w:hAnsi="楷体_GB2312" w:eastAsia="楷体_GB2312" w:cs="楷体_GB2312"/>
          <w:color w:val="auto"/>
          <w:szCs w:val="32"/>
          <w:lang w:eastAsia="zh-CN"/>
        </w:rPr>
        <w:t>项目决策。</w:t>
      </w:r>
      <w:r>
        <w:rPr>
          <w:rFonts w:hint="eastAsia" w:ascii="Times New Roman" w:hAnsi="Times New Roman" w:cs="Times New Roman"/>
          <w:color w:val="auto"/>
          <w:szCs w:val="32"/>
          <w:lang w:eastAsia="zh-CN"/>
        </w:rPr>
        <w:t>围绕决策程序、规划论证、资金投向进行绩效分析。</w:t>
      </w:r>
      <w:r>
        <w:rPr>
          <w:rFonts w:hint="eastAsia" w:cs="Times New Roman"/>
          <w:color w:val="auto"/>
          <w:szCs w:val="32"/>
          <w:lang w:eastAsia="zh-CN"/>
        </w:rPr>
        <w:t>共计</w:t>
      </w:r>
      <w:r>
        <w:rPr>
          <w:rFonts w:hint="eastAsia" w:cs="Times New Roman"/>
          <w:color w:val="auto"/>
          <w:szCs w:val="32"/>
          <w:lang w:val="en-US" w:eastAsia="zh-CN"/>
        </w:rPr>
        <w:t>18分。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zh-CN" w:eastAsia="zh-CN"/>
        </w:rPr>
        <w:t>（</w:t>
      </w:r>
      <w:r>
        <w:rPr>
          <w:rFonts w:hint="eastAsia" w:ascii="楷体_GB2312" w:hAnsi="楷体_GB2312" w:eastAsia="楷体_GB2312" w:cs="楷体_GB2312"/>
          <w:color w:val="auto"/>
          <w:szCs w:val="32"/>
          <w:lang w:val="en-US" w:eastAsia="zh-CN"/>
        </w:rPr>
        <w:t>1）</w:t>
      </w:r>
      <w:r>
        <w:rPr>
          <w:rFonts w:hint="eastAsia" w:ascii="楷体_GB2312" w:hAnsi="楷体_GB2312" w:eastAsia="楷体_GB2312" w:cs="楷体_GB2312"/>
          <w:color w:val="auto"/>
          <w:szCs w:val="32"/>
          <w:lang w:val="zh-CN" w:eastAsia="zh-CN"/>
        </w:rPr>
        <w:t>决策程序：按照国家相关文件规定标准执行，并按照“三重一大”上局务会审批决定。本项得分</w:t>
      </w:r>
      <w:r>
        <w:rPr>
          <w:rFonts w:hint="eastAsia" w:ascii="楷体_GB2312" w:hAnsi="楷体_GB2312" w:eastAsia="楷体_GB2312" w:cs="楷体_GB2312"/>
          <w:color w:val="auto"/>
          <w:szCs w:val="32"/>
          <w:lang w:val="en-US" w:eastAsia="zh-CN"/>
        </w:rPr>
        <w:t>6分。</w:t>
      </w:r>
    </w:p>
    <w:p>
      <w:pPr>
        <w:pStyle w:val="2"/>
        <w:rPr>
          <w:rFonts w:hint="eastAsia" w:ascii="楷体_GB2312" w:hAnsi="楷体_GB2312" w:eastAsia="楷体_GB2312" w:cs="楷体_GB2312"/>
          <w:b w:val="0"/>
          <w:color w:val="auto"/>
          <w:kern w:val="2"/>
          <w:sz w:val="32"/>
          <w:szCs w:val="32"/>
          <w:lang w:val="en-US" w:eastAsia="zh-CN" w:bidi="ar-SA"/>
        </w:rPr>
      </w:pPr>
      <w:r>
        <w:rPr>
          <w:rFonts w:hint="eastAsia" w:ascii="楷体_GB2312" w:hAnsi="楷体_GB2312" w:eastAsia="楷体_GB2312" w:cs="楷体_GB2312"/>
          <w:color w:val="auto"/>
          <w:szCs w:val="32"/>
          <w:lang w:val="en-US" w:eastAsia="zh-CN"/>
        </w:rPr>
        <w:t xml:space="preserve">     </w:t>
      </w:r>
      <w:r>
        <w:rPr>
          <w:rFonts w:hint="eastAsia" w:ascii="楷体_GB2312" w:hAnsi="楷体_GB2312" w:eastAsia="楷体_GB2312" w:cs="楷体_GB2312"/>
          <w:b w:val="0"/>
          <w:color w:val="auto"/>
          <w:kern w:val="2"/>
          <w:sz w:val="32"/>
          <w:szCs w:val="32"/>
          <w:lang w:val="en-US" w:eastAsia="zh-CN" w:bidi="ar-SA"/>
        </w:rPr>
        <w:t xml:space="preserve"> （2）规划论证：统筹中央、省、州、县各级资金，按学生人数及补助标准落实到位。</w:t>
      </w:r>
      <w:r>
        <w:rPr>
          <w:rFonts w:hint="eastAsia" w:ascii="楷体_GB2312" w:hAnsi="楷体_GB2312" w:eastAsia="楷体_GB2312" w:cs="楷体_GB2312"/>
          <w:b w:val="0"/>
          <w:color w:val="auto"/>
          <w:kern w:val="2"/>
          <w:sz w:val="32"/>
          <w:szCs w:val="32"/>
          <w:lang w:val="zh-CN" w:eastAsia="zh-CN" w:bidi="ar-SA"/>
        </w:rPr>
        <w:t>本项得分</w:t>
      </w:r>
      <w:r>
        <w:rPr>
          <w:rFonts w:hint="eastAsia" w:ascii="楷体_GB2312" w:hAnsi="楷体_GB2312" w:eastAsia="楷体_GB2312" w:cs="楷体_GB2312"/>
          <w:b w:val="0"/>
          <w:color w:val="auto"/>
          <w:kern w:val="2"/>
          <w:sz w:val="32"/>
          <w:szCs w:val="32"/>
          <w:lang w:val="en-US" w:eastAsia="zh-CN" w:bidi="ar-SA"/>
        </w:rPr>
        <w:t>6分。</w:t>
      </w:r>
    </w:p>
    <w:p>
      <w:pPr>
        <w:rPr>
          <w:rFonts w:hint="default"/>
          <w:lang w:val="en-US" w:eastAsia="zh-CN"/>
        </w:rPr>
      </w:pPr>
      <w:r>
        <w:rPr>
          <w:rFonts w:hint="eastAsia" w:ascii="楷体_GB2312" w:hAnsi="楷体_GB2312" w:eastAsia="楷体_GB2312" w:cs="楷体_GB2312"/>
          <w:color w:val="auto"/>
          <w:szCs w:val="32"/>
          <w:lang w:val="en-US" w:eastAsia="zh-CN"/>
        </w:rPr>
        <w:t xml:space="preserve">     （3）</w:t>
      </w:r>
      <w:r>
        <w:rPr>
          <w:rFonts w:hint="eastAsia" w:ascii="Times New Roman" w:hAnsi="Times New Roman" w:cs="Times New Roman"/>
          <w:color w:val="auto"/>
          <w:szCs w:val="32"/>
          <w:lang w:eastAsia="zh-CN"/>
        </w:rPr>
        <w:t>资金投向：将指标分别下达到校，各校按照相关资金支付要求，通过预算一体化系统按流程完成支付。</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6分。</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cs="Times New Roman"/>
          <w:color w:val="auto"/>
          <w:szCs w:val="32"/>
          <w:lang w:eastAsia="zh-CN"/>
        </w:rPr>
      </w:pPr>
      <w:r>
        <w:rPr>
          <w:rFonts w:hint="eastAsia" w:ascii="楷体_GB2312" w:hAnsi="楷体_GB2312" w:eastAsia="楷体_GB2312" w:cs="楷体_GB2312"/>
          <w:color w:val="auto"/>
          <w:szCs w:val="32"/>
          <w:lang w:eastAsia="zh-CN"/>
        </w:rPr>
        <w:t>项目管理。</w:t>
      </w:r>
      <w:r>
        <w:rPr>
          <w:rFonts w:hint="eastAsia" w:ascii="Times New Roman" w:hAnsi="Times New Roman" w:cs="Times New Roman"/>
          <w:color w:val="auto"/>
          <w:szCs w:val="32"/>
          <w:lang w:eastAsia="zh-CN"/>
        </w:rPr>
        <w:t>围绕制度办法、分配管理、绩效监管进行绩效分析。</w:t>
      </w:r>
      <w:r>
        <w:rPr>
          <w:rFonts w:hint="eastAsia" w:cs="Times New Roman"/>
          <w:color w:val="auto"/>
          <w:szCs w:val="32"/>
          <w:lang w:eastAsia="zh-CN"/>
        </w:rPr>
        <w:t>共计得分</w:t>
      </w:r>
      <w:r>
        <w:rPr>
          <w:rFonts w:hint="eastAsia" w:cs="Times New Roman"/>
          <w:color w:val="auto"/>
          <w:szCs w:val="32"/>
          <w:lang w:val="en-US" w:eastAsia="zh-CN"/>
        </w:rPr>
        <w:t>12分。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制度办法：学生助学金已制定了相关制度办法。</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分配管理：统筹各级资金，按照规定标准以及实有学生人数，将指标下达到各校预算一体化系统中。</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10分。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eastAsia="楷体_GB2312" w:cs="Times New Roman"/>
          <w:b w:val="0"/>
          <w:color w:val="000000"/>
          <w:kern w:val="0"/>
          <w:sz w:val="32"/>
          <w:szCs w:val="32"/>
          <w:highlight w:val="none"/>
          <w:shd w:val="clear" w:color="auto" w:fill="FFFFFF"/>
          <w:lang w:val="en-US" w:eastAsia="zh-CN" w:bidi="ar-SA"/>
        </w:rPr>
      </w:pPr>
      <w:r>
        <w:rPr>
          <w:rFonts w:hint="eastAsia" w:ascii="Times New Roman" w:hAnsi="Times New Roman" w:cs="Times New Roman"/>
          <w:color w:val="000000"/>
          <w:kern w:val="0"/>
          <w:szCs w:val="32"/>
          <w:highlight w:val="none"/>
          <w:shd w:val="clear" w:color="auto" w:fill="FFFFFF"/>
          <w:lang w:val="en-US" w:eastAsia="zh-CN"/>
        </w:rPr>
        <w:t>绩效监管：本单位绩效监管尚待完善，单位管理层对绩效监管认识程度不够，对项目绩效监管开展不足。本项得分0分。</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0"/>
        <w:textAlignment w:val="auto"/>
        <w:outlineLvl w:val="9"/>
        <w:rPr>
          <w:rFonts w:hint="eastAsia" w:ascii="Times New Roman" w:hAnsi="Times New Roman" w:cs="Times New Roman"/>
          <w:color w:val="auto"/>
          <w:szCs w:val="32"/>
          <w:lang w:eastAsia="zh-CN"/>
        </w:rPr>
      </w:pPr>
      <w:r>
        <w:rPr>
          <w:rFonts w:hint="eastAsia" w:ascii="楷体_GB2312" w:hAnsi="楷体_GB2312" w:eastAsia="楷体_GB2312" w:cs="楷体_GB2312"/>
          <w:color w:val="auto"/>
          <w:szCs w:val="32"/>
          <w:lang w:val="en-US" w:eastAsia="zh-CN"/>
        </w:rPr>
        <w:t>项目实施。</w:t>
      </w:r>
      <w:r>
        <w:rPr>
          <w:rFonts w:hint="eastAsia" w:ascii="Times New Roman" w:hAnsi="Times New Roman" w:cs="Times New Roman"/>
          <w:color w:val="auto"/>
          <w:szCs w:val="32"/>
          <w:lang w:eastAsia="zh-CN"/>
        </w:rPr>
        <w:t>围绕预算</w:t>
      </w:r>
      <w:r>
        <w:rPr>
          <w:rFonts w:hint="eastAsia" w:eastAsia="仿宋_GB2312" w:cs="Times New Roman"/>
          <w:color w:val="auto"/>
          <w:szCs w:val="32"/>
          <w:lang w:val="zh-CN" w:eastAsia="zh-CN"/>
        </w:rPr>
        <w:t>执行</w:t>
      </w:r>
      <w:r>
        <w:rPr>
          <w:rFonts w:hint="eastAsia" w:ascii="Times New Roman" w:hAnsi="Times New Roman" w:cs="Times New Roman"/>
          <w:color w:val="auto"/>
          <w:szCs w:val="32"/>
          <w:lang w:eastAsia="zh-CN"/>
        </w:rPr>
        <w:t>、资金使用进行绩效分析。</w:t>
      </w:r>
      <w:r>
        <w:rPr>
          <w:rFonts w:hint="eastAsia" w:cs="Times New Roman"/>
          <w:color w:val="auto"/>
          <w:szCs w:val="32"/>
          <w:lang w:eastAsia="zh-CN"/>
        </w:rPr>
        <w:t>共计得分</w:t>
      </w:r>
      <w:r>
        <w:rPr>
          <w:rFonts w:hint="eastAsia" w:cs="Times New Roman"/>
          <w:color w:val="auto"/>
          <w:szCs w:val="32"/>
          <w:lang w:val="en-US" w:eastAsia="zh-CN"/>
        </w:rPr>
        <w:t>9分。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预算</w:t>
      </w:r>
      <w:r>
        <w:rPr>
          <w:rFonts w:hint="eastAsia" w:ascii="Times New Roman" w:hAnsi="Times New Roman" w:cs="Times New Roman"/>
          <w:color w:val="000000"/>
          <w:kern w:val="0"/>
          <w:szCs w:val="32"/>
          <w:highlight w:val="none"/>
          <w:shd w:val="clear" w:color="auto" w:fill="FFFFFF"/>
          <w:lang w:val="zh-CN" w:eastAsia="zh-CN"/>
        </w:rPr>
        <w:t>执行：</w:t>
      </w:r>
      <w:r>
        <w:rPr>
          <w:rFonts w:hint="eastAsia" w:ascii="Times New Roman" w:hAnsi="Times New Roman" w:cs="Times New Roman"/>
          <w:color w:val="000000"/>
          <w:kern w:val="0"/>
          <w:szCs w:val="32"/>
          <w:highlight w:val="none"/>
          <w:shd w:val="clear" w:color="auto" w:fill="FFFFFF"/>
          <w:lang w:val="en-US" w:eastAsia="zh-CN"/>
        </w:rPr>
        <w:t>2023年</w:t>
      </w:r>
      <w:r>
        <w:rPr>
          <w:rFonts w:hint="eastAsia" w:ascii="Times New Roman" w:hAnsi="Times New Roman" w:cs="Times New Roman"/>
          <w:color w:val="000000"/>
          <w:kern w:val="0"/>
          <w:szCs w:val="32"/>
          <w:highlight w:val="none"/>
          <w:shd w:val="clear" w:color="auto" w:fill="FFFFFF"/>
          <w:lang w:val="zh-CN" w:eastAsia="zh-CN"/>
        </w:rPr>
        <w:t>学生助学金，年初预算</w:t>
      </w:r>
      <w:r>
        <w:rPr>
          <w:rFonts w:hint="eastAsia" w:ascii="Times New Roman" w:hAnsi="Times New Roman" w:cs="Times New Roman"/>
          <w:color w:val="000000"/>
          <w:kern w:val="0"/>
          <w:szCs w:val="32"/>
          <w:highlight w:val="none"/>
          <w:shd w:val="clear" w:color="auto" w:fill="FFFFFF"/>
          <w:lang w:val="en-US" w:eastAsia="zh-CN"/>
        </w:rPr>
        <w:t>584.11万元，调整预算1070.52万元，预算执行1654.63万元。调整预算金额较大的原因：年初预算只包含县级财政资金，未包括上级补助专项资金。</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6分。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资金使用：2023年</w:t>
      </w:r>
      <w:r>
        <w:rPr>
          <w:rFonts w:hint="eastAsia" w:ascii="Times New Roman" w:hAnsi="Times New Roman" w:cs="Times New Roman"/>
          <w:color w:val="000000"/>
          <w:kern w:val="0"/>
          <w:szCs w:val="32"/>
          <w:highlight w:val="none"/>
          <w:shd w:val="clear" w:color="auto" w:fill="FFFFFF"/>
          <w:lang w:val="zh-CN" w:eastAsia="zh-CN"/>
        </w:rPr>
        <w:t>学生助学金</w:t>
      </w:r>
      <w:r>
        <w:rPr>
          <w:rFonts w:hint="eastAsia" w:ascii="Times New Roman" w:hAnsi="Times New Roman" w:cs="Times New Roman"/>
          <w:color w:val="000000"/>
          <w:kern w:val="0"/>
          <w:szCs w:val="32"/>
          <w:highlight w:val="none"/>
          <w:shd w:val="clear" w:color="auto" w:fill="FFFFFF"/>
          <w:lang w:val="en-US" w:eastAsia="zh-CN"/>
        </w:rPr>
        <w:t>使用1654.63万元，均合符国家政策规定，无虚报冒领现象，不存在</w:t>
      </w:r>
      <w:r>
        <w:rPr>
          <w:rFonts w:hint="eastAsia" w:cs="Times New Roman"/>
          <w:color w:val="000000"/>
          <w:kern w:val="0"/>
          <w:szCs w:val="32"/>
          <w:highlight w:val="none"/>
          <w:shd w:val="clear" w:color="auto" w:fill="FFFFFF"/>
          <w:lang w:val="zh-CN" w:eastAsia="zh-CN"/>
        </w:rPr>
        <w:t>长期沉淀、截留、挤占、挪用、虚列支出等情况。</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3分。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8" w:lineRule="exact"/>
        <w:ind w:left="0" w:leftChars="0" w:firstLine="640" w:firstLineChars="0"/>
        <w:textAlignment w:val="auto"/>
        <w:outlineLvl w:val="9"/>
        <w:rPr>
          <w:rFonts w:hint="eastAsia" w:ascii="Times New Roman" w:hAnsi="Times New Roman" w:cs="Times New Roman"/>
          <w:color w:val="auto"/>
          <w:szCs w:val="32"/>
          <w:lang w:eastAsia="zh-CN"/>
        </w:rPr>
      </w:pPr>
      <w:r>
        <w:rPr>
          <w:rFonts w:hint="eastAsia" w:ascii="楷体_GB2312" w:hAnsi="楷体_GB2312" w:eastAsia="楷体_GB2312" w:cs="楷体_GB2312"/>
          <w:color w:val="auto"/>
          <w:szCs w:val="32"/>
          <w:lang w:val="en-US" w:eastAsia="zh-CN"/>
        </w:rPr>
        <w:t>项目结果。</w:t>
      </w:r>
      <w:r>
        <w:rPr>
          <w:rFonts w:hint="eastAsia" w:ascii="Times New Roman" w:hAnsi="Times New Roman" w:cs="Times New Roman"/>
          <w:color w:val="auto"/>
          <w:szCs w:val="32"/>
          <w:lang w:val="en-US" w:eastAsia="zh-CN"/>
        </w:rPr>
        <w:t>围绕</w:t>
      </w:r>
      <w:r>
        <w:rPr>
          <w:rFonts w:hint="eastAsia" w:ascii="Times New Roman" w:hAnsi="Times New Roman" w:cs="Times New Roman"/>
          <w:color w:val="auto"/>
          <w:szCs w:val="32"/>
          <w:lang w:eastAsia="zh-CN"/>
        </w:rPr>
        <w:t>目标完成、完成时效进行绩效分析。</w:t>
      </w:r>
      <w:r>
        <w:rPr>
          <w:rFonts w:hint="eastAsia" w:cs="Times New Roman"/>
          <w:color w:val="auto"/>
          <w:szCs w:val="32"/>
          <w:lang w:eastAsia="zh-CN"/>
        </w:rPr>
        <w:t>共计得分</w:t>
      </w:r>
      <w:r>
        <w:rPr>
          <w:rFonts w:hint="eastAsia" w:cs="Times New Roman"/>
          <w:color w:val="auto"/>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目标完成：2023年</w:t>
      </w:r>
      <w:r>
        <w:rPr>
          <w:rFonts w:hint="eastAsia" w:ascii="Times New Roman" w:hAnsi="Times New Roman" w:cs="Times New Roman"/>
          <w:color w:val="000000"/>
          <w:kern w:val="0"/>
          <w:szCs w:val="32"/>
          <w:highlight w:val="none"/>
          <w:shd w:val="clear" w:color="auto" w:fill="FFFFFF"/>
          <w:lang w:val="zh-CN" w:eastAsia="zh-CN"/>
        </w:rPr>
        <w:t>学生助学金已按照目标设置完成任务。</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6分。</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楷体_GB2312" w:hAnsi="楷体_GB2312" w:eastAsia="楷体_GB2312" w:cs="楷体_GB2312"/>
          <w:color w:val="auto"/>
          <w:szCs w:val="32"/>
          <w:lang w:val="en-US" w:eastAsia="zh-CN"/>
        </w:rPr>
      </w:pPr>
      <w:r>
        <w:rPr>
          <w:rFonts w:hint="eastAsia" w:ascii="Times New Roman" w:hAnsi="Times New Roman" w:cs="Times New Roman"/>
          <w:color w:val="000000"/>
          <w:kern w:val="0"/>
          <w:szCs w:val="32"/>
          <w:highlight w:val="none"/>
          <w:shd w:val="clear" w:color="auto" w:fill="FFFFFF"/>
          <w:lang w:val="en-US" w:eastAsia="zh-CN"/>
        </w:rPr>
        <w:t>完成时效：2023年</w:t>
      </w:r>
      <w:r>
        <w:rPr>
          <w:rFonts w:hint="eastAsia" w:ascii="Times New Roman" w:hAnsi="Times New Roman" w:cs="Times New Roman"/>
          <w:color w:val="000000"/>
          <w:kern w:val="0"/>
          <w:szCs w:val="32"/>
          <w:highlight w:val="none"/>
          <w:shd w:val="clear" w:color="auto" w:fill="FFFFFF"/>
          <w:lang w:val="zh-CN" w:eastAsia="zh-CN"/>
        </w:rPr>
        <w:t>学生助学金已在当年完成任务。</w:t>
      </w:r>
      <w:r>
        <w:rPr>
          <w:rFonts w:hint="eastAsia" w:ascii="楷体_GB2312" w:hAnsi="楷体_GB2312" w:eastAsia="楷体_GB2312" w:cs="楷体_GB2312"/>
          <w:color w:val="auto"/>
          <w:szCs w:val="32"/>
          <w:lang w:val="zh-CN" w:eastAsia="zh-CN"/>
        </w:rPr>
        <w:t>本项得分</w:t>
      </w:r>
      <w:r>
        <w:rPr>
          <w:rFonts w:hint="eastAsia" w:ascii="楷体_GB2312" w:hAnsi="楷体_GB2312" w:eastAsia="楷体_GB2312" w:cs="楷体_GB2312"/>
          <w:color w:val="auto"/>
          <w:szCs w:val="32"/>
          <w:lang w:val="en-US" w:eastAsia="zh-CN"/>
        </w:rPr>
        <w:t>3分。</w:t>
      </w:r>
    </w:p>
    <w:p>
      <w:pPr>
        <w:pStyle w:val="8"/>
        <w:rPr>
          <w:rFonts w:hint="default"/>
          <w:lang w:val="en-US" w:eastAsia="zh-CN"/>
        </w:rPr>
      </w:pPr>
      <w:r>
        <w:rPr>
          <w:rFonts w:hint="eastAsia" w:ascii="楷体_GB2312" w:hAnsi="楷体_GB2312" w:eastAsia="楷体_GB2312" w:cs="楷体_GB2312"/>
          <w:color w:val="auto"/>
          <w:szCs w:val="32"/>
          <w:lang w:val="en-US" w:eastAsia="zh-CN"/>
        </w:rPr>
        <w:t>通用指标共计得分48分。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楷体_GB2312" w:eastAsia="楷体_GB2312" w:cs="楷体_GB2312"/>
          <w:color w:val="auto"/>
          <w:szCs w:val="32"/>
          <w:lang w:val="zh-CN"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ascii="Times New Roman" w:hAnsi="Times New Roman" w:cs="Times New Roman"/>
          <w:color w:val="auto"/>
          <w:szCs w:val="32"/>
          <w:lang w:val="zh-CN" w:eastAsia="zh-CN"/>
        </w:rPr>
        <w:t>根据</w:t>
      </w:r>
      <w:r>
        <w:rPr>
          <w:rFonts w:hint="eastAsia" w:ascii="Times New Roman" w:hAnsi="Times New Roman" w:cs="Times New Roman"/>
          <w:color w:val="auto"/>
          <w:szCs w:val="32"/>
          <w:lang w:val="en-US" w:eastAsia="zh-CN"/>
        </w:rPr>
        <w:t>专项预算项目</w:t>
      </w:r>
      <w:r>
        <w:rPr>
          <w:rFonts w:hint="eastAsia" w:cs="Times New Roman"/>
          <w:color w:val="auto"/>
          <w:szCs w:val="32"/>
          <w:lang w:val="en-US" w:eastAsia="zh-CN"/>
        </w:rPr>
        <w:t>资金支持对象</w:t>
      </w:r>
      <w:r>
        <w:rPr>
          <w:rFonts w:hint="eastAsia" w:ascii="Times New Roman" w:hAnsi="Times New Roman" w:cs="Times New Roman"/>
          <w:color w:val="auto"/>
          <w:szCs w:val="32"/>
          <w:lang w:val="en-US" w:eastAsia="zh-CN"/>
        </w:rPr>
        <w:t>选择所属指标进行绩效分析。</w:t>
      </w:r>
      <w:r>
        <w:rPr>
          <w:rFonts w:hint="eastAsia" w:cs="Times New Roman"/>
          <w:color w:val="auto"/>
          <w:szCs w:val="32"/>
          <w:lang w:val="en-US" w:eastAsia="zh-CN"/>
        </w:rPr>
        <w:t>支持对象</w:t>
      </w:r>
      <w:r>
        <w:rPr>
          <w:rFonts w:hint="eastAsia" w:ascii="Times New Roman" w:hAnsi="Times New Roman" w:cs="Times New Roman"/>
          <w:color w:val="auto"/>
          <w:szCs w:val="32"/>
          <w:lang w:val="zh-CN" w:eastAsia="zh-CN"/>
        </w:rPr>
        <w:t>包括产业发展、民生保障、基础设施、行政运转等方面。</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cs="Times New Roman"/>
          <w:color w:val="auto"/>
          <w:szCs w:val="32"/>
          <w:lang w:val="en-US" w:eastAsia="zh-CN"/>
        </w:rPr>
      </w:pPr>
      <w:r>
        <w:rPr>
          <w:rFonts w:hint="eastAsia" w:ascii="楷体_GB2312" w:hAnsi="楷体_GB2312" w:eastAsia="楷体_GB2312" w:cs="楷体_GB2312"/>
          <w:color w:val="auto"/>
          <w:szCs w:val="32"/>
          <w:lang w:val="en-US" w:eastAsia="zh-CN"/>
        </w:rPr>
        <w:t>1.</w:t>
      </w:r>
      <w:r>
        <w:rPr>
          <w:rFonts w:hint="eastAsia" w:ascii="楷体_GB2312" w:hAnsi="楷体_GB2312" w:eastAsia="楷体_GB2312" w:cs="楷体_GB2312"/>
          <w:color w:val="auto"/>
          <w:szCs w:val="32"/>
          <w:lang w:val="zh-CN" w:eastAsia="zh-CN"/>
        </w:rPr>
        <w:t>民生保障。</w:t>
      </w:r>
      <w:r>
        <w:rPr>
          <w:rFonts w:hint="eastAsia" w:ascii="Times New Roman" w:hAnsi="Times New Roman" w:cs="Times New Roman"/>
          <w:color w:val="auto"/>
          <w:szCs w:val="32"/>
          <w:lang w:eastAsia="zh-CN"/>
        </w:rPr>
        <w:t>围绕</w:t>
      </w:r>
      <w:r>
        <w:rPr>
          <w:rFonts w:hint="eastAsia" w:cs="Times New Roman"/>
          <w:color w:val="auto"/>
          <w:szCs w:val="32"/>
          <w:lang w:eastAsia="zh-CN"/>
        </w:rPr>
        <w:t>区域均衡性、对象精准性、标准合理性、群众满意度进行绩效分析。共计得分</w:t>
      </w:r>
      <w:r>
        <w:rPr>
          <w:rFonts w:hint="eastAsia" w:cs="Times New Roman"/>
          <w:color w:val="auto"/>
          <w:szCs w:val="32"/>
          <w:lang w:val="en-US" w:eastAsia="zh-CN"/>
        </w:rPr>
        <w:t>30分。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（1）区域均衡性：2023年学生资助资金统筹中央、省、州、县各级资金，按学生人数及补助标准落实到各校。</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cs="Times New Roman"/>
          <w:color w:val="auto"/>
          <w:szCs w:val="32"/>
          <w:lang w:eastAsia="zh-CN"/>
        </w:rPr>
        <w:t>（</w:t>
      </w:r>
      <w:r>
        <w:rPr>
          <w:rFonts w:hint="eastAsia" w:cs="Times New Roman"/>
          <w:color w:val="auto"/>
          <w:szCs w:val="32"/>
          <w:lang w:val="en-US" w:eastAsia="zh-CN"/>
        </w:rPr>
        <w:t>2）</w:t>
      </w:r>
      <w:r>
        <w:rPr>
          <w:rFonts w:hint="eastAsia" w:cs="Times New Roman"/>
          <w:color w:val="auto"/>
          <w:szCs w:val="32"/>
          <w:lang w:eastAsia="zh-CN"/>
        </w:rPr>
        <w:t>对象精准性：</w:t>
      </w:r>
      <w:r>
        <w:rPr>
          <w:rFonts w:hint="eastAsia" w:ascii="Times New Roman" w:hAnsi="Times New Roman" w:cs="Times New Roman"/>
          <w:color w:val="000000"/>
          <w:kern w:val="0"/>
          <w:szCs w:val="32"/>
          <w:highlight w:val="none"/>
          <w:shd w:val="clear" w:color="auto" w:fill="FFFFFF"/>
          <w:lang w:val="en-US" w:eastAsia="zh-CN"/>
        </w:rPr>
        <w:t>2023年学生资助资金资助对象精准，</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cs="Times New Roman"/>
          <w:color w:val="auto"/>
          <w:szCs w:val="32"/>
          <w:lang w:eastAsia="zh-CN"/>
        </w:rPr>
        <w:t>（</w:t>
      </w:r>
      <w:r>
        <w:rPr>
          <w:rFonts w:hint="eastAsia" w:cs="Times New Roman"/>
          <w:color w:val="auto"/>
          <w:szCs w:val="32"/>
          <w:lang w:val="en-US" w:eastAsia="zh-CN"/>
        </w:rPr>
        <w:t>3）</w:t>
      </w:r>
      <w:r>
        <w:rPr>
          <w:rFonts w:hint="eastAsia" w:cs="Times New Roman"/>
          <w:color w:val="auto"/>
          <w:szCs w:val="32"/>
          <w:lang w:eastAsia="zh-CN"/>
        </w:rPr>
        <w:t>标准合理性：资金实际补贴标准符合资金管理办法规定的补助标准，均及时按标准兑现。</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5分。</w:t>
      </w:r>
    </w:p>
    <w:p>
      <w:pPr>
        <w:pStyle w:val="8"/>
        <w:rPr>
          <w:rFonts w:hint="eastAsia" w:ascii="楷体_GB2312" w:hAnsi="楷体_GB2312" w:eastAsia="楷体_GB2312" w:cs="楷体_GB2312"/>
          <w:color w:val="auto"/>
          <w:szCs w:val="32"/>
          <w:lang w:val="en-US" w:eastAsia="zh-CN"/>
        </w:rPr>
      </w:pPr>
      <w:r>
        <w:rPr>
          <w:rFonts w:hint="eastAsia" w:cs="Times New Roman"/>
          <w:color w:val="auto"/>
          <w:szCs w:val="32"/>
          <w:lang w:eastAsia="zh-CN"/>
        </w:rPr>
        <w:t>（</w:t>
      </w:r>
      <w:r>
        <w:rPr>
          <w:rFonts w:hint="eastAsia" w:cs="Times New Roman"/>
          <w:color w:val="auto"/>
          <w:szCs w:val="32"/>
          <w:lang w:val="en-US" w:eastAsia="zh-CN"/>
        </w:rPr>
        <w:t>4）</w:t>
      </w:r>
      <w:r>
        <w:rPr>
          <w:rFonts w:hint="eastAsia" w:cs="Times New Roman"/>
          <w:color w:val="auto"/>
          <w:szCs w:val="32"/>
          <w:lang w:eastAsia="zh-CN"/>
        </w:rPr>
        <w:t>群众满意度：</w:t>
      </w:r>
      <w:r>
        <w:rPr>
          <w:rFonts w:hint="eastAsia" w:ascii="Times New Roman" w:hAnsi="Times New Roman" w:cs="Times New Roman"/>
          <w:color w:val="000000"/>
          <w:kern w:val="0"/>
          <w:szCs w:val="32"/>
          <w:highlight w:val="none"/>
          <w:shd w:val="clear" w:color="auto" w:fill="FFFFFF"/>
          <w:lang w:val="zh-CN" w:eastAsia="zh-CN"/>
        </w:rPr>
        <w:t>本项得分</w:t>
      </w:r>
      <w:r>
        <w:rPr>
          <w:rFonts w:hint="eastAsia" w:ascii="Times New Roman" w:hAnsi="Times New Roman" w:cs="Times New Roman"/>
          <w:color w:val="000000"/>
          <w:kern w:val="0"/>
          <w:szCs w:val="32"/>
          <w:highlight w:val="none"/>
          <w:shd w:val="clear" w:color="auto" w:fill="FFFFFF"/>
          <w:lang w:val="en-US" w:eastAsia="zh-CN"/>
        </w:rPr>
        <w:t>5分</w:t>
      </w:r>
      <w:r>
        <w:rPr>
          <w:rFonts w:hint="eastAsia" w:ascii="楷体_GB2312" w:hAnsi="楷体_GB2312" w:eastAsia="楷体_GB2312" w:cs="楷体_GB2312"/>
          <w:color w:val="auto"/>
          <w:szCs w:val="32"/>
          <w:lang w:val="en-US" w:eastAsia="zh-CN"/>
        </w:rPr>
        <w:t xml:space="preserve"> </w:t>
      </w:r>
    </w:p>
    <w:p>
      <w:pPr>
        <w:ind w:firstLine="640" w:firstLineChars="200"/>
        <w:rPr>
          <w:rFonts w:hint="eastAsia" w:cs="Times New Roman"/>
          <w:color w:val="auto"/>
          <w:szCs w:val="32"/>
          <w:lang w:val="en-US" w:eastAsia="zh-CN"/>
        </w:rPr>
      </w:pPr>
      <w:r>
        <w:rPr>
          <w:rFonts w:hint="eastAsia"/>
          <w:lang w:val="en-US" w:eastAsia="zh-CN"/>
        </w:rPr>
        <w:t>专用指标共计得分30分。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9"/>
        <w:rPr>
          <w:rFonts w:hint="eastAsia" w:ascii="楷体_GB2312" w:hAnsi="宋体" w:eastAsia="楷体_GB2312" w:cs="Times New Roman"/>
          <w:b/>
          <w:color w:val="auto"/>
          <w:sz w:val="32"/>
          <w:szCs w:val="32"/>
          <w:highlight w:val="none"/>
          <w:u w:val="none"/>
          <w:lang w:val="zh-CN" w:eastAsia="zh-CN"/>
        </w:rPr>
      </w:pPr>
      <w:r>
        <w:rPr>
          <w:rFonts w:hint="eastAsia" w:ascii="楷体_GB2312" w:hAnsi="宋体" w:eastAsia="楷体_GB2312" w:cs="Times New Roman"/>
          <w:b/>
          <w:color w:val="auto"/>
          <w:sz w:val="32"/>
          <w:szCs w:val="32"/>
          <w:highlight w:val="none"/>
          <w:u w:val="none"/>
          <w:lang w:val="en-US" w:eastAsia="zh-CN"/>
        </w:rPr>
        <w:t>（三）个性指标</w:t>
      </w:r>
      <w:r>
        <w:rPr>
          <w:rFonts w:hint="default" w:ascii="楷体_GB2312" w:hAnsi="宋体" w:eastAsia="楷体_GB2312" w:cs="Times New Roman"/>
          <w:b/>
          <w:color w:val="auto"/>
          <w:sz w:val="32"/>
          <w:szCs w:val="32"/>
          <w:highlight w:val="none"/>
          <w:u w:val="none"/>
          <w:lang w:val="zh-CN"/>
        </w:rPr>
        <w:t>绩效分析。</w:t>
      </w:r>
      <w:r>
        <w:rPr>
          <w:rFonts w:hint="eastAsia" w:ascii="楷体_GB2312" w:hAnsi="宋体" w:eastAsia="楷体_GB2312" w:cs="Times New Roman"/>
          <w:b/>
          <w:color w:val="auto"/>
          <w:sz w:val="32"/>
          <w:szCs w:val="32"/>
          <w:highlight w:val="none"/>
          <w:u w:val="none"/>
          <w:lang w:val="zh-CN" w:eastAsia="zh-CN"/>
        </w:rPr>
        <w:t>根据项目个性自行设定部分指标，反映该项指标执行完成情况。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rPr>
      </w:pPr>
      <w:r>
        <w:rPr>
          <w:rFonts w:hint="eastAsia" w:ascii="Times New Roman" w:hAnsi="Times New Roman" w:cs="Times New Roman"/>
          <w:color w:val="000000"/>
          <w:kern w:val="0"/>
          <w:szCs w:val="32"/>
          <w:highlight w:val="none"/>
          <w:shd w:val="clear" w:color="auto" w:fill="FFFFFF"/>
          <w:lang w:val="en-US" w:eastAsia="zh-CN"/>
        </w:rPr>
        <w:t>本单位2023年度学生资助类项目均设置了一级指标（包括产出指标、效益指标、成本指标满意度指标等）、二级指标（包括数量指标、时效指标、社会效益指标、满意度指标等）、三级指标（包括项目受益人数、完成金额、完成任务时间、执行标准、服务对象满意度等），从各个不同维度对项目执行及评估情况进行细化，绩效目标设置达到了科学合理、规范完整、量化细化、与预算相匹配</w:t>
      </w:r>
    </w:p>
    <w:p>
      <w:pPr>
        <w:pStyle w:val="8"/>
        <w:numPr>
          <w:ilvl w:val="0"/>
          <w:numId w:val="0"/>
        </w:numPr>
        <w:ind w:leftChars="200"/>
        <w:rPr>
          <w:rFonts w:hint="default"/>
          <w:lang w:val="en-US" w:eastAsia="zh-CN"/>
        </w:rPr>
      </w:pPr>
      <w:r>
        <w:rPr>
          <w:rFonts w:hint="eastAsia" w:cs="Times New Roman"/>
          <w:color w:val="auto"/>
          <w:szCs w:val="32"/>
          <w:lang w:eastAsia="zh-CN"/>
        </w:rPr>
        <w:t>本单位</w:t>
      </w:r>
      <w:r>
        <w:rPr>
          <w:rFonts w:hint="eastAsia" w:cs="Times New Roman"/>
          <w:color w:val="auto"/>
          <w:szCs w:val="32"/>
          <w:lang w:val="en-US" w:eastAsia="zh-CN"/>
        </w:rPr>
        <w:t>2023年学生资助</w:t>
      </w:r>
      <w:r>
        <w:rPr>
          <w:rFonts w:hint="eastAsia"/>
          <w:lang w:val="en-US" w:eastAsia="zh-CN"/>
        </w:rPr>
        <w:t>个性指标得分14分。</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kern w:val="0"/>
          <w:position w:val="0"/>
          <w:sz w:val="32"/>
          <w:szCs w:val="32"/>
          <w:highlight w:val="none"/>
          <w:lang w:val="en-US" w:eastAsia="zh-CN" w:bidi="ar-SA"/>
        </w:rPr>
        <w:t>简要阐述专项预算项目绩效自评总体结论，包含评价总分、</w:t>
      </w:r>
      <w:r>
        <w:rPr>
          <w:rFonts w:hint="eastAsia" w:ascii="仿宋_GB2312" w:hAnsi="仿宋_GB2312" w:eastAsia="仿宋_GB2312" w:cs="仿宋_GB2312"/>
          <w:b w:val="0"/>
          <w:bCs w:val="0"/>
          <w:sz w:val="32"/>
          <w:szCs w:val="32"/>
          <w:highlight w:val="none"/>
          <w:lang w:val="zh-CN"/>
        </w:rPr>
        <w:t>项目实施情况。</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2023年学生资助项目自评共计得分92分。</w:t>
      </w:r>
    </w:p>
    <w:p>
      <w:pPr>
        <w:adjustRightInd w:val="0"/>
        <w:snapToGrid w:val="0"/>
        <w:spacing w:line="520" w:lineRule="exact"/>
        <w:ind w:firstLine="640" w:firstLineChars="200"/>
        <w:rPr>
          <w:rFonts w:ascii="仿宋_GB2312" w:hAnsi="宋体"/>
          <w:sz w:val="32"/>
          <w:szCs w:val="32"/>
        </w:rPr>
      </w:pPr>
      <w:r>
        <w:rPr>
          <w:rFonts w:hint="eastAsia" w:ascii="仿宋_GB2312" w:hAnsi="宋体"/>
          <w:sz w:val="32"/>
          <w:szCs w:val="32"/>
        </w:rPr>
        <w:t>近年来，我州将十五年免费教育纳入公共财政保障范围，学前教育“一免一补”、九年义务教育“三免两补”、普通高中“两免一助” 等政策为实现县域内义务教育优质均衡发展提供了基础性保障。进一步完善十五年免费教育经费保障机制，有利于进一步深化全州教育改革、优化教育资源配置、优化教育布局，实现十五年免费教育在更高层次的均衡发展，促进教育公平和教育质量提升；有利于深化财税体制改革，推动经济结构调整和产业转型升级；有利于促进基本公共服务均等化，构建社会主义和谐社会，把我州建成教育强州和川西北人才高地。</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简要阐述专项预算项目绩效自评发现的主要问题。</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宋体" w:eastAsia="仿宋_GB2312" w:cs="Times New Roman"/>
          <w:kern w:val="2"/>
          <w:position w:val="0"/>
          <w:sz w:val="32"/>
          <w:szCs w:val="32"/>
          <w:lang w:val="en-US" w:eastAsia="zh-CN" w:bidi="ar-SA"/>
        </w:rPr>
      </w:pPr>
      <w:r>
        <w:rPr>
          <w:rFonts w:hint="eastAsia" w:ascii="仿宋_GB2312" w:hAnsi="宋体" w:eastAsia="仿宋_GB2312" w:cs="Times New Roman"/>
          <w:kern w:val="2"/>
          <w:position w:val="0"/>
          <w:sz w:val="32"/>
          <w:szCs w:val="32"/>
          <w:lang w:val="en-US" w:eastAsia="zh-CN" w:bidi="ar-SA"/>
        </w:rPr>
        <w:t>现行保障制度仍然存在保障水平低、资源配置不够均衡、综合改革有待深化等问题</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tabs>
          <w:tab w:val="left" w:pos="1911"/>
        </w:tabs>
        <w:jc w:val="left"/>
        <w:rPr>
          <w:rFonts w:hint="eastAsia" w:ascii="仿宋_GB2312" w:hAnsi="仿宋_GB2312" w:eastAsia="仿宋_GB2312" w:cs="仿宋_GB2312"/>
          <w:b w:val="0"/>
          <w:bCs w:val="0"/>
          <w:kern w:val="0"/>
          <w:positio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r>
        <w:rPr>
          <w:rFonts w:hint="eastAsia" w:ascii="仿宋_GB2312" w:hAnsi="仿宋_GB2312" w:cs="仿宋_GB2312"/>
          <w:b w:val="0"/>
          <w:bCs w:val="0"/>
          <w:kern w:val="0"/>
          <w:position w:val="0"/>
          <w:sz w:val="32"/>
          <w:szCs w:val="32"/>
          <w:highlight w:val="none"/>
          <w:lang w:val="en-US" w:eastAsia="zh-CN" w:bidi="ar-SA"/>
        </w:rPr>
        <w:t xml:space="preserve">   </w:t>
      </w:r>
      <w:r>
        <w:rPr>
          <w:rFonts w:hint="eastAsia" w:ascii="仿宋_GB2312" w:hAnsi="仿宋_GB2312" w:eastAsia="仿宋_GB2312" w:cs="仿宋_GB2312"/>
          <w:b w:val="0"/>
          <w:bCs w:val="0"/>
          <w:kern w:val="0"/>
          <w:position w:val="0"/>
          <w:sz w:val="32"/>
          <w:szCs w:val="32"/>
          <w:highlight w:val="none"/>
          <w:lang w:val="en-US" w:eastAsia="zh-CN" w:bidi="ar-SA"/>
        </w:rPr>
        <w:t>简要阐述</w:t>
      </w:r>
      <w:bookmarkStart w:id="0" w:name="_Hlk110546638"/>
      <w:r>
        <w:rPr>
          <w:rFonts w:hint="eastAsia" w:ascii="仿宋_GB2312" w:hAnsi="仿宋_GB2312" w:eastAsia="仿宋_GB2312" w:cs="仿宋_GB2312"/>
          <w:b w:val="0"/>
          <w:bCs w:val="0"/>
          <w:kern w:val="0"/>
          <w:position w:val="0"/>
          <w:sz w:val="32"/>
          <w:szCs w:val="32"/>
          <w:highlight w:val="none"/>
          <w:lang w:val="en-US" w:eastAsia="zh-CN" w:bidi="ar-SA"/>
        </w:rPr>
        <w:t>专项预算项目</w:t>
      </w:r>
      <w:r>
        <w:rPr>
          <w:rFonts w:hint="eastAsia" w:ascii="仿宋_GB2312" w:hAnsi="仿宋_GB2312" w:cs="仿宋_GB2312"/>
          <w:b w:val="0"/>
          <w:bCs w:val="0"/>
          <w:kern w:val="0"/>
          <w:position w:val="0"/>
          <w:sz w:val="32"/>
          <w:szCs w:val="32"/>
          <w:highlight w:val="none"/>
          <w:lang w:val="en-US" w:eastAsia="zh-CN" w:bidi="ar-SA"/>
        </w:rPr>
        <w:t>在</w:t>
      </w:r>
      <w:r>
        <w:rPr>
          <w:rFonts w:hint="eastAsia" w:ascii="仿宋_GB2312" w:hAnsi="仿宋_GB2312" w:eastAsia="仿宋_GB2312" w:cs="仿宋_GB2312"/>
          <w:b w:val="0"/>
          <w:bCs w:val="0"/>
          <w:kern w:val="0"/>
          <w:position w:val="0"/>
          <w:sz w:val="32"/>
          <w:szCs w:val="32"/>
          <w:highlight w:val="none"/>
          <w:lang w:val="en" w:eastAsia="zh-CN" w:bidi="ar-SA"/>
        </w:rPr>
        <w:t>预算安排、完善政策、改进管理等方面的</w:t>
      </w:r>
      <w:r>
        <w:rPr>
          <w:rFonts w:hint="eastAsia" w:ascii="黑体" w:hAnsi="黑体" w:cs="黑体"/>
          <w:b w:val="0"/>
          <w:bCs w:val="0"/>
          <w:kern w:val="2"/>
          <w:position w:val="0"/>
          <w:sz w:val="32"/>
          <w:szCs w:val="32"/>
          <w:highlight w:val="none"/>
          <w:lang w:val="en-US" w:eastAsia="zh-CN" w:bidi="ar-SA"/>
        </w:rPr>
        <w:t>措施</w:t>
      </w:r>
      <w:r>
        <w:rPr>
          <w:rFonts w:hint="eastAsia" w:ascii="仿宋_GB2312" w:hAnsi="仿宋_GB2312" w:eastAsia="仿宋_GB2312" w:cs="仿宋_GB2312"/>
          <w:b w:val="0"/>
          <w:bCs w:val="0"/>
          <w:kern w:val="0"/>
          <w:position w:val="0"/>
          <w:sz w:val="32"/>
          <w:szCs w:val="32"/>
          <w:highlight w:val="none"/>
          <w:lang w:val="en" w:eastAsia="zh-CN" w:bidi="ar-SA"/>
        </w:rPr>
        <w:t>建议</w:t>
      </w:r>
      <w:r>
        <w:rPr>
          <w:rFonts w:hint="eastAsia" w:ascii="仿宋_GB2312" w:hAnsi="仿宋_GB2312" w:cs="仿宋_GB2312"/>
          <w:b w:val="0"/>
          <w:bCs w:val="0"/>
          <w:kern w:val="0"/>
          <w:position w:val="0"/>
          <w:sz w:val="32"/>
          <w:szCs w:val="32"/>
          <w:highlight w:val="none"/>
          <w:lang w:val="en" w:eastAsia="zh-CN" w:bidi="ar-SA"/>
        </w:rPr>
        <w:t>，其中</w:t>
      </w:r>
      <w:r>
        <w:rPr>
          <w:rFonts w:hint="eastAsia" w:ascii="仿宋_GB2312" w:hAnsi="仿宋_GB2312" w:eastAsia="仿宋_GB2312" w:cs="仿宋_GB2312"/>
          <w:b w:val="0"/>
          <w:bCs w:val="0"/>
          <w:kern w:val="0"/>
          <w:position w:val="0"/>
          <w:sz w:val="32"/>
          <w:szCs w:val="32"/>
          <w:highlight w:val="none"/>
          <w:lang w:val="en-US" w:eastAsia="zh-CN" w:bidi="ar-SA"/>
        </w:rPr>
        <w:t>必须</w:t>
      </w:r>
      <w:r>
        <w:rPr>
          <w:rFonts w:hint="eastAsia" w:ascii="仿宋_GB2312" w:hAnsi="仿宋_GB2312" w:cs="仿宋_GB2312"/>
          <w:b w:val="0"/>
          <w:bCs w:val="0"/>
          <w:kern w:val="0"/>
          <w:position w:val="0"/>
          <w:sz w:val="32"/>
          <w:szCs w:val="32"/>
          <w:highlight w:val="none"/>
          <w:lang w:val="en-US" w:eastAsia="zh-CN" w:bidi="ar-SA"/>
        </w:rPr>
        <w:t>对</w:t>
      </w:r>
      <w:r>
        <w:rPr>
          <w:rFonts w:hint="eastAsia" w:ascii="仿宋_GB2312" w:hAnsi="仿宋_GB2312" w:eastAsia="仿宋_GB2312" w:cs="仿宋_GB2312"/>
          <w:b w:val="0"/>
          <w:bCs w:val="0"/>
          <w:kern w:val="0"/>
          <w:position w:val="0"/>
          <w:sz w:val="32"/>
          <w:szCs w:val="32"/>
          <w:highlight w:val="none"/>
          <w:lang w:val="en-US" w:eastAsia="zh-CN" w:bidi="ar-SA"/>
        </w:rPr>
        <w:t>评价发现的主要问题</w:t>
      </w:r>
      <w:r>
        <w:rPr>
          <w:rFonts w:hint="eastAsia" w:ascii="仿宋_GB2312" w:hAnsi="仿宋_GB2312" w:cs="仿宋_GB2312"/>
          <w:b w:val="0"/>
          <w:bCs w:val="0"/>
          <w:kern w:val="0"/>
          <w:position w:val="0"/>
          <w:sz w:val="32"/>
          <w:szCs w:val="32"/>
          <w:highlight w:val="none"/>
          <w:lang w:val="en-US" w:eastAsia="zh-CN" w:bidi="ar-SA"/>
        </w:rPr>
        <w:t>一一提出措施建议。</w:t>
      </w:r>
    </w:p>
    <w:bookmarkEnd w:id="0"/>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附表：1.项目资金分配涉及所有点位自评得分情况表</w:t>
      </w:r>
    </w:p>
    <w:p>
      <w:pPr>
        <w:keepNext w:val="0"/>
        <w:keepLines w:val="0"/>
        <w:pageBreakBefore w:val="0"/>
        <w:kinsoku/>
        <w:wordWrap/>
        <w:overflowPunct/>
        <w:topLinePunct w:val="0"/>
        <w:autoSpaceDE/>
        <w:autoSpaceDN/>
        <w:bidi w:val="0"/>
        <w:adjustRightInd/>
        <w:snapToGrid w:val="0"/>
        <w:spacing w:line="578" w:lineRule="exact"/>
        <w:ind w:left="0" w:leftChars="0" w:firstLine="1600" w:firstLineChars="500"/>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1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r>
              <w:rPr>
                <w:rFonts w:hint="eastAsia" w:ascii="宋体" w:hAnsi="宋体" w:cs="宋体"/>
                <w:color w:val="auto"/>
                <w:sz w:val="24"/>
                <w:szCs w:val="24"/>
                <w:highlight w:val="none"/>
                <w:u w:val="none"/>
                <w:vertAlign w:val="baseline"/>
                <w:lang w:val="en" w:eastAsia="zh-CN"/>
              </w:rPr>
              <w:t>教育局所有学校</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92</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tbl>
      <w:tblPr>
        <w:tblStyle w:val="10"/>
        <w:tblW w:w="0" w:type="auto"/>
        <w:tblInd w:w="0" w:type="dxa"/>
        <w:shd w:val="clear" w:color="auto" w:fill="auto"/>
        <w:tblLayout w:type="autofit"/>
        <w:tblCellMar>
          <w:top w:w="0" w:type="dxa"/>
          <w:left w:w="0" w:type="dxa"/>
          <w:bottom w:w="0" w:type="dxa"/>
          <w:right w:w="0" w:type="dxa"/>
        </w:tblCellMar>
      </w:tblPr>
      <w:tblGrid>
        <w:gridCol w:w="683"/>
        <w:gridCol w:w="436"/>
        <w:gridCol w:w="905"/>
        <w:gridCol w:w="1689"/>
        <w:gridCol w:w="606"/>
        <w:gridCol w:w="818"/>
        <w:gridCol w:w="632"/>
        <w:gridCol w:w="818"/>
        <w:gridCol w:w="452"/>
        <w:gridCol w:w="386"/>
        <w:gridCol w:w="917"/>
      </w:tblGrid>
      <w:tr>
        <w:tblPrEx>
          <w:shd w:val="clear" w:color="auto" w:fill="auto"/>
          <w:tblCellMar>
            <w:top w:w="0" w:type="dxa"/>
            <w:left w:w="0" w:type="dxa"/>
            <w:bottom w:w="0" w:type="dxa"/>
            <w:right w:w="0" w:type="dxa"/>
          </w:tblCellMar>
        </w:tblPrEx>
        <w:trPr>
          <w:trHeight w:val="540" w:hRule="atLeast"/>
        </w:trPr>
        <w:tc>
          <w:tcPr>
            <w:tcW w:w="0" w:type="auto"/>
            <w:gridSpan w:val="11"/>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shd w:val="clear" w:color="auto" w:fill="auto"/>
          <w:tblCellMar>
            <w:top w:w="0" w:type="dxa"/>
            <w:left w:w="0" w:type="dxa"/>
            <w:bottom w:w="0" w:type="dxa"/>
            <w:right w:w="0" w:type="dxa"/>
          </w:tblCellMar>
        </w:tblPrEx>
        <w:trPr>
          <w:trHeight w:val="315"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学生资助类</w:t>
            </w:r>
          </w:p>
        </w:tc>
      </w:tr>
      <w:tr>
        <w:tblPrEx>
          <w:shd w:val="clear" w:color="auto" w:fill="auto"/>
          <w:tblCellMar>
            <w:top w:w="0" w:type="dxa"/>
            <w:left w:w="0" w:type="dxa"/>
            <w:bottom w:w="0" w:type="dxa"/>
            <w:right w:w="0" w:type="dxa"/>
          </w:tblCellMar>
        </w:tblPrEx>
        <w:trPr>
          <w:trHeight w:val="315"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w:t>
            </w:r>
          </w:p>
        </w:tc>
        <w:tc>
          <w:tcPr>
            <w:tcW w:w="0" w:type="auto"/>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黑水县教育局</w:t>
            </w:r>
          </w:p>
        </w:tc>
      </w:tr>
      <w:tr>
        <w:tblPrEx>
          <w:shd w:val="clear" w:color="auto" w:fill="auto"/>
          <w:tblCellMar>
            <w:top w:w="0" w:type="dxa"/>
            <w:left w:w="0" w:type="dxa"/>
            <w:bottom w:w="0" w:type="dxa"/>
            <w:right w:w="0" w:type="dxa"/>
          </w:tblCellMar>
        </w:tblPrEx>
        <w:trPr>
          <w:trHeight w:val="315"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项目类型</w:t>
            </w:r>
          </w:p>
        </w:tc>
        <w:tc>
          <w:tcPr>
            <w:tcW w:w="0" w:type="auto"/>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经常性</w:t>
            </w:r>
          </w:p>
        </w:tc>
      </w:tr>
      <w:tr>
        <w:tblPrEx>
          <w:shd w:val="clear" w:color="auto" w:fill="auto"/>
          <w:tblCellMar>
            <w:top w:w="0" w:type="dxa"/>
            <w:left w:w="0" w:type="dxa"/>
            <w:bottom w:w="0" w:type="dxa"/>
            <w:right w:w="0" w:type="dxa"/>
          </w:tblCellMar>
        </w:tblPrEx>
        <w:trPr>
          <w:trHeight w:val="585" w:hRule="atLeast"/>
        </w:trPr>
        <w:tc>
          <w:tcPr>
            <w:tcW w:w="0" w:type="auto"/>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项目概况</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中长期规划（名称、文号，仅指常年项目）</w:t>
            </w:r>
          </w:p>
        </w:tc>
        <w:tc>
          <w:tcPr>
            <w:tcW w:w="0" w:type="auto"/>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保教费、生均经费、午餐补助、寄宿制学生生活补助、贫困大中专学生补助、营养餐、取暖费、课后延时服务、免作业本费、高中学生免教材费、高中学生免学杂费、高中困难家庭学生生活补助等</w:t>
            </w:r>
          </w:p>
        </w:tc>
      </w:tr>
      <w:tr>
        <w:tblPrEx>
          <w:shd w:val="clear" w:color="auto" w:fill="auto"/>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资金管理办法（名称、文号）</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阿府发[2016]18号、阿州财教[2013]119号，黑委办[2021]51号,阿州财教[2015]45号,阿州财教[2015]95号川财教[2019]208号,阿州财教[2016]40号,黑委办发[2017]25号,川财教[2019]212号，阿州财教[2012]107号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,阿州财教[2012]107号,阿州财教[2015]20号,阿州财教[2016]117号,黑府办发【2021】1号</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绩效分配方式</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Wingdings 2" w:hAnsi="Wingdings 2" w:eastAsia="Wingdings 2" w:cs="Wingdings 2"/>
                <w:i w:val="0"/>
                <w:color w:val="000000"/>
                <w:sz w:val="18"/>
                <w:szCs w:val="18"/>
                <w:u w:val="none"/>
              </w:rPr>
            </w:pPr>
            <w:r>
              <w:rPr>
                <w:rFonts w:hint="default" w:ascii="Wingdings 2" w:hAnsi="Wingdings 2" w:eastAsia="Wingdings 2" w:cs="Wingdings 2"/>
                <w:i w:val="0"/>
                <w:color w:val="000000"/>
                <w:kern w:val="0"/>
                <w:sz w:val="18"/>
                <w:szCs w:val="18"/>
                <w:u w:val="none"/>
                <w:lang w:val="en-US" w:eastAsia="zh-CN" w:bidi="ar"/>
              </w:rPr>
              <w:t>£</w:t>
            </w:r>
            <w:r>
              <w:rPr>
                <w:rStyle w:val="14"/>
                <w:lang w:val="en-US" w:eastAsia="zh-CN" w:bidi="ar"/>
              </w:rPr>
              <w:t>因素法</w:t>
            </w:r>
            <w:r>
              <w:rPr>
                <w:rStyle w:val="15"/>
                <w:lang w:val="en-US" w:eastAsia="zh-CN" w:bidi="ar"/>
              </w:rPr>
              <w:t xml:space="preserve"> £</w:t>
            </w:r>
            <w:r>
              <w:rPr>
                <w:rStyle w:val="14"/>
                <w:lang w:val="en-US" w:eastAsia="zh-CN" w:bidi="ar"/>
              </w:rPr>
              <w:t>项目法</w:t>
            </w:r>
            <w:r>
              <w:rPr>
                <w:rStyle w:val="15"/>
                <w:lang w:val="en-US" w:eastAsia="zh-CN" w:bidi="ar"/>
              </w:rPr>
              <w:t xml:space="preserve"> R</w:t>
            </w:r>
            <w:r>
              <w:rPr>
                <w:rStyle w:val="14"/>
                <w:lang w:val="en-US" w:eastAsia="zh-CN" w:bidi="ar"/>
              </w:rPr>
              <w:t>据实据效</w:t>
            </w:r>
            <w:r>
              <w:rPr>
                <w:rStyle w:val="15"/>
                <w:lang w:val="en-US" w:eastAsia="zh-CN" w:bidi="ar"/>
              </w:rPr>
              <w:t xml:space="preserve"> £</w:t>
            </w:r>
            <w:r>
              <w:rPr>
                <w:rStyle w:val="14"/>
                <w:lang w:val="en-US" w:eastAsia="zh-CN" w:bidi="ar"/>
              </w:rPr>
              <w:t>因素法与项目法相结合</w:t>
            </w:r>
          </w:p>
        </w:tc>
      </w:tr>
      <w:tr>
        <w:tblPrEx>
          <w:shd w:val="clear" w:color="auto" w:fill="auto"/>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立项依据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阿府发[2016]18号、阿州财教[2013]119号，黑委办[2021]51号,阿州财教[2015]45号,阿州财教[2015]95号川财教[2019]208号,阿州财教[2016]40号,黑委办发[2017]25号,川财教[2019]212号，阿州财教[2012]107号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,阿州财教[2012]107号,阿州财教[2015]20号,阿州财教[2016]117号,黑府办发【2021】1号</w:t>
            </w:r>
          </w:p>
        </w:tc>
      </w:tr>
      <w:tr>
        <w:tblPrEx>
          <w:shd w:val="clear" w:color="auto" w:fill="auto"/>
          <w:tblCellMar>
            <w:top w:w="0" w:type="dxa"/>
            <w:left w:w="0" w:type="dxa"/>
            <w:bottom w:w="0" w:type="dxa"/>
            <w:right w:w="0"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使用范围</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学前教育、小学教育、初中教育、高中教育、高等教育</w:t>
            </w:r>
          </w:p>
        </w:tc>
      </w:tr>
      <w:tr>
        <w:tblPrEx>
          <w:shd w:val="clear" w:color="auto" w:fill="auto"/>
          <w:tblCellMar>
            <w:top w:w="0" w:type="dxa"/>
            <w:left w:w="0" w:type="dxa"/>
            <w:bottom w:w="0" w:type="dxa"/>
            <w:right w:w="0"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申报（补助）条件</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按政策规定</w:t>
            </w:r>
          </w:p>
        </w:tc>
      </w:tr>
      <w:tr>
        <w:tblPrEx>
          <w:shd w:val="clear" w:color="auto" w:fill="auto"/>
          <w:tblCellMar>
            <w:top w:w="0" w:type="dxa"/>
            <w:left w:w="0" w:type="dxa"/>
            <w:bottom w:w="0" w:type="dxa"/>
            <w:right w:w="0"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项目起止年限</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r>
      <w:tr>
        <w:tblPrEx>
          <w:shd w:val="clear" w:color="auto" w:fill="auto"/>
          <w:tblCellMar>
            <w:top w:w="0" w:type="dxa"/>
            <w:left w:w="0" w:type="dxa"/>
            <w:bottom w:w="0" w:type="dxa"/>
            <w:right w:w="0" w:type="dxa"/>
          </w:tblCellMar>
        </w:tblPrEx>
        <w:trPr>
          <w:trHeight w:val="4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年度资金总额：</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1654.63</w:t>
            </w:r>
          </w:p>
        </w:tc>
      </w:tr>
      <w:tr>
        <w:tblPrEx>
          <w:shd w:val="clear" w:color="auto" w:fill="auto"/>
          <w:tblCellMar>
            <w:top w:w="0" w:type="dxa"/>
            <w:left w:w="0" w:type="dxa"/>
            <w:bottom w:w="0" w:type="dxa"/>
            <w:right w:w="0" w:type="dxa"/>
          </w:tblCellMar>
        </w:tblPrEx>
        <w:trPr>
          <w:trHeight w:val="4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其中：财政拨款</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1654.63</w:t>
            </w:r>
          </w:p>
        </w:tc>
      </w:tr>
      <w:tr>
        <w:tblPrEx>
          <w:shd w:val="clear" w:color="auto" w:fill="auto"/>
          <w:tblCellMar>
            <w:top w:w="0" w:type="dxa"/>
            <w:left w:w="0" w:type="dxa"/>
            <w:bottom w:w="0" w:type="dxa"/>
            <w:right w:w="0" w:type="dxa"/>
          </w:tblCellMar>
        </w:tblPrEx>
        <w:trPr>
          <w:trHeight w:val="4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全额发放学生助学金</w:t>
            </w:r>
          </w:p>
        </w:tc>
      </w:tr>
      <w:tr>
        <w:tblPrEx>
          <w:shd w:val="clear" w:color="auto" w:fill="auto"/>
          <w:tblCellMar>
            <w:top w:w="0" w:type="dxa"/>
            <w:left w:w="0" w:type="dxa"/>
            <w:bottom w:w="0" w:type="dxa"/>
            <w:right w:w="0" w:type="dxa"/>
          </w:tblCellMar>
        </w:tblPrEx>
        <w:trPr>
          <w:trHeight w:val="600" w:hRule="atLeast"/>
        </w:trPr>
        <w:tc>
          <w:tcPr>
            <w:tcW w:w="0" w:type="auto"/>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15"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受益人数</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3431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4092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Helvetica" w:hAnsi="Helvetica" w:eastAsia="Helvetica" w:cs="Helvetica"/>
                <w:i w:val="0"/>
                <w:color w:val="000000"/>
                <w:sz w:val="19"/>
                <w:szCs w:val="19"/>
                <w:u w:val="none"/>
              </w:rPr>
            </w:pPr>
            <w:r>
              <w:rPr>
                <w:rFonts w:hint="default" w:ascii="Helvetica" w:hAnsi="Helvetica" w:eastAsia="Helvetica" w:cs="Helvetica"/>
                <w:i w:val="0"/>
                <w:color w:val="000000"/>
                <w:kern w:val="0"/>
                <w:sz w:val="19"/>
                <w:szCs w:val="19"/>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1654.63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1654.63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执行标准（学前）</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元/生.年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执行标准（小学）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元/生.年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2060</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执行标准（初中）</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2568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元/生.年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2378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执行标准（高中）</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元/生.年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执行标准（中职）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元/生.年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执行标准（本专科）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元/生.年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义务教育阶段寄宿生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元/生.年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高中困难学生国家补助标准</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元/生.年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学前入园率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93.04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义务教育适龄儿童入学率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高中阶段入学率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90.84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义务教育残疾适龄儿童入学率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九年义务教育巩固率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99.67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项目完成良好，自评得分90分以上。减</w:t>
            </w:r>
            <w:r>
              <w:rPr>
                <w:rFonts w:hint="default" w:ascii="微软雅黑" w:hAnsi="微软雅黑" w:eastAsia="微软雅黑" w:cs="微软雅黑"/>
                <w:i/>
                <w:color w:val="000000"/>
                <w:kern w:val="0"/>
                <w:sz w:val="16"/>
                <w:szCs w:val="16"/>
                <w:u w:val="none"/>
                <w:lang w:eastAsia="zh-CN" w:bidi="ar"/>
              </w:rPr>
              <w:t>轻</w:t>
            </w:r>
            <w:bookmarkStart w:id="1" w:name="_GoBack"/>
            <w:bookmarkEnd w:id="1"/>
            <w:r>
              <w:rPr>
                <w:rFonts w:hint="eastAsia" w:ascii="微软雅黑" w:hAnsi="微软雅黑" w:eastAsia="微软雅黑" w:cs="微软雅黑"/>
                <w:i/>
                <w:color w:val="000000"/>
                <w:kern w:val="0"/>
                <w:sz w:val="16"/>
                <w:szCs w:val="16"/>
                <w:u w:val="none"/>
                <w:lang w:val="en-US" w:eastAsia="zh-CN" w:bidi="ar"/>
              </w:rPr>
              <w:t>农牧民家庭子女入学负担，提高农牧民子女受教育程度，不断提升少数民族基础教育质量</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少数民族地区农村小规模学校生均经费总额小，学校运行困难。</w:t>
            </w: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向小规模学校倾斜</w:t>
            </w:r>
          </w:p>
        </w:tc>
      </w:tr>
      <w:tr>
        <w:tblPrEx>
          <w:shd w:val="clear" w:color="auto" w:fill="auto"/>
          <w:tblCellMar>
            <w:top w:w="0" w:type="dxa"/>
            <w:left w:w="0" w:type="dxa"/>
            <w:bottom w:w="0" w:type="dxa"/>
            <w:right w:w="0"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项目负责人：胥德平</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财务负责人：文福</w:t>
            </w:r>
          </w:p>
        </w:tc>
      </w:tr>
    </w:tbl>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p>
      <w:pPr>
        <w:pStyle w:val="9"/>
        <w:keepNext w:val="0"/>
        <w:keepLines w:val="0"/>
        <w:pageBreakBefore w:val="0"/>
        <w:kinsoku/>
        <w:wordWrap/>
        <w:overflowPunct/>
        <w:topLinePunct w:val="0"/>
        <w:autoSpaceDE/>
        <w:autoSpaceDN/>
        <w:bidi w:val="0"/>
        <w:spacing w:after="0" w:line="578" w:lineRule="exact"/>
        <w:ind w:left="0" w:leftChars="0" w:firstLine="0" w:firstLineChars="0"/>
        <w:rPr>
          <w:rFonts w:hint="default"/>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Helvetica">
    <w:altName w:val="仿宋_GB2312"/>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EB77E"/>
    <w:multiLevelType w:val="singleLevel"/>
    <w:tmpl w:val="B4FEB77E"/>
    <w:lvl w:ilvl="0" w:tentative="0">
      <w:start w:val="3"/>
      <w:numFmt w:val="chineseCounting"/>
      <w:suff w:val="nothing"/>
      <w:lvlText w:val="（%1）"/>
      <w:lvlJc w:val="left"/>
      <w:rPr>
        <w:rFonts w:hint="eastAsia"/>
      </w:rPr>
    </w:lvl>
  </w:abstractNum>
  <w:abstractNum w:abstractNumId="1">
    <w:nsid w:val="DFF745A4"/>
    <w:multiLevelType w:val="singleLevel"/>
    <w:tmpl w:val="DFF745A4"/>
    <w:lvl w:ilvl="0" w:tentative="0">
      <w:start w:val="2"/>
      <w:numFmt w:val="decimal"/>
      <w:lvlText w:val="%1."/>
      <w:lvlJc w:val="left"/>
      <w:pPr>
        <w:tabs>
          <w:tab w:val="left" w:pos="312"/>
        </w:tabs>
      </w:pPr>
    </w:lvl>
  </w:abstractNum>
  <w:abstractNum w:abstractNumId="2">
    <w:nsid w:val="6E1F52E4"/>
    <w:multiLevelType w:val="singleLevel"/>
    <w:tmpl w:val="6E1F52E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94265F2"/>
    <w:rsid w:val="0AD17F08"/>
    <w:rsid w:val="11F465AC"/>
    <w:rsid w:val="1248760D"/>
    <w:rsid w:val="13576FC1"/>
    <w:rsid w:val="17095ED2"/>
    <w:rsid w:val="1C25106F"/>
    <w:rsid w:val="1CFD8DF6"/>
    <w:rsid w:val="1FFF9AD9"/>
    <w:rsid w:val="22AD555F"/>
    <w:rsid w:val="26CF2DB3"/>
    <w:rsid w:val="29A06CC5"/>
    <w:rsid w:val="2AF86ED7"/>
    <w:rsid w:val="2AFDF212"/>
    <w:rsid w:val="2B385C88"/>
    <w:rsid w:val="2B6BF484"/>
    <w:rsid w:val="2C464C2B"/>
    <w:rsid w:val="2FBD543A"/>
    <w:rsid w:val="2FFF7DE7"/>
    <w:rsid w:val="33F748AD"/>
    <w:rsid w:val="35874596"/>
    <w:rsid w:val="35F2A362"/>
    <w:rsid w:val="36EA2AC9"/>
    <w:rsid w:val="371046AB"/>
    <w:rsid w:val="371A51D2"/>
    <w:rsid w:val="373BBD0C"/>
    <w:rsid w:val="38467F4C"/>
    <w:rsid w:val="39BFEDBA"/>
    <w:rsid w:val="39DBABD8"/>
    <w:rsid w:val="3AED12ED"/>
    <w:rsid w:val="3AFF6A5D"/>
    <w:rsid w:val="3BDD34D2"/>
    <w:rsid w:val="3BDDFF97"/>
    <w:rsid w:val="3BFFD43B"/>
    <w:rsid w:val="3C7BD5C9"/>
    <w:rsid w:val="3FBF9251"/>
    <w:rsid w:val="3FED766E"/>
    <w:rsid w:val="3FFEEAD9"/>
    <w:rsid w:val="3FFFE931"/>
    <w:rsid w:val="43DA064B"/>
    <w:rsid w:val="457F07F2"/>
    <w:rsid w:val="45BD7A6D"/>
    <w:rsid w:val="46C11C4B"/>
    <w:rsid w:val="48D5044E"/>
    <w:rsid w:val="4CC6FDBD"/>
    <w:rsid w:val="4E07F45D"/>
    <w:rsid w:val="4FF59AF5"/>
    <w:rsid w:val="503D00E8"/>
    <w:rsid w:val="519608F0"/>
    <w:rsid w:val="55FE10A2"/>
    <w:rsid w:val="560A7ED7"/>
    <w:rsid w:val="56EF6619"/>
    <w:rsid w:val="57AF1E73"/>
    <w:rsid w:val="5AB21C33"/>
    <w:rsid w:val="5B480A3F"/>
    <w:rsid w:val="5B778EC0"/>
    <w:rsid w:val="5BFD93EC"/>
    <w:rsid w:val="5CBA8FF2"/>
    <w:rsid w:val="5D5F7E21"/>
    <w:rsid w:val="5F5B35E4"/>
    <w:rsid w:val="609FA7B0"/>
    <w:rsid w:val="60B177D8"/>
    <w:rsid w:val="69FCE5E7"/>
    <w:rsid w:val="6B574EFB"/>
    <w:rsid w:val="6BCDA9CC"/>
    <w:rsid w:val="6D9F2765"/>
    <w:rsid w:val="6DB508E5"/>
    <w:rsid w:val="6DDFA6BD"/>
    <w:rsid w:val="6E767ACE"/>
    <w:rsid w:val="6E781687"/>
    <w:rsid w:val="6EEE3ED1"/>
    <w:rsid w:val="6EFFED40"/>
    <w:rsid w:val="6F1B2166"/>
    <w:rsid w:val="6F5FC1DE"/>
    <w:rsid w:val="6FB3E1FD"/>
    <w:rsid w:val="6FD768E4"/>
    <w:rsid w:val="6FF341F1"/>
    <w:rsid w:val="6FFEBD86"/>
    <w:rsid w:val="70C86ACD"/>
    <w:rsid w:val="70F25D01"/>
    <w:rsid w:val="73FF1F09"/>
    <w:rsid w:val="73FF684B"/>
    <w:rsid w:val="74A708C5"/>
    <w:rsid w:val="76DFCB7D"/>
    <w:rsid w:val="771D4D51"/>
    <w:rsid w:val="7735A28E"/>
    <w:rsid w:val="77778F6D"/>
    <w:rsid w:val="77ABFD6B"/>
    <w:rsid w:val="77B7A121"/>
    <w:rsid w:val="77C748BA"/>
    <w:rsid w:val="77DD24F1"/>
    <w:rsid w:val="77F10335"/>
    <w:rsid w:val="77F7E860"/>
    <w:rsid w:val="77FB8D34"/>
    <w:rsid w:val="797D0128"/>
    <w:rsid w:val="79EDB415"/>
    <w:rsid w:val="7ABBCDAB"/>
    <w:rsid w:val="7AFCAD25"/>
    <w:rsid w:val="7AFEB9B4"/>
    <w:rsid w:val="7B5E0C37"/>
    <w:rsid w:val="7B63F034"/>
    <w:rsid w:val="7B735637"/>
    <w:rsid w:val="7B7DE504"/>
    <w:rsid w:val="7BFEC4F8"/>
    <w:rsid w:val="7BFF8A28"/>
    <w:rsid w:val="7D94093F"/>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toc 1"/>
    <w:basedOn w:val="1"/>
    <w:next w:val="1"/>
    <w:qFormat/>
    <w:uiPriority w:val="0"/>
  </w:style>
  <w:style w:type="paragraph" w:styleId="8">
    <w:name w:val="table of figures"/>
    <w:basedOn w:val="1"/>
    <w:next w:val="1"/>
    <w:qFormat/>
    <w:uiPriority w:val="0"/>
    <w:pPr>
      <w:spacing w:before="100" w:beforeAutospacing="1" w:after="100" w:afterAutospacing="1"/>
      <w:ind w:left="400" w:leftChars="200" w:hanging="200" w:hangingChars="200"/>
    </w:p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14">
    <w:name w:val="font01"/>
    <w:basedOn w:val="12"/>
    <w:qFormat/>
    <w:uiPriority w:val="0"/>
    <w:rPr>
      <w:rFonts w:hint="eastAsia" w:ascii="宋体" w:hAnsi="宋体" w:eastAsia="宋体" w:cs="宋体"/>
      <w:color w:val="000000"/>
      <w:sz w:val="18"/>
      <w:szCs w:val="18"/>
      <w:u w:val="none"/>
    </w:rPr>
  </w:style>
  <w:style w:type="character" w:customStyle="1" w:styleId="15">
    <w:name w:val="font81"/>
    <w:basedOn w:val="12"/>
    <w:qFormat/>
    <w:uiPriority w:val="0"/>
    <w:rPr>
      <w:rFonts w:hint="default" w:ascii="Wingdings 2" w:hAnsi="Wingdings 2" w:eastAsia="Wingdings 2" w:cs="Wingdings 2"/>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2025-04-10T16:24:10Z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FD65ACE9ECD42879F7879466AF52A2C4</vt:lpwstr>
  </property>
</Properties>
</file>