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color w:val="auto"/>
          <w:kern w:val="2"/>
          <w:sz w:val="30"/>
          <w:szCs w:val="30"/>
          <w:highlight w:val="none"/>
          <w:lang w:val="en-US" w:eastAsia="zh-CN" w:bidi="ar-SA"/>
        </w:rPr>
      </w:pPr>
      <w:r>
        <w:rPr>
          <w:rFonts w:hint="eastAsia" w:ascii="方正小标宋简体" w:hAnsi="方正小标宋简体" w:eastAsia="方正小标宋简体" w:cs="方正小标宋简体"/>
          <w:b w:val="0"/>
          <w:bCs w:val="0"/>
          <w:color w:val="auto"/>
          <w:kern w:val="2"/>
          <w:sz w:val="30"/>
          <w:szCs w:val="30"/>
          <w:highlight w:val="none"/>
          <w:lang w:val="en-US" w:eastAsia="zh-CN" w:bidi="ar-SA"/>
        </w:rPr>
        <w:t>黑水县教育局2023年</w:t>
      </w:r>
    </w:p>
    <w:p>
      <w:pPr>
        <w:spacing w:line="580" w:lineRule="exact"/>
        <w:jc w:val="center"/>
        <w:rPr>
          <w:rFonts w:hint="eastAsia" w:ascii="方正小标宋简体" w:hAnsi="方正小标宋简体" w:eastAsia="方正小标宋简体" w:cs="方正小标宋简体"/>
          <w:b w:val="0"/>
          <w:bCs w:val="0"/>
          <w:color w:val="auto"/>
          <w:kern w:val="2"/>
          <w:sz w:val="30"/>
          <w:szCs w:val="30"/>
          <w:highlight w:val="none"/>
          <w:lang w:val="en-US" w:eastAsia="zh-CN" w:bidi="ar-SA"/>
        </w:rPr>
      </w:pPr>
      <w:r>
        <w:rPr>
          <w:rFonts w:hint="eastAsia" w:ascii="方正小标宋简体" w:hAnsi="方正小标宋简体" w:eastAsia="方正小标宋简体" w:cs="方正小标宋简体"/>
          <w:b w:val="0"/>
          <w:bCs w:val="0"/>
          <w:color w:val="auto"/>
          <w:kern w:val="2"/>
          <w:sz w:val="30"/>
          <w:szCs w:val="30"/>
          <w:highlight w:val="none"/>
          <w:lang w:val="en-US" w:eastAsia="zh-CN" w:bidi="ar-SA"/>
        </w:rPr>
        <w:t>开放大学经费项目支出绩效评价报告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adjustRightInd w:val="0"/>
        <w:snapToGrid w:val="0"/>
        <w:spacing w:line="520" w:lineRule="exact"/>
        <w:ind w:firstLine="642" w:firstLineChars="200"/>
        <w:rPr>
          <w:rFonts w:hint="eastAsia" w:ascii="仿宋_GB2312" w:hAnsi="宋体" w:eastAsia="仿宋_GB2312"/>
          <w:b w:val="0"/>
          <w:bCs w:val="0"/>
          <w:sz w:val="32"/>
          <w:szCs w:val="32"/>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宋体" w:eastAsia="仿宋_GB2312"/>
          <w:b w:val="0"/>
          <w:bCs w:val="0"/>
          <w:sz w:val="32"/>
          <w:szCs w:val="32"/>
          <w:lang w:val="en-US" w:eastAsia="zh-CN"/>
        </w:rPr>
        <w:t>开放大学以促进终身学习为使命，以现代信息技术为支撑，以</w:t>
      </w:r>
      <w:r>
        <w:rPr>
          <w:rFonts w:hint="default" w:ascii="仿宋_GB2312" w:hAnsi="宋体" w:eastAsia="仿宋_GB2312"/>
          <w:b w:val="0"/>
          <w:bCs w:val="0"/>
          <w:sz w:val="32"/>
          <w:szCs w:val="32"/>
          <w:lang w:val="en-US" w:eastAsia="zh-CN"/>
        </w:rPr>
        <w:t>“</w:t>
      </w:r>
      <w:r>
        <w:rPr>
          <w:rFonts w:hint="eastAsia" w:ascii="仿宋_GB2312" w:hAnsi="宋体" w:eastAsia="仿宋_GB2312"/>
          <w:b w:val="0"/>
          <w:bCs w:val="0"/>
          <w:sz w:val="32"/>
          <w:szCs w:val="32"/>
          <w:lang w:val="en-US" w:eastAsia="zh-CN"/>
        </w:rPr>
        <w:t>互联网＋</w:t>
      </w:r>
      <w:r>
        <w:rPr>
          <w:rFonts w:hint="default" w:ascii="仿宋_GB2312" w:hAnsi="宋体" w:eastAsia="仿宋_GB2312"/>
          <w:b w:val="0"/>
          <w:bCs w:val="0"/>
          <w:sz w:val="32"/>
          <w:szCs w:val="32"/>
          <w:lang w:val="en-US" w:eastAsia="zh-CN"/>
        </w:rPr>
        <w:t>”</w:t>
      </w:r>
      <w:r>
        <w:rPr>
          <w:rFonts w:hint="eastAsia" w:ascii="仿宋_GB2312" w:hAnsi="宋体" w:eastAsia="仿宋_GB2312"/>
          <w:b w:val="0"/>
          <w:bCs w:val="0"/>
          <w:sz w:val="32"/>
          <w:szCs w:val="32"/>
          <w:lang w:val="en-US" w:eastAsia="zh-CN"/>
        </w:rPr>
        <w:t>为特征，推进终身教育体系建设，服务全民终身教育需要，服务地方经济社会发展，是由省级开放大学、市（州、行业）开放大学、县级开放大学分校共同组成的一所新型高等学校。为贯彻落实省第十二次党代会明确提出</w:t>
      </w:r>
      <w:r>
        <w:rPr>
          <w:rFonts w:hint="default" w:ascii="仿宋_GB2312" w:hAnsi="宋体" w:eastAsia="仿宋_GB2312"/>
          <w:b w:val="0"/>
          <w:bCs w:val="0"/>
          <w:sz w:val="32"/>
          <w:szCs w:val="32"/>
          <w:lang w:val="en-US" w:eastAsia="zh-CN"/>
        </w:rPr>
        <w:t>“</w:t>
      </w:r>
      <w:r>
        <w:rPr>
          <w:rFonts w:hint="eastAsia" w:ascii="仿宋_GB2312" w:hAnsi="宋体" w:eastAsia="仿宋_GB2312"/>
          <w:b w:val="0"/>
          <w:bCs w:val="0"/>
          <w:sz w:val="32"/>
          <w:szCs w:val="32"/>
          <w:lang w:val="en-US" w:eastAsia="zh-CN"/>
        </w:rPr>
        <w:t>办好各级开放大学，大力建设书香社会</w:t>
      </w:r>
      <w:r>
        <w:rPr>
          <w:rFonts w:hint="default" w:ascii="仿宋_GB2312" w:hAnsi="宋体" w:eastAsia="仿宋_GB2312"/>
          <w:b w:val="0"/>
          <w:bCs w:val="0"/>
          <w:sz w:val="32"/>
          <w:szCs w:val="32"/>
          <w:lang w:val="en-US" w:eastAsia="zh-CN"/>
        </w:rPr>
        <w:t>”</w:t>
      </w:r>
      <w:r>
        <w:rPr>
          <w:rFonts w:hint="eastAsia" w:ascii="仿宋_GB2312" w:hAnsi="宋体" w:eastAsia="仿宋_GB2312"/>
          <w:b w:val="0"/>
          <w:bCs w:val="0"/>
          <w:sz w:val="32"/>
          <w:szCs w:val="32"/>
          <w:lang w:val="en-US" w:eastAsia="zh-CN"/>
        </w:rPr>
        <w:t>的要求，保证招生、教育、教学、考试等工作正常开展，促进开放教育和成人教育高质量、可持续发展。</w:t>
      </w:r>
    </w:p>
    <w:p>
      <w:pPr>
        <w:adjustRightInd w:val="0"/>
        <w:snapToGrid w:val="0"/>
        <w:spacing w:line="520" w:lineRule="exact"/>
        <w:ind w:firstLine="642" w:firstLineChars="200"/>
        <w:rPr>
          <w:rFonts w:ascii="仿宋_GB2312" w:hAnsi="宋体" w:eastAsia="仿宋_GB2312"/>
          <w:sz w:val="32"/>
          <w:szCs w:val="32"/>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2018年开放大学（电大）移交给教育局管理，并于2019年挂牌“阿坝开放大学黑水分校”，每年分春秋两季招收中专、大专和本科，有学生50余生，专业8－9个。为我县广大干部职工和人民群众提供了学习提高的平台，全面提升了我县的学历水平。</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cs="仿宋_GB2312"/>
          <w:color w:val="auto"/>
          <w:kern w:val="0"/>
          <w:sz w:val="32"/>
          <w:szCs w:val="32"/>
          <w:highlight w:val="none"/>
          <w:u w:val="none"/>
          <w:shd w:val="clear" w:color="auto" w:fill="FFFFFF"/>
          <w:lang w:val="en-US"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cs="仿宋_GB2312"/>
          <w:color w:val="auto"/>
          <w:kern w:val="0"/>
          <w:sz w:val="32"/>
          <w:szCs w:val="32"/>
          <w:highlight w:val="none"/>
          <w:u w:val="none"/>
          <w:shd w:val="clear" w:color="auto" w:fill="FFFFFF"/>
          <w:lang w:val="zh-CN" w:eastAsia="zh-CN"/>
        </w:rPr>
        <w:t>年度资金总额：91864.40元。资金为开放大学学生所交书学费、考试费等。</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_GB2312" w:hAnsi="仿宋_GB2312" w:cs="仿宋_GB2312"/>
          <w:color w:val="auto"/>
          <w:kern w:val="0"/>
          <w:sz w:val="32"/>
          <w:szCs w:val="32"/>
          <w:highlight w:val="none"/>
          <w:u w:val="none"/>
          <w:shd w:val="clear" w:color="auto" w:fill="FFFFFF"/>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cs="仿宋_GB2312"/>
          <w:color w:val="auto"/>
          <w:kern w:val="0"/>
          <w:sz w:val="32"/>
          <w:szCs w:val="32"/>
          <w:highlight w:val="none"/>
          <w:u w:val="none"/>
          <w:shd w:val="clear" w:color="auto" w:fill="FFFFFF"/>
          <w:lang w:val="zh-CN" w:eastAsia="zh-CN"/>
        </w:rPr>
        <w:t>完成开放大学各年级学生学习的管理、考试组织等工作。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eastAsia="仿宋_GB2312" w:cs="Times New Roman"/>
          <w:szCs w:val="32"/>
        </w:rPr>
      </w:pPr>
      <w:r>
        <w:rPr>
          <w:rFonts w:hint="eastAsia" w:ascii="楷体_GB2312" w:hAnsi="宋体" w:eastAsia="楷体_GB2312"/>
          <w:b/>
          <w:color w:val="auto"/>
          <w:sz w:val="32"/>
          <w:szCs w:val="32"/>
          <w:highlight w:val="none"/>
          <w:u w:val="none"/>
          <w:lang w:val="zh-CN"/>
        </w:rPr>
        <w:t>（一）评价目的。</w:t>
      </w:r>
      <w:r>
        <w:rPr>
          <w:rFonts w:hint="eastAsia" w:ascii="仿宋" w:hAnsi="仿宋" w:eastAsia="仿宋" w:cs="仿宋"/>
          <w:color w:val="000000"/>
          <w:kern w:val="0"/>
          <w:sz w:val="31"/>
          <w:szCs w:val="31"/>
          <w:lang w:val="en-US" w:eastAsia="zh-CN" w:bidi="ar"/>
        </w:rPr>
        <w:t>项目立项有必要性、前瞻性、合理性和可行性。资金管理办法等管理制度体系健全完善。</w:t>
      </w:r>
    </w:p>
    <w:p>
      <w:pPr>
        <w:keepNext w:val="0"/>
        <w:keepLines w:val="0"/>
        <w:widowControl/>
        <w:suppressLineNumbers w:val="0"/>
        <w:ind w:firstLine="642" w:firstLineChars="200"/>
        <w:jc w:val="left"/>
        <w:rPr>
          <w:rFonts w:hint="eastAsia" w:cs="Times New Roman"/>
          <w:szCs w:val="32"/>
          <w:lang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 w:hAnsi="仿宋" w:eastAsia="仿宋" w:cs="仿宋"/>
          <w:b w:val="0"/>
          <w:bCs/>
          <w:color w:val="000000"/>
          <w:kern w:val="0"/>
          <w:sz w:val="32"/>
          <w:szCs w:val="32"/>
          <w:lang w:val="en-US" w:eastAsia="zh-CN" w:bidi="ar"/>
        </w:rPr>
        <w:t>项目总体绩效目标设置合理性的偏离度≤15%。</w:t>
      </w:r>
    </w:p>
    <w:p>
      <w:pPr>
        <w:keepNext w:val="0"/>
        <w:keepLines w:val="0"/>
        <w:widowControl/>
        <w:suppressLineNumbers w:val="0"/>
        <w:ind w:firstLine="642" w:firstLineChars="200"/>
        <w:jc w:val="left"/>
        <w:rPr>
          <w:rFonts w:hint="eastAsia" w:cs="Times New Roman"/>
          <w:szCs w:val="32"/>
          <w:lang w:eastAsia="zh-CN"/>
        </w:rPr>
      </w:pPr>
      <w:r>
        <w:rPr>
          <w:rFonts w:hint="eastAsia" w:ascii="楷体_GB2312" w:hAnsi="宋体" w:eastAsia="楷体_GB2312"/>
          <w:b/>
          <w:color w:val="auto"/>
          <w:sz w:val="32"/>
          <w:szCs w:val="32"/>
          <w:highlight w:val="none"/>
          <w:u w:val="none"/>
          <w:lang w:val="zh-CN"/>
        </w:rPr>
        <w:t>（三）评价选点。</w:t>
      </w:r>
      <w:r>
        <w:rPr>
          <w:rFonts w:hint="eastAsia" w:ascii="仿宋" w:hAnsi="仿宋" w:eastAsia="仿宋" w:cs="仿宋"/>
          <w:b w:val="0"/>
          <w:bCs/>
          <w:color w:val="auto"/>
          <w:sz w:val="32"/>
          <w:szCs w:val="32"/>
          <w:highlight w:val="none"/>
          <w:u w:val="none"/>
          <w:lang w:val="zh-CN"/>
        </w:rPr>
        <w:t>项目</w:t>
      </w:r>
      <w:r>
        <w:rPr>
          <w:rFonts w:hint="eastAsia" w:ascii="仿宋" w:hAnsi="仿宋" w:eastAsia="仿宋" w:cs="仿宋"/>
          <w:b w:val="0"/>
          <w:bCs/>
          <w:sz w:val="32"/>
          <w:szCs w:val="32"/>
        </w:rPr>
        <w:t>资金投向与项目总体规划、事业发展相匹配</w:t>
      </w:r>
      <w:r>
        <w:rPr>
          <w:rFonts w:hint="eastAsia" w:ascii="仿宋" w:hAnsi="仿宋" w:eastAsia="仿宋" w:cs="仿宋"/>
          <w:b w:val="0"/>
          <w:bCs/>
          <w:sz w:val="32"/>
          <w:szCs w:val="32"/>
          <w:lang w:eastAsia="zh-CN"/>
        </w:rPr>
        <w:t>。</w:t>
      </w:r>
      <w:r>
        <w:rPr>
          <w:rFonts w:hint="eastAsia" w:ascii="仿宋" w:hAnsi="仿宋" w:eastAsia="仿宋" w:cs="仿宋"/>
          <w:b w:val="0"/>
          <w:bCs/>
          <w:color w:val="000000"/>
          <w:kern w:val="0"/>
          <w:sz w:val="32"/>
          <w:szCs w:val="32"/>
          <w:lang w:val="en-US" w:eastAsia="zh-CN" w:bidi="ar"/>
        </w:rPr>
        <w:t>项目总体绩效目标设置合理性的偏离度≤15%。</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b w:val="0"/>
          <w:bCs/>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 w:hAnsi="仿宋" w:eastAsia="仿宋" w:cs="仿宋"/>
          <w:b w:val="0"/>
          <w:bCs/>
          <w:color w:val="auto"/>
          <w:sz w:val="32"/>
          <w:szCs w:val="32"/>
          <w:highlight w:val="none"/>
          <w:u w:val="none"/>
          <w:lang w:val="zh-CN"/>
        </w:rPr>
        <w:t>项目采用单位自评法</w:t>
      </w:r>
      <w:r>
        <w:rPr>
          <w:rFonts w:hint="eastAsia" w:ascii="仿宋" w:hAnsi="仿宋" w:eastAsia="仿宋" w:cs="仿宋"/>
          <w:b w:val="0"/>
          <w:bCs/>
          <w:color w:val="auto"/>
          <w:sz w:val="32"/>
          <w:szCs w:val="32"/>
          <w:highlight w:val="none"/>
          <w:u w:val="none"/>
          <w:lang w:val="zh-CN"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 w:hAnsi="仿宋" w:eastAsia="仿宋" w:cs="仿宋"/>
          <w:b w:val="0"/>
          <w:bCs/>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rPr>
        <w:t>（五）评价组织。</w:t>
      </w:r>
      <w:r>
        <w:rPr>
          <w:rFonts w:hint="eastAsia" w:ascii="仿宋" w:hAnsi="仿宋" w:eastAsia="仿宋" w:cs="仿宋"/>
          <w:b w:val="0"/>
          <w:bCs/>
          <w:color w:val="auto"/>
          <w:sz w:val="32"/>
          <w:szCs w:val="32"/>
          <w:highlight w:val="none"/>
          <w:u w:val="none"/>
          <w:lang w:val="zh-CN" w:eastAsia="zh-CN"/>
        </w:rPr>
        <w:t>由县局财务和实施单位开放大学黑水分校依据规划和实施情况开展了自评。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仿宋_GB2312" w:cs="Times New Roman"/>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w:t>
      </w:r>
      <w:r>
        <w:rPr>
          <w:rFonts w:hint="eastAsia" w:ascii="Times New Roman" w:hAnsi="Times New Roman" w:cs="Times New Roman"/>
          <w:color w:val="auto"/>
          <w:szCs w:val="32"/>
          <w:lang w:eastAsia="zh-CN"/>
        </w:rPr>
        <w:t>围绕决策程序、规划论证、资金投向进行绩效分析。</w:t>
      </w:r>
      <w:r>
        <w:rPr>
          <w:rFonts w:hint="eastAsia" w:cs="Times New Roman"/>
          <w:color w:val="auto"/>
          <w:szCs w:val="32"/>
          <w:lang w:eastAsia="zh-CN"/>
        </w:rPr>
        <w:t>共计得分</w:t>
      </w:r>
      <w:r>
        <w:rPr>
          <w:rFonts w:hint="eastAsia" w:cs="Times New Roman"/>
          <w:color w:val="auto"/>
          <w:szCs w:val="32"/>
          <w:lang w:val="en-US" w:eastAsia="zh-CN"/>
        </w:rPr>
        <w:t>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决策程序：项目决策程序严密合规（得分6分）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color w:val="000000"/>
          <w:kern w:val="0"/>
          <w:sz w:val="31"/>
          <w:szCs w:val="31"/>
          <w:lang w:val="en-US" w:eastAsia="zh-CN" w:bidi="ar"/>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w:t>
      </w:r>
      <w:r>
        <w:rPr>
          <w:rFonts w:hint="eastAsia" w:ascii="仿宋" w:hAnsi="仿宋" w:eastAsia="仿宋" w:cs="仿宋"/>
          <w:color w:val="000000"/>
          <w:kern w:val="0"/>
          <w:sz w:val="31"/>
          <w:szCs w:val="31"/>
          <w:lang w:val="en-US" w:eastAsia="zh-CN" w:bidi="ar"/>
        </w:rPr>
        <w:t>项目规划符合中央、省委省政府有关决策部署安排；项目立项有必要性、前瞻性、合理性和可行性。（得分6分）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Times New Roman" w:hAnsi="Times New Roman" w:eastAsia="仿宋_GB2312" w:cs="Times New Roman"/>
          <w:b w:val="0"/>
          <w:color w:val="auto"/>
          <w:kern w:val="2"/>
          <w:sz w:val="32"/>
          <w:szCs w:val="32"/>
          <w:lang w:val="en-US" w:eastAsia="zh-CN" w:bidi="ar-SA"/>
        </w:rPr>
        <w:t>资金投向：项目资金与项目总体规划、相关行业事业发展相匹配。</w:t>
      </w:r>
      <w:r>
        <w:rPr>
          <w:rFonts w:hint="eastAsia" w:ascii="仿宋" w:hAnsi="仿宋" w:eastAsia="仿宋" w:cs="仿宋"/>
          <w:color w:val="000000"/>
          <w:kern w:val="0"/>
          <w:sz w:val="31"/>
          <w:szCs w:val="31"/>
          <w:lang w:val="en-US" w:eastAsia="zh-CN" w:bidi="ar"/>
        </w:rPr>
        <w:t>（得分6分）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cs="Times New Roman"/>
          <w:color w:val="auto"/>
          <w:szCs w:val="32"/>
          <w:lang w:val="en-US"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eastAsia="zh-CN"/>
        </w:rPr>
        <w:t>项目管理。</w:t>
      </w:r>
      <w:r>
        <w:rPr>
          <w:rFonts w:hint="eastAsia" w:ascii="Times New Roman" w:hAnsi="Times New Roman" w:cs="Times New Roman"/>
          <w:color w:val="auto"/>
          <w:szCs w:val="32"/>
          <w:lang w:eastAsia="zh-CN"/>
        </w:rPr>
        <w:t>围绕制度办法、分配管理、绩效监管进行绩效分析。</w:t>
      </w:r>
      <w:r>
        <w:rPr>
          <w:rFonts w:hint="eastAsia" w:cs="Times New Roman"/>
          <w:color w:val="auto"/>
          <w:szCs w:val="32"/>
          <w:lang w:eastAsia="zh-CN"/>
        </w:rPr>
        <w:t>共计得分</w:t>
      </w:r>
      <w:r>
        <w:rPr>
          <w:rFonts w:hint="eastAsia" w:cs="Times New Roman"/>
          <w:color w:val="auto"/>
          <w:szCs w:val="32"/>
          <w:lang w:val="en-US" w:eastAsia="zh-CN"/>
        </w:rPr>
        <w:t>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制度办法</w:t>
      </w:r>
      <w:r>
        <w:rPr>
          <w:rFonts w:hint="eastAsia" w:cs="Times New Roman"/>
          <w:color w:val="auto"/>
          <w:szCs w:val="32"/>
          <w:lang w:eastAsia="zh-CN"/>
        </w:rPr>
        <w:t>：项目制度办法体系健全、要素完备（得分</w:t>
      </w:r>
      <w:r>
        <w:rPr>
          <w:rFonts w:hint="eastAsia" w:cs="Times New Roman"/>
          <w:color w:val="auto"/>
          <w:szCs w:val="32"/>
          <w:lang w:val="en-US" w:eastAsia="zh-CN"/>
        </w:rPr>
        <w:t>2分）</w:t>
      </w:r>
    </w:p>
    <w:p>
      <w:pPr>
        <w:pStyle w:val="12"/>
        <w:ind w:firstLine="560"/>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分配管理：项目管理合符要求。（得分10分）</w:t>
      </w:r>
    </w:p>
    <w:p>
      <w:pPr>
        <w:ind w:firstLine="560"/>
        <w:rPr>
          <w:rFonts w:hint="default"/>
          <w:lang w:val="en-US" w:eastAsia="zh-CN"/>
        </w:rPr>
      </w:pPr>
      <w:r>
        <w:rPr>
          <w:rFonts w:hint="eastAsia" w:ascii="Times New Roman" w:hAnsi="Times New Roman" w:cs="Times New Roman"/>
          <w:color w:val="auto"/>
          <w:szCs w:val="32"/>
          <w:lang w:eastAsia="zh-CN"/>
        </w:rPr>
        <w:t>绩效监管</w:t>
      </w:r>
      <w:r>
        <w:rPr>
          <w:rFonts w:hint="eastAsia" w:cs="Times New Roman"/>
          <w:color w:val="auto"/>
          <w:szCs w:val="32"/>
          <w:lang w:eastAsia="zh-CN"/>
        </w:rPr>
        <w:t>：管资金、项目、政策不管绩效（得分</w:t>
      </w:r>
      <w:r>
        <w:rPr>
          <w:rFonts w:hint="eastAsia" w:cs="Times New Roman"/>
          <w:color w:val="auto"/>
          <w:szCs w:val="32"/>
          <w:lang w:val="en-US" w:eastAsia="zh-CN"/>
        </w:rPr>
        <w:t>6分）</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项目实施。</w:t>
      </w:r>
      <w:r>
        <w:rPr>
          <w:rFonts w:hint="eastAsia" w:ascii="Times New Roman" w:hAnsi="Times New Roman" w:cs="Times New Roman"/>
          <w:color w:val="auto"/>
          <w:szCs w:val="32"/>
          <w:lang w:eastAsia="zh-CN"/>
        </w:rPr>
        <w:t>围绕预算</w:t>
      </w:r>
      <w:r>
        <w:rPr>
          <w:rFonts w:hint="eastAsia" w:eastAsia="仿宋_GB2312" w:cs="Times New Roman"/>
          <w:color w:val="auto"/>
          <w:szCs w:val="32"/>
          <w:lang w:val="zh-CN" w:eastAsia="zh-CN"/>
        </w:rPr>
        <w:t>执行</w:t>
      </w:r>
      <w:r>
        <w:rPr>
          <w:rFonts w:hint="eastAsia" w:ascii="Times New Roman" w:hAnsi="Times New Roman" w:cs="Times New Roman"/>
          <w:color w:val="auto"/>
          <w:szCs w:val="32"/>
          <w:lang w:eastAsia="zh-CN"/>
        </w:rPr>
        <w:t>、资金使用进行绩效分析。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cs="Times New Roman"/>
          <w:color w:val="auto"/>
          <w:szCs w:val="32"/>
          <w:lang w:eastAsia="zh-CN"/>
        </w:rPr>
        <w:t>共计得分</w:t>
      </w:r>
      <w:r>
        <w:rPr>
          <w:rFonts w:hint="eastAsia" w:cs="Times New Roman"/>
          <w:color w:val="auto"/>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eastAsia="仿宋_GB2312" w:cs="Times New Roman"/>
          <w:color w:val="auto"/>
          <w:szCs w:val="32"/>
          <w:lang w:val="en-US" w:eastAsia="zh-CN"/>
        </w:rPr>
      </w:pPr>
      <w:r>
        <w:rPr>
          <w:rFonts w:hint="eastAsia" w:ascii="Times New Roman" w:hAnsi="Times New Roman" w:cs="Times New Roman"/>
          <w:color w:val="auto"/>
          <w:szCs w:val="32"/>
          <w:lang w:eastAsia="zh-CN"/>
        </w:rPr>
        <w:t>预算</w:t>
      </w:r>
      <w:r>
        <w:rPr>
          <w:rFonts w:hint="eastAsia" w:eastAsia="仿宋_GB2312" w:cs="Times New Roman"/>
          <w:color w:val="auto"/>
          <w:szCs w:val="32"/>
          <w:lang w:val="zh-CN" w:eastAsia="zh-CN"/>
        </w:rPr>
        <w:t>执行</w:t>
      </w:r>
      <w:r>
        <w:rPr>
          <w:rFonts w:hint="eastAsia" w:cs="Times New Roman"/>
          <w:color w:val="auto"/>
          <w:szCs w:val="32"/>
          <w:lang w:val="zh-CN" w:eastAsia="zh-CN"/>
        </w:rPr>
        <w:t>：资金不属于财政预算内资金，均为代管资金，</w:t>
      </w:r>
      <w:r>
        <w:rPr>
          <w:rFonts w:hint="eastAsia" w:cs="Times New Roman"/>
          <w:color w:val="auto"/>
          <w:szCs w:val="32"/>
          <w:lang w:val="en-US" w:eastAsia="zh-CN"/>
        </w:rPr>
        <w:t>2023年该项目调整预算9.19万元，预算执行9.19万元</w:t>
      </w:r>
      <w:r>
        <w:rPr>
          <w:rFonts w:hint="eastAsia" w:cs="Times New Roman"/>
          <w:color w:val="auto"/>
          <w:szCs w:val="32"/>
          <w:lang w:val="zh-CN" w:eastAsia="zh-CN"/>
        </w:rPr>
        <w:t>（得分</w:t>
      </w:r>
      <w:r>
        <w:rPr>
          <w:rFonts w:hint="eastAsia" w:cs="Times New Roman"/>
          <w:color w:val="auto"/>
          <w:szCs w:val="32"/>
          <w:lang w:val="en-US" w:eastAsia="zh-CN"/>
        </w:rPr>
        <w:t>6分）</w:t>
      </w:r>
    </w:p>
    <w:p>
      <w:pPr>
        <w:pStyle w:val="12"/>
        <w:rPr>
          <w:rFonts w:hint="default" w:ascii="Times New Roman" w:hAnsi="Times New Roman" w:eastAsia="仿宋_GB2312" w:cs="Times New Roman"/>
          <w:b w:val="0"/>
          <w:color w:val="auto"/>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color w:val="auto"/>
          <w:kern w:val="2"/>
          <w:sz w:val="32"/>
          <w:szCs w:val="32"/>
          <w:lang w:val="en-US" w:eastAsia="zh-CN" w:bidi="ar-SA"/>
        </w:rPr>
        <w:t xml:space="preserve"> 资金使用：代收学生教材费，转入教材供应商；代收学生学费，上交州开放大学统一管理。总资金9.19万元（得分3分）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4.项目结果。</w:t>
      </w:r>
      <w:r>
        <w:rPr>
          <w:rFonts w:hint="eastAsia" w:ascii="Times New Roman" w:hAnsi="Times New Roman" w:cs="Times New Roman"/>
          <w:color w:val="auto"/>
          <w:szCs w:val="32"/>
          <w:lang w:val="en-US" w:eastAsia="zh-CN"/>
        </w:rPr>
        <w:t>围绕</w:t>
      </w:r>
      <w:r>
        <w:rPr>
          <w:rFonts w:hint="eastAsia" w:ascii="Times New Roman" w:hAnsi="Times New Roman" w:cs="Times New Roman"/>
          <w:color w:val="auto"/>
          <w:szCs w:val="32"/>
          <w:lang w:eastAsia="zh-CN"/>
        </w:rPr>
        <w:t>目标完成、完成时效进行绩效分析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cs="Times New Roman"/>
          <w:color w:val="auto"/>
          <w:szCs w:val="32"/>
          <w:lang w:val="en-US" w:eastAsia="zh-CN"/>
        </w:rPr>
      </w:pPr>
      <w:r>
        <w:rPr>
          <w:rFonts w:hint="eastAsia" w:cs="Times New Roman"/>
          <w:color w:val="auto"/>
          <w:szCs w:val="32"/>
          <w:lang w:eastAsia="zh-CN"/>
        </w:rPr>
        <w:t>共计得分</w:t>
      </w:r>
      <w:r>
        <w:rPr>
          <w:rFonts w:hint="eastAsia" w:cs="Times New Roman"/>
          <w:color w:val="auto"/>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val="en-US" w:eastAsia="zh-CN"/>
        </w:rPr>
      </w:pPr>
      <w:r>
        <w:rPr>
          <w:rFonts w:hint="eastAsia" w:cs="Times New Roman"/>
          <w:color w:val="auto"/>
          <w:szCs w:val="32"/>
          <w:lang w:eastAsia="zh-CN"/>
        </w:rPr>
        <w:t>目标完成：按规划完成了开放大学黑水分校各项学习管理和考试组织工作。学生满意度</w:t>
      </w:r>
      <w:r>
        <w:rPr>
          <w:rFonts w:hint="eastAsia" w:cs="Times New Roman"/>
          <w:color w:val="auto"/>
          <w:szCs w:val="32"/>
          <w:lang w:val="en-US" w:eastAsia="zh-CN"/>
        </w:rPr>
        <w:t>100%。（得分6分）</w:t>
      </w:r>
    </w:p>
    <w:p>
      <w:pPr>
        <w:pStyle w:val="12"/>
        <w:rPr>
          <w:rFonts w:hint="eastAsia" w:ascii="Times New Roman" w:hAnsi="Times New Roman" w:eastAsia="仿宋_GB2312" w:cs="Times New Roman"/>
          <w:b w:val="0"/>
          <w:color w:val="auto"/>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color w:val="auto"/>
          <w:kern w:val="2"/>
          <w:sz w:val="32"/>
          <w:szCs w:val="32"/>
          <w:lang w:val="en-US" w:eastAsia="zh-CN" w:bidi="ar-SA"/>
        </w:rPr>
        <w:t xml:space="preserve">  完成时效：按规定学年度完成教学任务。（得分3分）</w:t>
      </w:r>
    </w:p>
    <w:p>
      <w:pPr>
        <w:ind w:firstLine="640" w:firstLineChars="200"/>
        <w:rPr>
          <w:rFonts w:hint="default"/>
          <w:lang w:val="en-US" w:eastAsia="zh-CN"/>
        </w:rPr>
      </w:pPr>
      <w:r>
        <w:rPr>
          <w:rFonts w:hint="eastAsia" w:cs="Times New Roman"/>
          <w:b w:val="0"/>
          <w:color w:val="auto"/>
          <w:kern w:val="2"/>
          <w:sz w:val="32"/>
          <w:szCs w:val="32"/>
          <w:lang w:val="en-US" w:eastAsia="zh-CN" w:bidi="ar-SA"/>
        </w:rPr>
        <w:t>通用指标评分为54分。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Times New Roman" w:hAnsi="Times New Roman" w:cs="Times New Roman"/>
          <w:color w:val="auto"/>
          <w:szCs w:val="32"/>
          <w:lang w:val="zh-CN" w:eastAsia="zh-CN"/>
        </w:rPr>
        <w:t>根据</w:t>
      </w:r>
      <w:r>
        <w:rPr>
          <w:rFonts w:hint="eastAsia" w:ascii="Times New Roman" w:hAnsi="Times New Roman" w:cs="Times New Roman"/>
          <w:color w:val="auto"/>
          <w:szCs w:val="32"/>
          <w:lang w:val="en-US" w:eastAsia="zh-CN"/>
        </w:rPr>
        <w:t>专项预算项目</w:t>
      </w:r>
      <w:r>
        <w:rPr>
          <w:rFonts w:hint="eastAsia" w:cs="Times New Roman"/>
          <w:color w:val="auto"/>
          <w:szCs w:val="32"/>
          <w:lang w:val="en-US" w:eastAsia="zh-CN"/>
        </w:rPr>
        <w:t>资金支持对象</w:t>
      </w:r>
      <w:r>
        <w:rPr>
          <w:rFonts w:hint="eastAsia" w:ascii="Times New Roman" w:hAnsi="Times New Roman" w:cs="Times New Roman"/>
          <w:color w:val="auto"/>
          <w:szCs w:val="32"/>
          <w:lang w:val="en-US" w:eastAsia="zh-CN"/>
        </w:rPr>
        <w:t>选择所属指标进行绩效分析。</w:t>
      </w:r>
      <w:r>
        <w:rPr>
          <w:rFonts w:hint="eastAsia" w:cs="Times New Roman"/>
          <w:color w:val="auto"/>
          <w:szCs w:val="32"/>
          <w:lang w:val="en-US" w:eastAsia="zh-CN"/>
        </w:rPr>
        <w:t>支持对象</w:t>
      </w:r>
      <w:r>
        <w:rPr>
          <w:rFonts w:hint="eastAsia" w:ascii="Times New Roman" w:hAnsi="Times New Roman" w:cs="Times New Roman"/>
          <w:color w:val="auto"/>
          <w:szCs w:val="32"/>
          <w:lang w:val="zh-CN" w:eastAsia="zh-CN"/>
        </w:rPr>
        <w:t>包括产业发展、民生保障、基础设施、行政运转等方面。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cs="Times New Roman"/>
          <w:color w:val="auto"/>
          <w:szCs w:val="32"/>
          <w:lang w:val="en-US" w:eastAsia="zh-CN"/>
        </w:rPr>
      </w:pPr>
      <w:r>
        <w:rPr>
          <w:rFonts w:hint="eastAsia" w:cs="Times New Roman"/>
          <w:color w:val="auto"/>
          <w:szCs w:val="32"/>
          <w:lang w:val="en-US" w:eastAsia="zh-CN"/>
        </w:rPr>
        <w:t>专用指标绩效评价得分30分。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cs="Times New Roman"/>
          <w:color w:val="auto"/>
          <w:szCs w:val="32"/>
          <w:lang w:val="zh-CN" w:eastAsia="zh-CN"/>
        </w:rPr>
        <w:t>根据项目个性自行设定部分指标，反映该项指标执行完成情况。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rPr>
      </w:pPr>
      <w:r>
        <w:rPr>
          <w:rFonts w:hint="eastAsia" w:ascii="Times New Roman" w:hAnsi="Times New Roman" w:cs="Times New Roman"/>
          <w:color w:val="000000"/>
          <w:kern w:val="0"/>
          <w:szCs w:val="32"/>
          <w:highlight w:val="none"/>
          <w:shd w:val="clear" w:color="auto" w:fill="FFFFFF"/>
          <w:lang w:val="en-US" w:eastAsia="zh-CN"/>
        </w:rPr>
        <w:t>本单位2023年开放大学项目均设置了一级指标（包括产出指标、效益指标、成本指标满意度指标等）、二级指标（包括数量指标、时效指标、社会效益指标、满意度指标等）、三级指标（包括项目受益人数、完成金额、完成任务时间、执行标准、服务对象满意度等），从各个不同维度对项目执行及评估情况进行细化，绩效目标设置达到了科学合理、规范完整、量化细化、与预算相匹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本单位</w:t>
      </w:r>
      <w:r>
        <w:rPr>
          <w:rFonts w:hint="eastAsia" w:ascii="Times New Roman" w:hAnsi="Times New Roman" w:cs="Times New Roman"/>
          <w:color w:val="000000"/>
          <w:kern w:val="0"/>
          <w:szCs w:val="32"/>
          <w:highlight w:val="none"/>
          <w:shd w:val="clear" w:color="auto" w:fill="FFFFFF"/>
          <w:lang w:val="en-US" w:eastAsia="zh-CN"/>
        </w:rPr>
        <w:t>2023年开放大学项目</w:t>
      </w:r>
      <w:r>
        <w:rPr>
          <w:rFonts w:hint="eastAsia"/>
          <w:lang w:val="en-US" w:eastAsia="zh-CN"/>
        </w:rPr>
        <w:t>个性指标得分16分。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按规划完成了开放大学黑水分校各项学习管理和考试组织工作。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cs="Times New Roman"/>
          <w:color w:val="auto"/>
          <w:szCs w:val="32"/>
          <w:lang w:val="en-US" w:eastAsia="zh-CN"/>
        </w:rPr>
      </w:pPr>
      <w:r>
        <w:rPr>
          <w:rFonts w:hint="eastAsia" w:cs="Times New Roman"/>
          <w:color w:val="auto"/>
          <w:szCs w:val="32"/>
          <w:lang w:val="en-US" w:eastAsia="zh-CN"/>
        </w:rPr>
        <w:t>项目综合得分100分。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报名就读学生少，经费运行难度大。</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cs="Times New Roman"/>
          <w:color w:val="000000"/>
          <w:kern w:val="0"/>
          <w:szCs w:val="32"/>
          <w:highlight w:val="none"/>
          <w:shd w:val="clear" w:color="auto" w:fill="FFFFFF"/>
          <w:lang w:val="zh-CN" w:eastAsia="zh-CN"/>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增加财政投入，保证学校的正常工作运转。</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黑水县教育局</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开放大学黑水分校书学费及</w:t>
            </w:r>
            <w:r>
              <w:rPr>
                <w:rFonts w:hint="eastAsia" w:ascii="宋体" w:hAnsi="宋体" w:eastAsia="宋体" w:cs="宋体"/>
                <w:i w:val="0"/>
                <w:color w:val="000000"/>
                <w:sz w:val="24"/>
                <w:szCs w:val="24"/>
                <w:u w:val="none"/>
                <w:lang w:eastAsia="zh-CN"/>
              </w:rPr>
              <w:t>考试</w:t>
            </w:r>
            <w:r>
              <w:rPr>
                <w:rFonts w:hint="eastAsia" w:ascii="宋体" w:hAnsi="宋体" w:eastAsia="宋体" w:cs="宋体"/>
                <w:i w:val="0"/>
                <w:color w:val="000000"/>
                <w:sz w:val="24"/>
                <w:szCs w:val="24"/>
                <w:u w:val="none"/>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黑水县教育局（开放大学黑水分校）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代管资金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成本分析</w:t>
            </w:r>
            <w:r>
              <w:rPr>
                <w:rFonts w:ascii="宋体" w:hAnsi="宋体" w:eastAsia="宋体" w:cs="宋体"/>
                <w:i w:val="0"/>
                <w:color w:val="000000"/>
                <w:kern w:val="0"/>
                <w:sz w:val="24"/>
                <w:szCs w:val="24"/>
                <w:u w:val="none"/>
                <w:lang w:val="en-US" w:eastAsia="zh-CN" w:bidi="ar"/>
              </w:rPr>
              <w:t>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50"/>
              </w:tabs>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iCs w:val="0"/>
                <w:color w:val="000000"/>
                <w:kern w:val="0"/>
                <w:sz w:val="24"/>
                <w:szCs w:val="24"/>
                <w:u w:val="none"/>
                <w:lang w:val="en-US" w:eastAsia="zh-CN" w:bidi="ar"/>
              </w:rPr>
              <w:t>年度资金总额：91864.40元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200" w:firstLineChars="500"/>
              <w:jc w:val="both"/>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其他资金91864.40元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积极招生，完成开放大学教学任务，完成</w:t>
            </w:r>
            <w:r>
              <w:rPr>
                <w:rFonts w:hint="default" w:ascii="宋体" w:hAnsi="宋体" w:eastAsia="宋体" w:cs="宋体"/>
                <w:i w:val="0"/>
                <w:color w:val="000000"/>
                <w:sz w:val="24"/>
                <w:szCs w:val="24"/>
                <w:u w:val="none"/>
                <w:lang w:eastAsia="zh-CN"/>
              </w:rPr>
              <w:t>每</w:t>
            </w:r>
            <w:bookmarkStart w:id="0" w:name="_GoBack"/>
            <w:bookmarkEnd w:id="0"/>
            <w:r>
              <w:rPr>
                <w:rFonts w:hint="eastAsia" w:ascii="宋体" w:hAnsi="宋体" w:eastAsia="宋体" w:cs="宋体"/>
                <w:i w:val="0"/>
                <w:color w:val="000000"/>
                <w:sz w:val="24"/>
                <w:szCs w:val="24"/>
                <w:u w:val="none"/>
                <w:lang w:val="en-US" w:eastAsia="zh-CN"/>
              </w:rPr>
              <w:t>学期学员的考试。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auto" w:sz="4" w:space="0"/>
              <w:left w:val="single" w:color="auto"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学员人数</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完成开放大学招生任务</w:t>
            </w:r>
            <w:r>
              <w:rPr>
                <w:rFonts w:hint="eastAsia" w:ascii="宋体" w:hAnsi="宋体" w:eastAsia="宋体" w:cs="宋体"/>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完成学业考试</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组织管理学生进行学习，定时定期完成学习任务</w:t>
            </w:r>
            <w:r>
              <w:rPr>
                <w:rFonts w:hint="eastAsia" w:ascii="宋体" w:hAnsi="宋体" w:eastAsia="宋体" w:cs="宋体"/>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教学时长</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学期</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完成考试</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组织安排进行机考、纸考等考试任务</w:t>
            </w:r>
            <w:r>
              <w:rPr>
                <w:rFonts w:hint="eastAsia" w:ascii="宋体" w:hAnsi="宋体" w:eastAsia="宋体" w:cs="宋体"/>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获得毕业证书</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完成学业，获得毕业证书。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学员满意度</w:t>
            </w:r>
          </w:p>
        </w:tc>
        <w:tc>
          <w:tcPr>
            <w:tcW w:w="11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DCA5"/>
    <w:multiLevelType w:val="singleLevel"/>
    <w:tmpl w:val="C3F2DCA5"/>
    <w:lvl w:ilvl="0" w:tentative="0">
      <w:start w:val="3"/>
      <w:numFmt w:val="decimal"/>
      <w:lvlText w:val="%1."/>
      <w:lvlJc w:val="left"/>
      <w:pPr>
        <w:tabs>
          <w:tab w:val="left" w:pos="312"/>
        </w:tabs>
      </w:pPr>
    </w:lvl>
  </w:abstractNum>
  <w:abstractNum w:abstractNumId="1">
    <w:nsid w:val="D5E0840C"/>
    <w:multiLevelType w:val="singleLevel"/>
    <w:tmpl w:val="D5E0840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WU5MDIzN2RlMzE1ODlkNTQyZmM5OTc2M2ZhNTUifQ=="/>
  </w:docVars>
  <w:rsids>
    <w:rsidRoot w:val="771D4D51"/>
    <w:rsid w:val="05F11A0B"/>
    <w:rsid w:val="05FC6F96"/>
    <w:rsid w:val="0641256A"/>
    <w:rsid w:val="07BF6BE2"/>
    <w:rsid w:val="0B7F7AB4"/>
    <w:rsid w:val="0C077976"/>
    <w:rsid w:val="0F094A20"/>
    <w:rsid w:val="14451C8F"/>
    <w:rsid w:val="16563C82"/>
    <w:rsid w:val="1C25106F"/>
    <w:rsid w:val="1CFD8DF6"/>
    <w:rsid w:val="1DAA30EE"/>
    <w:rsid w:val="1FFF9AD9"/>
    <w:rsid w:val="22AD555F"/>
    <w:rsid w:val="26CF2DB3"/>
    <w:rsid w:val="2AF86ED7"/>
    <w:rsid w:val="2AFDF212"/>
    <w:rsid w:val="2B0A3843"/>
    <w:rsid w:val="2B385C88"/>
    <w:rsid w:val="2B6BF484"/>
    <w:rsid w:val="2FFF7DE7"/>
    <w:rsid w:val="33F748AD"/>
    <w:rsid w:val="35874596"/>
    <w:rsid w:val="35F2A362"/>
    <w:rsid w:val="36EA2AC9"/>
    <w:rsid w:val="371A51D2"/>
    <w:rsid w:val="373BBD0C"/>
    <w:rsid w:val="39877B54"/>
    <w:rsid w:val="39BFEDBA"/>
    <w:rsid w:val="39DBABD8"/>
    <w:rsid w:val="3AC9498B"/>
    <w:rsid w:val="3AED12ED"/>
    <w:rsid w:val="3AFF6A5D"/>
    <w:rsid w:val="3BDD34D2"/>
    <w:rsid w:val="3BDDFF97"/>
    <w:rsid w:val="3BFFD43B"/>
    <w:rsid w:val="3C7BD5C9"/>
    <w:rsid w:val="3E30420A"/>
    <w:rsid w:val="3FBF9251"/>
    <w:rsid w:val="3FED766E"/>
    <w:rsid w:val="3FFEEAD9"/>
    <w:rsid w:val="3FFFE931"/>
    <w:rsid w:val="43A33CFF"/>
    <w:rsid w:val="45357E09"/>
    <w:rsid w:val="457F07F2"/>
    <w:rsid w:val="4CC6FDBD"/>
    <w:rsid w:val="4E07F45D"/>
    <w:rsid w:val="4FF59AF5"/>
    <w:rsid w:val="503D00E8"/>
    <w:rsid w:val="55FE10A2"/>
    <w:rsid w:val="56EF6619"/>
    <w:rsid w:val="57AF1E73"/>
    <w:rsid w:val="58886CF2"/>
    <w:rsid w:val="59A93A45"/>
    <w:rsid w:val="5A3E109F"/>
    <w:rsid w:val="5AB21C33"/>
    <w:rsid w:val="5B778EC0"/>
    <w:rsid w:val="5BFD93EC"/>
    <w:rsid w:val="5CBA8FF2"/>
    <w:rsid w:val="5D5F7E21"/>
    <w:rsid w:val="5F5B35E4"/>
    <w:rsid w:val="609FA7B0"/>
    <w:rsid w:val="69FCE5E7"/>
    <w:rsid w:val="6BCDA9CC"/>
    <w:rsid w:val="6D9F2765"/>
    <w:rsid w:val="6DB508E5"/>
    <w:rsid w:val="6DDFA6BD"/>
    <w:rsid w:val="6E767ACE"/>
    <w:rsid w:val="6E781687"/>
    <w:rsid w:val="6EEE3ED1"/>
    <w:rsid w:val="6EFFED40"/>
    <w:rsid w:val="6F1B2166"/>
    <w:rsid w:val="6F5FC1DE"/>
    <w:rsid w:val="6FB3E1FD"/>
    <w:rsid w:val="6FD768E4"/>
    <w:rsid w:val="6FF341F1"/>
    <w:rsid w:val="6FFEBD86"/>
    <w:rsid w:val="71BD65DB"/>
    <w:rsid w:val="73FF1F09"/>
    <w:rsid w:val="73FF684B"/>
    <w:rsid w:val="74A708C5"/>
    <w:rsid w:val="76DFCB7D"/>
    <w:rsid w:val="771D4D51"/>
    <w:rsid w:val="7735A28E"/>
    <w:rsid w:val="77778F6D"/>
    <w:rsid w:val="77ABFD6B"/>
    <w:rsid w:val="77B7A121"/>
    <w:rsid w:val="77C748BA"/>
    <w:rsid w:val="77DD24F1"/>
    <w:rsid w:val="77F10335"/>
    <w:rsid w:val="77F7E860"/>
    <w:rsid w:val="77FB8D34"/>
    <w:rsid w:val="782C1E65"/>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A990D1A"/>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400" w:leftChars="200" w:hanging="200" w:hangingChars="200"/>
    </w:p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1588</Words>
  <Characters>1670</Characters>
  <Lines>0</Lines>
  <Paragraphs>0</Paragraphs>
  <TotalTime>0</TotalTime>
  <ScaleCrop>false</ScaleCrop>
  <LinksUpToDate>false</LinksUpToDate>
  <CharactersWithSpaces>1696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2025-04-10T16:21:14Z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5992351F21904B7A956A97F718D4017B_13</vt:lpwstr>
  </property>
</Properties>
</file>