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黑水县教育和体育局</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pPr>
        <w:spacing w:line="580" w:lineRule="exact"/>
        <w:jc w:val="center"/>
        <w:rPr>
          <w:rFonts w:hint="eastAsia"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lang w:val="en-US" w:eastAsia="zh-CN"/>
        </w:rPr>
        <w:t>（教师队伍建设）</w:t>
      </w:r>
    </w:p>
    <w:p>
      <w:pPr>
        <w:spacing w:line="580" w:lineRule="exact"/>
        <w:jc w:val="center"/>
        <w:rPr>
          <w:rFonts w:hint="eastAsia" w:ascii="仿宋_GB2312" w:hAnsi="黑体" w:eastAsia="仿宋_GB2312" w:cs="方正小标宋简体"/>
          <w:b/>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highlight w:val="none"/>
          <w:lang w:val="zh-CN"/>
        </w:rPr>
      </w:pPr>
      <w:r>
        <w:rPr>
          <w:rFonts w:hint="eastAsia" w:ascii="黑体" w:hAnsi="黑体" w:eastAsia="黑体" w:cs="黑体"/>
          <w:sz w:val="32"/>
          <w:szCs w:val="32"/>
          <w:highlight w:val="none"/>
        </w:rPr>
        <w:t>一、</w:t>
      </w:r>
      <w:r>
        <w:rPr>
          <w:rFonts w:hint="eastAsia" w:ascii="黑体" w:hAnsi="黑体" w:eastAsia="黑体" w:cs="黑体"/>
          <w:sz w:val="32"/>
          <w:szCs w:val="32"/>
          <w:highlight w:val="none"/>
          <w:lang w:val="zh-CN"/>
        </w:rPr>
        <w:t>项目概况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（一）设立背景及基本情况。</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1.</w:t>
      </w:r>
      <w:r>
        <w:rPr>
          <w:rFonts w:hint="eastAsia" w:ascii="仿宋_GB2312" w:hAnsi="仿宋_GB2312" w:eastAsia="仿宋_GB2312" w:cs="仿宋_GB2312"/>
          <w:color w:val="auto"/>
          <w:kern w:val="0"/>
          <w:sz w:val="32"/>
          <w:szCs w:val="32"/>
          <w:highlight w:val="none"/>
          <w:u w:val="none"/>
          <w:shd w:val="clear" w:color="auto" w:fill="FFFFFF"/>
          <w:lang w:val="en-US" w:eastAsia="zh-CN"/>
        </w:rPr>
        <w:t>农村教师生活补助为关于落实2013年中央1号文件要求对在连片特困地区工作的乡村教师给予生活补助，按照《教育部财政部关于落实2013年中央1号文件要求对在连片特困地区工作的乡村教师给予生活补助的通知》（教财函〔2013〕106号）、《教育部关于加强乡村教师生活补助费管理有关工作的通知》（教财函〔2013〕153号）和《四川省人民政府办公厅关于实施集中连片特殊困难地区和国家扶贫开发工作重点县农村教师补助政策的通知》（川办函〔2014〕86号）要求实施。</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根据《阿坝藏族羌族自治州鼓励教师终身从教认定办法》（阿府办发〔2019〕9号）精神，鼓励教师敬业乐教，长期从教、终身从教。以习近平新时代中国特色社会主义思想为指导，坚持教育优先发展，充分体现县委、县政府对全县教师的尊崇褒奖、关心关爱，鼓励教师必须把培养社会主义建设者和接班人作为根本任务，推动教师成为先进思想文化的传播者、中国共产党的坚定支持者、学生健康成长的指导者，形成对优秀教育人才留在教育、扎根教育的良好局面。</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3.2015年，四川省出台了《关于进一步加强幼儿园教师队伍建设的通知》，明确要求：“企事业单位办、集体办和民办幼儿园要按照《教育部关于印发&lt;幼儿园教职工配备标准（暂行）&gt;的通知》所规定的标准配备教职工。在国家和省出台幼儿园教职工编制标准前，各市（州）暂参照或按略高于国家规定的城市小学教职工编制标准，结合本地实际核定所属公办幼儿园（学前班）教师编制。因编制不足、保教人员满足教育教学确有困难的地区，应积极通过公开招聘、政府购买服务等方式解决公办幼儿园教师不足的问题”。为贯彻落实省政府财政供养人员只减不增的要求，中央要求各地事业编制以2012年底统计数为基数实行总量控制，只减不增。考虑到国家对编制总量控制要求和幼儿教师年轻化的工作需要，省政府积极鼓励支持各地创新事业编制管理，充分整合资源、优化配置，统筹调剂使用编制资源，通过编制保障加政府购买服务等多种方式，逐步解决公办幼儿园师资问题。从2023年起，我省学前教育双语辅导员政策将扩大到全部民族自治县，省财政按平均每村2名双语辅导员、每人每月2500元计算,给予劳务报酬经费补助，实现藏区32个县所有行政村全覆盖。</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根据《阿坝州人民政府关于调整全州最低工资标准的通知》（阿府发〔2022〕8号）《中共黑水县委办公室黑水县人民政府办公室关于印发&lt;黑水县国家机关事业单位编外用工管理暂行办法&gt;的通知》（黑委办〔2022〕87号）《黑水县人力资源和社会保障局关于规范机关事业单位使用编外人员的相关通知》（黑人社发〔2022〕134号）精神，经黑水县第十四届县人民政府第二十四次常务会议研究，同意黑水县教育系统使用编外临聘人员93名。根据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年的实际情况，劳务费及保险单位部分人均</w:t>
      </w:r>
      <w:r>
        <w:rPr>
          <w:rFonts w:hint="eastAsia" w:ascii="仿宋_GB2312" w:hAnsi="仿宋_GB2312" w:cs="仿宋_GB2312"/>
          <w:b w:val="0"/>
          <w:bCs/>
          <w:color w:val="auto"/>
          <w:kern w:val="0"/>
          <w:sz w:val="32"/>
          <w:szCs w:val="32"/>
          <w:highlight w:val="none"/>
          <w:u w:val="none"/>
          <w:shd w:val="clear" w:color="auto" w:fill="FFFFFF"/>
          <w:lang w:val="en-US" w:eastAsia="zh-CN"/>
        </w:rPr>
        <w:t>3716.68</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元/月。</w:t>
      </w:r>
    </w:p>
    <w:p>
      <w:pPr>
        <w:keepNext w:val="0"/>
        <w:keepLines w:val="0"/>
        <w:pageBreakBefore w:val="0"/>
        <w:widowControl/>
        <w:numPr>
          <w:ilvl w:val="0"/>
          <w:numId w:val="1"/>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default"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根据《四川省卫生健康委员会  省教育厅  民政厅  财政厅  人社厅  省医保局  省中医药局&lt;关于印发四川省2022年公共卫生特别范围推广项目实施</w:t>
      </w:r>
      <w:bookmarkStart w:id="0" w:name="_GoBack"/>
      <w:bookmarkEnd w:id="0"/>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方案&gt;》(川卫发[2022]7号）、《阿坝州卫生健康委员会  州教育局  州民政局  州财政局  人社局  医保局&lt;关于印发阿坝州2022年公共卫生特别服务岗项目实施方案&gt;》（阿州卫健发[2022]39号）以及《阿坝州2022年公共卫生特别服务岗招募公告》、《阿坝州教育局关于招募颜飞等60名人员为2022年校医辅助岗工作人员的通知》（阿州教发[2022]133号）相关规定，为我县招聘了3位中小学校医辅助岗人员。</w:t>
      </w:r>
      <w:r>
        <w:rPr>
          <w:rFonts w:hint="eastAsia" w:ascii="仿宋_GB2312" w:hAnsi="仿宋_GB2312" w:cs="仿宋_GB2312"/>
          <w:b w:val="0"/>
          <w:bCs/>
          <w:color w:val="auto"/>
          <w:kern w:val="0"/>
          <w:sz w:val="32"/>
          <w:szCs w:val="32"/>
          <w:highlight w:val="none"/>
          <w:u w:val="none"/>
          <w:shd w:val="clear" w:color="auto" w:fill="FFFFFF"/>
          <w:lang w:val="en-US" w:eastAsia="zh-CN"/>
        </w:rPr>
        <w:t>根据2024年实际情况，</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3人工资</w:t>
      </w:r>
      <w:r>
        <w:rPr>
          <w:rFonts w:hint="eastAsia" w:ascii="仿宋_GB2312" w:hAnsi="仿宋_GB2312" w:cs="仿宋_GB2312"/>
          <w:b w:val="0"/>
          <w:bCs/>
          <w:color w:val="auto"/>
          <w:kern w:val="0"/>
          <w:sz w:val="32"/>
          <w:szCs w:val="32"/>
          <w:highlight w:val="none"/>
          <w:u w:val="none"/>
          <w:shd w:val="clear" w:color="auto" w:fill="FFFFFF"/>
          <w:lang w:val="en-US" w:eastAsia="zh-CN"/>
        </w:rPr>
        <w:t>及保险单位部分人均7123.61元</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/月</w:t>
      </w:r>
      <w:r>
        <w:rPr>
          <w:rFonts w:hint="eastAsia" w:ascii="仿宋_GB2312" w:hAnsi="仿宋_GB2312" w:cs="仿宋_GB2312"/>
          <w:b w:val="0"/>
          <w:bCs/>
          <w:color w:val="auto"/>
          <w:kern w:val="0"/>
          <w:sz w:val="32"/>
          <w:szCs w:val="32"/>
          <w:highlight w:val="none"/>
          <w:u w:val="none"/>
          <w:shd w:val="clear" w:color="auto" w:fill="FFFFFF"/>
          <w:lang w:val="en-US"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 w:hAnsi="楷体" w:eastAsia="楷体" w:cs="楷体"/>
          <w:b/>
          <w:color w:val="auto"/>
          <w:sz w:val="32"/>
          <w:szCs w:val="32"/>
          <w:highlight w:val="none"/>
          <w:u w:val="none"/>
          <w:lang w:val="en-US" w:eastAsia="zh-CN"/>
        </w:rPr>
      </w:pPr>
      <w:r>
        <w:rPr>
          <w:rFonts w:hint="eastAsia" w:ascii="楷体" w:hAnsi="楷体" w:eastAsia="楷体" w:cs="楷体"/>
          <w:b/>
          <w:color w:val="auto"/>
          <w:sz w:val="32"/>
          <w:szCs w:val="32"/>
          <w:highlight w:val="none"/>
          <w:u w:val="none"/>
          <w:lang w:val="zh-CN"/>
        </w:rPr>
        <w:t>（二）</w:t>
      </w:r>
      <w:r>
        <w:rPr>
          <w:rFonts w:hint="eastAsia" w:ascii="楷体" w:hAnsi="楷体" w:eastAsia="楷体" w:cs="楷体"/>
          <w:b/>
          <w:color w:val="auto"/>
          <w:sz w:val="32"/>
          <w:szCs w:val="32"/>
          <w:highlight w:val="none"/>
          <w:u w:val="none"/>
          <w:lang w:val="en-US" w:eastAsia="zh-CN"/>
        </w:rPr>
        <w:t>实施目的及支持方向。</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rPr>
        <w:t>制定印发《黑水县全面深化新时代教师队伍建设改革的实施意见》（黑委发〔2020〕1号）、《黑水县深入推进中小学教师“县管校聘”管理体制改革的实施意见》（黑府办发〔2019〕2号）、《黑水县深入推进中小学校长教师交流轮岗实施意见》（黑府办函〔2017〕111号）、《黑水县中小学教师管理暂行办法》《黑水县中小学校长队伍管理暂行办法》、《黑水县贯彻阿坝藏族羌族自治州鼓励教师终身从教认定办法的实施意见》（黑府办发〔2020〕14号）、《关于建立义务教育教师工资收入随当地公务员工资收入动态调整机制的通知》（黑府办函〔2020〕72号）、《关于完善义务教育教师工资待遇落实长效机制的通知》（黑府办函〔2020〕73号）等文件，依法保障教师待遇，稳步提高教师收入水平，将尊师重教落到实处。切实促进学前幼儿的教育公平性并达到就近入学的目标。</w:t>
      </w:r>
    </w:p>
    <w:p>
      <w:pPr>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农村教师生活补助</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从2014年1月1日起，按照“省级定额补助，县级自主实施，一县一策，以岗定补”的原则，稳步推进我省农村教师生活补助工作。</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实施范围。</w:t>
      </w:r>
      <w:r>
        <w:rPr>
          <w:rFonts w:hint="eastAsia" w:ascii="仿宋_GB2312" w:hAnsi="仿宋_GB2312" w:eastAsia="仿宋_GB2312" w:cs="仿宋_GB2312"/>
          <w:sz w:val="32"/>
          <w:szCs w:val="32"/>
        </w:rPr>
        <w:t>国务院扶贫办确定并公布的我省集中连片特殊困难地区和国家扶贫开发工作重点县。</w:t>
      </w:r>
    </w:p>
    <w:p>
      <w:pPr>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补助对象。</w:t>
      </w:r>
      <w:r>
        <w:rPr>
          <w:rFonts w:hint="eastAsia" w:ascii="仿宋_GB2312" w:hAnsi="仿宋_GB2312" w:eastAsia="仿宋_GB2312" w:cs="仿宋_GB2312"/>
          <w:sz w:val="32"/>
          <w:szCs w:val="32"/>
        </w:rPr>
        <w:t>农村教师生活补助的发放对象为除城区和城关镇所在地学校以外的镇（乡）、村公办义务教育阶段学校在编在岗教师，不包括职工和离退休教师。严格落实“以岗定补，在岗享受，离岗取消”的补助原则。生活补助只是针对农村教师工作岗位的补助，教师在岗时享受，离岗（包括退休）后自然取消。经县(市、区）及以上教育部门批准到农村公办义务教育阶段学校的支教教师和“特岗教师”同等享受。在编不在岗、3个月以上外借、3个月以上外派（挂职、学习等）、退休（退职、退养、离岗待退）教师不得享受。已享受“边远贫困地区、民族地区和革命老区人才支持计划教师专项计划”工作补助的支教教师，不再享受农村教师生活补助，但若低于当地发放标准的应予补齐。对代课教师或临时聘用教师，由当地政府统筹兼顾，同步考虑。</w:t>
      </w:r>
    </w:p>
    <w:p>
      <w:pPr>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学前教育双语辅导员</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每个教学点配备2名辅导员。</w:t>
      </w:r>
    </w:p>
    <w:p>
      <w:pPr>
        <w:pageBreakBefore w:val="0"/>
        <w:kinsoku/>
        <w:wordWrap/>
        <w:overflowPunct/>
        <w:topLinePunct w:val="0"/>
        <w:autoSpaceDE/>
        <w:autoSpaceDN/>
        <w:bidi w:val="0"/>
        <w:adjustRightInd w:val="0"/>
        <w:snapToGrid w:val="0"/>
        <w:spacing w:line="560" w:lineRule="exact"/>
        <w:ind w:firstLine="642" w:firstLineChars="200"/>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bCs/>
          <w:sz w:val="32"/>
          <w:szCs w:val="32"/>
          <w:lang w:val="en-US" w:eastAsia="zh-CN"/>
        </w:rPr>
        <w:t>3.购买劳务服务。</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经黑水县第十四届县人民政府第二十四次常务会议研究，同意黑水县教育系统使用编外临聘人员93名。根据202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年的实际情况，劳务费及保险单位部分人均</w:t>
      </w:r>
      <w:r>
        <w:rPr>
          <w:rFonts w:hint="eastAsia" w:ascii="仿宋_GB2312" w:hAnsi="仿宋_GB2312" w:cs="仿宋_GB2312"/>
          <w:b w:val="0"/>
          <w:bCs/>
          <w:color w:val="auto"/>
          <w:kern w:val="0"/>
          <w:sz w:val="32"/>
          <w:szCs w:val="32"/>
          <w:highlight w:val="none"/>
          <w:u w:val="none"/>
          <w:shd w:val="clear" w:color="auto" w:fill="FFFFFF"/>
          <w:lang w:val="en-US" w:eastAsia="zh-CN"/>
        </w:rPr>
        <w:t>3716.68</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元/月。</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 w:hAnsi="楷体" w:eastAsia="楷体" w:cs="楷体"/>
          <w:b/>
          <w:color w:val="auto"/>
          <w:sz w:val="32"/>
          <w:szCs w:val="32"/>
          <w:highlight w:val="none"/>
          <w:u w:val="none"/>
          <w:lang w:val="zh-CN" w:eastAsia="zh-CN"/>
        </w:rPr>
      </w:pPr>
      <w:r>
        <w:rPr>
          <w:rFonts w:hint="eastAsia" w:ascii="楷体" w:hAnsi="楷体" w:eastAsia="楷体" w:cs="楷体"/>
          <w:b/>
          <w:color w:val="auto"/>
          <w:sz w:val="32"/>
          <w:szCs w:val="32"/>
          <w:highlight w:val="none"/>
          <w:u w:val="none"/>
          <w:lang w:val="zh-CN" w:eastAsia="zh-CN"/>
        </w:rPr>
        <w:t>（三）</w:t>
      </w:r>
      <w:r>
        <w:rPr>
          <w:rFonts w:hint="eastAsia" w:ascii="楷体" w:hAnsi="楷体" w:eastAsia="楷体" w:cs="楷体"/>
          <w:b/>
          <w:color w:val="auto"/>
          <w:sz w:val="32"/>
          <w:szCs w:val="32"/>
          <w:highlight w:val="none"/>
          <w:u w:val="none"/>
          <w:lang w:val="en-US" w:eastAsia="zh-CN"/>
        </w:rPr>
        <w:t>预算安排及分配管理</w:t>
      </w:r>
      <w:r>
        <w:rPr>
          <w:rFonts w:hint="eastAsia" w:ascii="楷体" w:hAnsi="楷体" w:eastAsia="楷体" w:cs="楷体"/>
          <w:b/>
          <w:color w:val="auto"/>
          <w:sz w:val="32"/>
          <w:szCs w:val="32"/>
          <w:highlight w:val="none"/>
          <w:u w:val="none"/>
          <w:lang w:val="zh-CN" w:eastAsia="zh-CN"/>
        </w:rPr>
        <w:t>。</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年教师队伍建设项目资金共计</w:t>
      </w:r>
      <w:r>
        <w:rPr>
          <w:rFonts w:hint="eastAsia" w:ascii="仿宋_GB2312" w:hAnsi="仿宋_GB2312" w:cs="仿宋_GB2312"/>
          <w:b w:val="0"/>
          <w:bCs/>
          <w:color w:val="auto"/>
          <w:kern w:val="0"/>
          <w:sz w:val="32"/>
          <w:szCs w:val="32"/>
          <w:highlight w:val="none"/>
          <w:u w:val="none"/>
          <w:shd w:val="clear" w:color="auto" w:fill="FFFFFF"/>
          <w:lang w:val="en-US" w:eastAsia="zh-CN"/>
        </w:rPr>
        <w:t>1412.76</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万元。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1.农村教师生活补助预算标准每月为400元，省财政按每人每月220元给予定额补助，县财政按每人每月180元给予补助。严格落实“以岗定补、在岗享受，离岗取消”补助原则。农村教师生活补助资金按时直发到教师个人工资账户，并实行实名制管理。县教育局要对教师生活补助人数、补助标准和发放方式等情况进行动态监控。实施农村教师生活补助政策性强，牵涉面广，是一项稳定教师队伍发展的重要民生工程，体现了党和政府对农村教师的关怀。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年农村教师生活补助受益学校所数为8所、受益人数为</w:t>
      </w:r>
      <w:r>
        <w:rPr>
          <w:rFonts w:hint="eastAsia" w:ascii="仿宋_GB2312" w:hAnsi="仿宋_GB2312" w:cs="仿宋_GB2312"/>
          <w:b w:val="0"/>
          <w:bCs/>
          <w:color w:val="auto"/>
          <w:kern w:val="0"/>
          <w:sz w:val="32"/>
          <w:szCs w:val="32"/>
          <w:highlight w:val="none"/>
          <w:u w:val="none"/>
          <w:shd w:val="clear" w:color="auto" w:fill="FFFFFF"/>
          <w:lang w:val="en-US" w:eastAsia="zh-CN"/>
        </w:rPr>
        <w:t>232</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人，每人每月平均标准为400元。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2.按照教师岗位实际，城镇教师每月兑现400元工作补贴，县财政拨付。兑现县城教师工作补贴能体现县委、县人民政府对县城教师的关怀，使提高教师的工作积极性。202</w:t>
      </w:r>
      <w:r>
        <w:rPr>
          <w:rFonts w:hint="eastAsia" w:ascii="仿宋_GB2312" w:hAnsi="仿宋_GB2312" w:cs="仿宋_GB2312"/>
          <w:b w:val="0"/>
          <w:bCs/>
          <w:color w:val="auto"/>
          <w:kern w:val="0"/>
          <w:sz w:val="32"/>
          <w:szCs w:val="32"/>
          <w:highlight w:val="none"/>
          <w:u w:val="none"/>
          <w:shd w:val="clear" w:color="auto" w:fill="FFFFFF"/>
          <w:lang w:val="en-US" w:eastAsia="zh-CN"/>
        </w:rPr>
        <w:t>4</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年县城教师工作补贴受益学校所数为5所、受益人数为3</w:t>
      </w:r>
      <w:r>
        <w:rPr>
          <w:rFonts w:hint="eastAsia" w:ascii="仿宋_GB2312" w:hAnsi="仿宋_GB2312" w:cs="仿宋_GB2312"/>
          <w:b w:val="0"/>
          <w:bCs/>
          <w:color w:val="auto"/>
          <w:kern w:val="0"/>
          <w:sz w:val="32"/>
          <w:szCs w:val="32"/>
          <w:highlight w:val="none"/>
          <w:u w:val="none"/>
          <w:shd w:val="clear" w:color="auto" w:fill="FFFFFF"/>
          <w:lang w:val="en-US" w:eastAsia="zh-CN"/>
        </w:rPr>
        <w:t>59</w:t>
      </w: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人，每人每月平均标准为400元。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3.根据“为支持民族地区“一村一幼”持续健康发展，从2022年秋季学期起，民族地区村级学前辅导员劳务报酬补助标准从每人每月2000元提高至2500元，提标部分所需资金中央和省级承担80%，其余部分由各县(市)承担。(提标部分所需资金,中央和省级承担400元/人/月,县(市)承担100元/人/月)。相关部门在做好学前辅导员报酬补助标准提高工作的同时，要依法依规落实辅导员社会保险等各项福利待遇。”相关精神，我县从2023年起，将全县学前辅导员劳务报酬标准提标至每人每月2500元。</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2" w:firstLineChars="200"/>
        <w:contextualSpacing/>
        <w:jc w:val="left"/>
        <w:textAlignment w:val="auto"/>
        <w:rPr>
          <w:rFonts w:hint="eastAsia" w:ascii="楷体" w:hAnsi="楷体" w:eastAsia="楷体" w:cs="楷体"/>
          <w:b/>
          <w:color w:val="auto"/>
          <w:sz w:val="32"/>
          <w:szCs w:val="32"/>
          <w:highlight w:val="none"/>
          <w:u w:val="none"/>
          <w:lang w:val="zh-CN" w:eastAsia="zh-CN"/>
        </w:rPr>
      </w:pPr>
      <w:r>
        <w:rPr>
          <w:rFonts w:hint="eastAsia" w:ascii="楷体" w:hAnsi="楷体" w:eastAsia="楷体" w:cs="楷体"/>
          <w:b/>
          <w:color w:val="auto"/>
          <w:sz w:val="32"/>
          <w:szCs w:val="32"/>
          <w:highlight w:val="none"/>
          <w:u w:val="none"/>
          <w:lang w:val="zh-CN" w:eastAsia="zh-CN"/>
        </w:rPr>
        <w:t>（四）项目绩效目标设置。</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sz w:val="32"/>
          <w:szCs w:val="32"/>
          <w:highlight w:val="none"/>
          <w:u w:val="none"/>
          <w:lang w:val="zh-CN" w:eastAsia="zh-CN"/>
        </w:rPr>
      </w:pPr>
      <w:r>
        <w:rPr>
          <w:rFonts w:hint="eastAsia" w:ascii="仿宋_GB2312" w:hAnsi="仿宋_GB2312" w:eastAsia="仿宋_GB2312" w:cs="仿宋_GB2312"/>
          <w:b w:val="0"/>
          <w:bCs/>
          <w:color w:val="auto"/>
          <w:sz w:val="32"/>
          <w:szCs w:val="32"/>
          <w:highlight w:val="none"/>
          <w:u w:val="none"/>
          <w:lang w:val="zh-CN" w:eastAsia="zh-CN"/>
        </w:rPr>
        <w:t>项目整体、区域和具体绩效目标设置情况，项目自评工作开展情况。</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教师队伍建设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黑体" w:hAnsi="黑体" w:eastAsia="黑体" w:cs="黑体"/>
          <w:sz w:val="32"/>
          <w:szCs w:val="32"/>
          <w:highlight w:val="none"/>
          <w:lang w:eastAsia="zh-CN"/>
        </w:rPr>
      </w:pPr>
      <w:r>
        <w:rPr>
          <w:rFonts w:hint="eastAsia" w:ascii="黑体" w:hAnsi="黑体" w:eastAsia="黑体" w:cs="黑体"/>
          <w:sz w:val="32"/>
          <w:szCs w:val="32"/>
          <w:highlight w:val="none"/>
        </w:rPr>
        <w:t>二、</w:t>
      </w:r>
      <w:r>
        <w:rPr>
          <w:rFonts w:hint="eastAsia" w:ascii="黑体" w:hAnsi="黑体" w:eastAsia="黑体" w:cs="黑体"/>
          <w:sz w:val="32"/>
          <w:szCs w:val="32"/>
          <w:highlight w:val="none"/>
          <w:lang w:eastAsia="zh-CN"/>
        </w:rPr>
        <w:t>评价实施</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（一）评价目的。</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1.通过实施农村教师生活补助能稳定农村教师队伍及提高农村教师教育教学质量。</w:t>
      </w:r>
    </w:p>
    <w:p>
      <w:pPr>
        <w:keepNext w:val="0"/>
        <w:keepLines w:val="0"/>
        <w:pageBreakBefore w:val="0"/>
        <w:widowControl/>
        <w:numPr>
          <w:ilvl w:val="0"/>
          <w:numId w:val="0"/>
        </w:numPr>
        <w:kinsoku/>
        <w:wordWrap/>
        <w:overflowPunct/>
        <w:topLinePunct w:val="0"/>
        <w:autoSpaceDE/>
        <w:autoSpaceDN/>
        <w:bidi w:val="0"/>
        <w:adjustRightInd w:val="0"/>
        <w:snapToGrid w:val="0"/>
        <w:spacing w:line="560" w:lineRule="exact"/>
        <w:ind w:left="0" w:leftChars="0" w:firstLine="640"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仿宋_GB2312" w:hAnsi="仿宋_GB2312" w:eastAsia="仿宋_GB2312" w:cs="仿宋_GB2312"/>
          <w:b w:val="0"/>
          <w:bCs/>
          <w:color w:val="auto"/>
          <w:kern w:val="0"/>
          <w:sz w:val="32"/>
          <w:szCs w:val="32"/>
          <w:highlight w:val="none"/>
          <w:u w:val="none"/>
          <w:shd w:val="clear" w:color="auto" w:fill="FFFFFF"/>
          <w:lang w:val="en-US" w:eastAsia="zh-CN"/>
        </w:rPr>
        <w:t>2.通过兑现县城学校教师补助能稳定城镇教师队伍发展、缩短城镇与农村教师工资差距，进一步提高县城学校教育教学质量。</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（二）预设问题及评价重点。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教师队伍建设类资金，根据项目实施进度和情况，实际支付至教师个人账户</w:t>
      </w:r>
      <w:r>
        <w:rPr>
          <w:rFonts w:hint="eastAsia" w:ascii="仿宋_GB2312" w:hAnsi="仿宋_GB2312" w:eastAsia="仿宋_GB2312" w:cs="仿宋_GB2312"/>
          <w:sz w:val="32"/>
          <w:szCs w:val="32"/>
          <w:lang w:eastAsia="zh-CN"/>
        </w:rPr>
        <w:t>。</w:t>
      </w:r>
      <w:r>
        <w:rPr>
          <w:rFonts w:hint="eastAsia" w:ascii="仿宋_GB2312" w:hAnsi="仿宋_GB2312" w:cs="仿宋_GB2312"/>
          <w:sz w:val="32"/>
          <w:szCs w:val="32"/>
          <w:lang w:eastAsia="zh-CN"/>
        </w:rPr>
        <w:t>评价重点放在执行标准、受益人数、完成任务时间、金额。</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2"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（三）评价选点。</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textAlignment w:val="auto"/>
        <w:outlineLvl w:val="9"/>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项目绩效自评</w:t>
      </w:r>
      <w:r>
        <w:rPr>
          <w:rFonts w:hint="eastAsia" w:ascii="仿宋_GB2312" w:hAnsi="仿宋_GB2312" w:eastAsia="仿宋_GB2312" w:cs="仿宋_GB2312"/>
          <w:sz w:val="32"/>
          <w:szCs w:val="32"/>
          <w:lang w:val="en-US" w:eastAsia="zh-CN"/>
        </w:rPr>
        <w:t>调阅相关资料为主</w:t>
      </w:r>
      <w:r>
        <w:rPr>
          <w:rFonts w:hint="eastAsia" w:ascii="仿宋_GB2312" w:hAnsi="仿宋_GB2312" w:eastAsia="仿宋_GB2312" w:cs="仿宋_GB2312"/>
          <w:sz w:val="32"/>
          <w:szCs w:val="32"/>
          <w:lang w:val="zh-CN" w:eastAsia="zh-CN"/>
        </w:rPr>
        <w:t>。</w:t>
      </w:r>
      <w:r>
        <w:rPr>
          <w:rFonts w:hint="eastAsia" w:ascii="仿宋_GB2312" w:hAnsi="仿宋_GB2312" w:cs="仿宋_GB2312"/>
          <w:sz w:val="32"/>
          <w:szCs w:val="32"/>
          <w:lang w:val="zh-CN" w:eastAsia="zh-CN"/>
        </w:rPr>
        <w:t>包括黑水县教育系统各校（园）。</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（四）评价方法。</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根据教师队伍建设项目的实际情况，主要</w:t>
      </w:r>
      <w:r>
        <w:rPr>
          <w:rFonts w:hint="eastAsia" w:ascii="仿宋_GB2312" w:hAnsi="仿宋_GB2312" w:eastAsia="仿宋_GB2312" w:cs="仿宋_GB2312"/>
          <w:sz w:val="32"/>
          <w:szCs w:val="32"/>
          <w:lang w:eastAsia="zh-CN"/>
        </w:rPr>
        <w:t>包括</w:t>
      </w:r>
      <w:r>
        <w:rPr>
          <w:rFonts w:hint="eastAsia" w:ascii="仿宋_GB2312" w:hAnsi="仿宋_GB2312" w:eastAsia="仿宋_GB2312" w:cs="仿宋_GB2312"/>
          <w:sz w:val="32"/>
          <w:szCs w:val="32"/>
          <w:lang w:val="en-US" w:eastAsia="zh-CN"/>
        </w:rPr>
        <w:t>是通过收集和调阅教师队伍建设类资料，采用</w:t>
      </w:r>
      <w:r>
        <w:rPr>
          <w:rFonts w:hint="eastAsia" w:ascii="仿宋_GB2312" w:hAnsi="仿宋_GB2312" w:eastAsia="仿宋_GB2312" w:cs="仿宋_GB2312"/>
          <w:sz w:val="32"/>
          <w:szCs w:val="32"/>
        </w:rPr>
        <w:t>单位自评法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2" w:firstLineChars="200"/>
        <w:textAlignment w:val="auto"/>
        <w:outlineLvl w:val="9"/>
        <w:rPr>
          <w:rFonts w:hint="eastAsia" w:ascii="楷体" w:hAnsi="楷体" w:eastAsia="楷体" w:cs="楷体"/>
          <w:b/>
          <w:color w:val="auto"/>
          <w:sz w:val="32"/>
          <w:szCs w:val="32"/>
          <w:highlight w:val="none"/>
          <w:u w:val="none"/>
          <w:lang w:val="zh-CN"/>
        </w:rPr>
      </w:pPr>
      <w:r>
        <w:rPr>
          <w:rFonts w:hint="eastAsia" w:ascii="楷体" w:hAnsi="楷体" w:eastAsia="楷体" w:cs="楷体"/>
          <w:b/>
          <w:color w:val="auto"/>
          <w:sz w:val="32"/>
          <w:szCs w:val="32"/>
          <w:highlight w:val="none"/>
          <w:u w:val="none"/>
          <w:lang w:val="zh-CN"/>
        </w:rPr>
        <w:t>（五）评价组织。</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评价组人员构成</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长：</w:t>
      </w:r>
      <w:r>
        <w:rPr>
          <w:rFonts w:hint="eastAsia" w:ascii="仿宋_GB2312" w:hAnsi="仿宋_GB2312" w:cs="仿宋_GB2312"/>
          <w:sz w:val="32"/>
          <w:szCs w:val="32"/>
          <w:lang w:val="en-US" w:eastAsia="zh-CN"/>
        </w:rPr>
        <w:t>尕让多瓦</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副组长：唐公建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局副局长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组  员：黄志勇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局人事股股长</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李  蓉</w:t>
      </w:r>
      <w:r>
        <w:rPr>
          <w:rFonts w:hint="eastAsia" w:ascii="仿宋_GB2312" w:hAnsi="仿宋_GB2312" w:eastAsia="仿宋_GB2312" w:cs="仿宋_GB2312"/>
          <w:sz w:val="32"/>
          <w:szCs w:val="32"/>
          <w:lang w:val="en-US" w:eastAsia="zh-CN"/>
        </w:rPr>
        <w:t xml:space="preserve"> 教育</w:t>
      </w:r>
      <w:r>
        <w:rPr>
          <w:rFonts w:hint="eastAsia" w:ascii="仿宋_GB2312" w:hAnsi="仿宋_GB2312" w:cs="仿宋_GB2312"/>
          <w:sz w:val="32"/>
          <w:szCs w:val="32"/>
          <w:lang w:val="en-US" w:eastAsia="zh-CN"/>
        </w:rPr>
        <w:t>和体育</w:t>
      </w:r>
      <w:r>
        <w:rPr>
          <w:rFonts w:hint="eastAsia" w:ascii="仿宋_GB2312" w:hAnsi="仿宋_GB2312" w:eastAsia="仿宋_GB2312" w:cs="仿宋_GB2312"/>
          <w:sz w:val="32"/>
          <w:szCs w:val="32"/>
          <w:lang w:val="en-US" w:eastAsia="zh-CN"/>
        </w:rPr>
        <w:t>局计财股股长</w:t>
      </w:r>
    </w:p>
    <w:p>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u w:val="none"/>
          <w:lang w:val="zh-CN"/>
        </w:rPr>
      </w:pPr>
      <w:r>
        <w:rPr>
          <w:rFonts w:hint="eastAsia" w:ascii="黑体" w:hAnsi="黑体" w:eastAsia="黑体" w:cs="黑体"/>
          <w:color w:val="auto"/>
          <w:sz w:val="32"/>
          <w:szCs w:val="32"/>
          <w:highlight w:val="none"/>
          <w:u w:val="none"/>
        </w:rPr>
        <w:t>三、</w:t>
      </w:r>
      <w:r>
        <w:rPr>
          <w:rFonts w:hint="eastAsia" w:ascii="黑体" w:hAnsi="黑体" w:eastAsia="黑体" w:cs="黑体"/>
          <w:color w:val="auto"/>
          <w:sz w:val="32"/>
          <w:szCs w:val="32"/>
          <w:highlight w:val="none"/>
          <w:u w:val="none"/>
          <w:lang w:eastAsia="zh-CN"/>
        </w:rPr>
        <w:t>绩效分析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eastAsia="zh-CN"/>
        </w:rPr>
        <w:t>根据项目预算绩效评价指标体系“通用指标”“专用指标”“个性指标”涉及二、三级指标进行逐项绩效分析并评分</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 w:hAnsi="楷体" w:eastAsia="楷体" w:cs="楷体"/>
          <w:b/>
          <w:color w:val="auto"/>
          <w:sz w:val="32"/>
          <w:szCs w:val="32"/>
          <w:highlight w:val="none"/>
          <w:u w:val="none"/>
          <w:lang w:val="en-US" w:eastAsia="zh-CN"/>
        </w:rPr>
      </w:pPr>
      <w:r>
        <w:rPr>
          <w:rFonts w:hint="eastAsia" w:ascii="楷体" w:hAnsi="楷体" w:eastAsia="楷体" w:cs="楷体"/>
          <w:b/>
          <w:color w:val="auto"/>
          <w:sz w:val="32"/>
          <w:szCs w:val="32"/>
          <w:highlight w:val="none"/>
          <w:u w:val="none"/>
          <w:lang w:val="zh-CN"/>
        </w:rPr>
        <w:t>（一）</w:t>
      </w:r>
      <w:r>
        <w:rPr>
          <w:rFonts w:hint="eastAsia" w:ascii="楷体" w:hAnsi="楷体" w:eastAsia="楷体" w:cs="楷体"/>
          <w:b/>
          <w:color w:val="auto"/>
          <w:sz w:val="32"/>
          <w:szCs w:val="32"/>
          <w:highlight w:val="none"/>
          <w:u w:val="none"/>
          <w:lang w:val="en-US" w:eastAsia="zh-CN"/>
        </w:rPr>
        <w:t>通用指标</w:t>
      </w:r>
      <w:r>
        <w:rPr>
          <w:rFonts w:hint="eastAsia" w:ascii="楷体" w:hAnsi="楷体" w:eastAsia="楷体" w:cs="楷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1.</w:t>
      </w:r>
      <w:r>
        <w:rPr>
          <w:rFonts w:hint="eastAsia" w:ascii="仿宋_GB2312" w:hAnsi="仿宋_GB2312" w:eastAsia="仿宋_GB2312" w:cs="仿宋_GB2312"/>
          <w:b/>
          <w:bCs/>
          <w:color w:val="auto"/>
          <w:sz w:val="32"/>
          <w:szCs w:val="32"/>
          <w:lang w:eastAsia="zh-CN"/>
        </w:rPr>
        <w:t>项目决策。</w:t>
      </w:r>
      <w:r>
        <w:rPr>
          <w:rFonts w:hint="eastAsia" w:ascii="仿宋_GB2312" w:hAnsi="仿宋_GB2312" w:eastAsia="仿宋_GB2312" w:cs="仿宋_GB2312"/>
          <w:color w:val="auto"/>
          <w:sz w:val="32"/>
          <w:szCs w:val="32"/>
          <w:lang w:eastAsia="zh-CN"/>
        </w:rPr>
        <w:t>围绕决策程序、规划论证、资金投向进行绩效分析。共计得分</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val="zh-CN" w:eastAsia="zh-CN"/>
        </w:rPr>
        <w:t>决策程序：按照国家相关文件规定标准执行，并按照“三重一大”上局务会审批决定。本项得分</w:t>
      </w:r>
      <w:r>
        <w:rPr>
          <w:rFonts w:hint="eastAsia" w:ascii="仿宋_GB2312" w:hAnsi="仿宋_GB2312" w:eastAsia="仿宋_GB2312" w:cs="仿宋_GB2312"/>
          <w:color w:val="auto"/>
          <w:sz w:val="32"/>
          <w:szCs w:val="32"/>
          <w:lang w:val="en-US" w:eastAsia="zh-CN"/>
        </w:rPr>
        <w:t>6分。</w:t>
      </w:r>
    </w:p>
    <w:p>
      <w:pPr>
        <w:pStyle w:val="12"/>
        <w:pageBreakBefore w:val="0"/>
        <w:kinsoku/>
        <w:wordWrap/>
        <w:overflowPunct/>
        <w:topLinePunct w:val="0"/>
        <w:autoSpaceDE/>
        <w:autoSpaceDN/>
        <w:bidi w:val="0"/>
        <w:spacing w:before="0" w:after="0" w:line="560" w:lineRule="exact"/>
        <w:ind w:firstLine="640" w:firstLineChars="200"/>
        <w:textAlignment w:val="auto"/>
        <w:rPr>
          <w:rFonts w:hint="eastAsia" w:ascii="仿宋_GB2312" w:hAnsi="仿宋_GB2312" w:eastAsia="仿宋_GB2312" w:cs="仿宋_GB2312"/>
          <w:b w:val="0"/>
          <w:color w:val="auto"/>
          <w:kern w:val="2"/>
          <w:sz w:val="32"/>
          <w:szCs w:val="32"/>
          <w:lang w:val="en-US" w:eastAsia="zh-CN" w:bidi="ar-SA"/>
        </w:rPr>
      </w:pPr>
      <w:r>
        <w:rPr>
          <w:rFonts w:hint="eastAsia" w:ascii="仿宋_GB2312" w:hAnsi="仿宋_GB2312" w:eastAsia="仿宋_GB2312" w:cs="仿宋_GB2312"/>
          <w:b w:val="0"/>
          <w:color w:val="auto"/>
          <w:kern w:val="2"/>
          <w:sz w:val="32"/>
          <w:szCs w:val="32"/>
          <w:lang w:val="en-US" w:eastAsia="zh-CN" w:bidi="ar-SA"/>
        </w:rPr>
        <w:t>（2）规划论证：统筹中央、省、州、县各级资金，按学生人数及补助标准落实到位。</w:t>
      </w:r>
      <w:r>
        <w:rPr>
          <w:rFonts w:hint="eastAsia" w:ascii="仿宋_GB2312" w:hAnsi="仿宋_GB2312" w:eastAsia="仿宋_GB2312" w:cs="仿宋_GB2312"/>
          <w:b w:val="0"/>
          <w:color w:val="auto"/>
          <w:kern w:val="2"/>
          <w:sz w:val="32"/>
          <w:szCs w:val="32"/>
          <w:lang w:val="zh-CN" w:eastAsia="zh-CN" w:bidi="ar-SA"/>
        </w:rPr>
        <w:t>本项得分</w:t>
      </w:r>
      <w:r>
        <w:rPr>
          <w:rFonts w:hint="eastAsia" w:ascii="仿宋_GB2312" w:hAnsi="仿宋_GB2312" w:eastAsia="仿宋_GB2312" w:cs="仿宋_GB2312"/>
          <w:b w:val="0"/>
          <w:color w:val="auto"/>
          <w:kern w:val="2"/>
          <w:sz w:val="32"/>
          <w:szCs w:val="32"/>
          <w:lang w:val="en-US" w:eastAsia="zh-CN" w:bidi="ar-SA"/>
        </w:rPr>
        <w:t>6分。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资金投向：</w:t>
      </w:r>
      <w:r>
        <w:rPr>
          <w:rFonts w:hint="eastAsia" w:ascii="仿宋_GB2312" w:hAnsi="仿宋_GB2312" w:eastAsia="仿宋_GB2312" w:cs="仿宋_GB2312"/>
          <w:color w:val="auto"/>
          <w:sz w:val="32"/>
          <w:szCs w:val="32"/>
          <w:lang w:val="en-US" w:eastAsia="zh-CN"/>
        </w:rPr>
        <w:t>项目具有补助明确的对象和标准</w:t>
      </w:r>
      <w:r>
        <w:rPr>
          <w:rFonts w:hint="eastAsia" w:ascii="仿宋_GB2312" w:hAnsi="仿宋_GB2312" w:eastAsia="仿宋_GB2312" w:cs="仿宋_GB2312"/>
          <w:color w:val="auto"/>
          <w:sz w:val="32"/>
          <w:szCs w:val="32"/>
          <w:lang w:eastAsia="zh-CN"/>
        </w:rPr>
        <w:t>。</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2.</w:t>
      </w:r>
      <w:r>
        <w:rPr>
          <w:rFonts w:hint="eastAsia" w:ascii="仿宋_GB2312" w:hAnsi="仿宋_GB2312" w:eastAsia="仿宋_GB2312" w:cs="仿宋_GB2312"/>
          <w:b/>
          <w:bCs/>
          <w:color w:val="auto"/>
          <w:sz w:val="32"/>
          <w:szCs w:val="32"/>
          <w:lang w:eastAsia="zh-CN"/>
        </w:rPr>
        <w:t>项目管理。</w:t>
      </w:r>
      <w:r>
        <w:rPr>
          <w:rFonts w:hint="eastAsia" w:ascii="仿宋_GB2312" w:hAnsi="仿宋_GB2312" w:eastAsia="仿宋_GB2312" w:cs="仿宋_GB2312"/>
          <w:color w:val="auto"/>
          <w:sz w:val="32"/>
          <w:szCs w:val="32"/>
          <w:lang w:eastAsia="zh-CN"/>
        </w:rPr>
        <w:t>围绕制度办法、分配管理、绩效监管进行绩效分析。共计得分</w:t>
      </w:r>
      <w:r>
        <w:rPr>
          <w:rFonts w:hint="eastAsia" w:ascii="仿宋_GB2312" w:hAnsi="仿宋_GB2312" w:eastAsia="仿宋_GB2312" w:cs="仿宋_GB2312"/>
          <w:color w:val="auto"/>
          <w:sz w:val="32"/>
          <w:szCs w:val="32"/>
          <w:lang w:val="en-US" w:eastAsia="zh-CN"/>
        </w:rPr>
        <w:t>18分。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制度办法：根据《四川省人民政府办公厅关于实施集中连片特殊困难地区和国家扶贫开发工作重点县农村教师补助政策的通知》（川办函〔2014〕86号）等管理办法，教师队伍建设类项目已制定了相关制度办法。</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2分。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分配管理：统筹各级资金，按照规定标准以及实有各类教师人数，分别兑现到教师个人银行卡上。</w:t>
      </w:r>
      <w:r>
        <w:rPr>
          <w:rFonts w:hint="eastAsia" w:ascii="仿宋_GB2312" w:hAnsi="仿宋_GB2312" w:eastAsia="仿宋_GB2312" w:cs="仿宋_GB2312"/>
          <w:color w:val="auto"/>
          <w:sz w:val="32"/>
          <w:szCs w:val="32"/>
          <w:lang w:val="zh-CN" w:eastAsia="zh-CN"/>
        </w:rPr>
        <w:t>本项得分</w:t>
      </w:r>
      <w:r>
        <w:rPr>
          <w:rFonts w:hint="eastAsia" w:ascii="仿宋_GB2312" w:hAnsi="仿宋_GB2312" w:eastAsia="仿宋_GB2312" w:cs="仿宋_GB2312"/>
          <w:color w:val="auto"/>
          <w:sz w:val="32"/>
          <w:szCs w:val="32"/>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b w:val="0"/>
          <w:color w:val="000000"/>
          <w:kern w:val="0"/>
          <w:sz w:val="32"/>
          <w:szCs w:val="32"/>
          <w:highlight w:val="none"/>
          <w:shd w:val="clear" w:color="auto" w:fill="FFFFFF"/>
          <w:lang w:val="en-US" w:eastAsia="zh-CN" w:bidi="ar-SA"/>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绩效监管：本单位绩效监管尚待完善，单位管理层对绩效监管认识程度不够，对项目绩效监管开展不足。本项得分6分。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3.项目实施。</w:t>
      </w:r>
      <w:r>
        <w:rPr>
          <w:rFonts w:hint="eastAsia" w:ascii="仿宋_GB2312" w:hAnsi="仿宋_GB2312" w:eastAsia="仿宋_GB2312" w:cs="仿宋_GB2312"/>
          <w:color w:val="auto"/>
          <w:sz w:val="32"/>
          <w:szCs w:val="32"/>
          <w:lang w:val="en-US" w:eastAsia="zh-CN"/>
        </w:rPr>
        <w:t>围绕预算执行、资金使用进行绩效分析。共计得分9分。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预算执行：根据项目的具体内容，分为</w:t>
      </w:r>
      <w:r>
        <w:rPr>
          <w:rFonts w:hint="eastAsia" w:ascii="仿宋_GB2312" w:hAnsi="仿宋_GB2312" w:cs="仿宋_GB2312"/>
          <w:color w:val="000000"/>
          <w:kern w:val="0"/>
          <w:sz w:val="32"/>
          <w:szCs w:val="32"/>
          <w:highlight w:val="none"/>
          <w:shd w:val="clear" w:color="auto" w:fill="FFFFFF"/>
          <w:lang w:val="en-US" w:eastAsia="zh-CN"/>
        </w:rPr>
        <w:t>232</w:t>
      </w:r>
      <w:r>
        <w:rPr>
          <w:rFonts w:hint="eastAsia" w:ascii="仿宋_GB2312" w:hAnsi="仿宋_GB2312" w:eastAsia="仿宋_GB2312" w:cs="仿宋_GB2312"/>
          <w:color w:val="000000"/>
          <w:kern w:val="0"/>
          <w:sz w:val="32"/>
          <w:szCs w:val="32"/>
          <w:highlight w:val="none"/>
          <w:shd w:val="clear" w:color="auto" w:fill="FFFFFF"/>
          <w:lang w:val="en-US" w:eastAsia="zh-CN"/>
        </w:rPr>
        <w:t>名农村教师按每人每月400元实施生活补助、</w:t>
      </w:r>
      <w:r>
        <w:rPr>
          <w:rFonts w:hint="eastAsia" w:ascii="仿宋_GB2312" w:hAnsi="仿宋_GB2312" w:cs="仿宋_GB2312"/>
          <w:color w:val="000000"/>
          <w:kern w:val="0"/>
          <w:sz w:val="32"/>
          <w:szCs w:val="32"/>
          <w:highlight w:val="none"/>
          <w:shd w:val="clear" w:color="auto" w:fill="FFFFFF"/>
          <w:lang w:val="en-US" w:eastAsia="zh-CN"/>
        </w:rPr>
        <w:t>359</w:t>
      </w:r>
      <w:r>
        <w:rPr>
          <w:rFonts w:hint="eastAsia" w:ascii="仿宋_GB2312" w:hAnsi="仿宋_GB2312" w:eastAsia="仿宋_GB2312" w:cs="仿宋_GB2312"/>
          <w:color w:val="000000"/>
          <w:kern w:val="0"/>
          <w:sz w:val="32"/>
          <w:szCs w:val="32"/>
          <w:highlight w:val="none"/>
          <w:shd w:val="clear" w:color="auto" w:fill="FFFFFF"/>
          <w:lang w:val="en-US" w:eastAsia="zh-CN"/>
        </w:rPr>
        <w:t>名县城教师按每人每月400元实施工作补助、119名学前辅导员按每人每月2500元实施劳务报酬、93名购买劳务服务按不同工种不同标准支付劳务报酬</w:t>
      </w:r>
      <w:r>
        <w:rPr>
          <w:rFonts w:hint="eastAsia" w:ascii="仿宋_GB2312" w:hAnsi="仿宋_GB2312" w:cs="仿宋_GB2312"/>
          <w:color w:val="000000"/>
          <w:kern w:val="0"/>
          <w:sz w:val="32"/>
          <w:szCs w:val="32"/>
          <w:highlight w:val="none"/>
          <w:shd w:val="clear" w:color="auto" w:fill="FFFFFF"/>
          <w:lang w:val="en-US" w:eastAsia="zh-CN"/>
        </w:rPr>
        <w:t>、3名校医每人每月5123.5元实施劳务报酬</w:t>
      </w:r>
      <w:r>
        <w:rPr>
          <w:rFonts w:hint="eastAsia" w:ascii="仿宋_GB2312" w:hAnsi="仿宋_GB2312" w:eastAsia="仿宋_GB2312" w:cs="仿宋_GB2312"/>
          <w:color w:val="000000"/>
          <w:kern w:val="0"/>
          <w:sz w:val="32"/>
          <w:szCs w:val="32"/>
          <w:highlight w:val="none"/>
          <w:shd w:val="clear" w:color="auto" w:fill="FFFFFF"/>
          <w:lang w:val="en-US" w:eastAsia="zh-CN"/>
        </w:rPr>
        <w:t>。本项得分6分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资金使用：202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年教师队伍建设实际使用资金</w:t>
      </w:r>
      <w:r>
        <w:rPr>
          <w:rFonts w:hint="eastAsia" w:ascii="仿宋_GB2312" w:hAnsi="仿宋_GB2312" w:cs="仿宋_GB2312"/>
          <w:color w:val="000000"/>
          <w:kern w:val="0"/>
          <w:sz w:val="32"/>
          <w:szCs w:val="32"/>
          <w:highlight w:val="none"/>
          <w:shd w:val="clear" w:color="auto" w:fill="FFFFFF"/>
          <w:lang w:val="en-US" w:eastAsia="zh-CN"/>
        </w:rPr>
        <w:t>1412.76</w:t>
      </w:r>
      <w:r>
        <w:rPr>
          <w:rFonts w:hint="eastAsia" w:ascii="仿宋_GB2312" w:hAnsi="仿宋_GB2312" w:eastAsia="仿宋_GB2312" w:cs="仿宋_GB2312"/>
          <w:color w:val="000000"/>
          <w:kern w:val="0"/>
          <w:sz w:val="32"/>
          <w:szCs w:val="32"/>
          <w:highlight w:val="none"/>
          <w:shd w:val="clear" w:color="auto" w:fill="FFFFFF"/>
          <w:lang w:val="en-US" w:eastAsia="zh-CN"/>
        </w:rPr>
        <w:t>万元。无虚报冒领现象。本项得分3分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4.项目结果。</w:t>
      </w:r>
      <w:r>
        <w:rPr>
          <w:rFonts w:hint="eastAsia" w:ascii="仿宋_GB2312" w:hAnsi="仿宋_GB2312" w:eastAsia="仿宋_GB2312" w:cs="仿宋_GB2312"/>
          <w:color w:val="auto"/>
          <w:sz w:val="32"/>
          <w:szCs w:val="32"/>
          <w:lang w:val="en-US" w:eastAsia="zh-CN"/>
        </w:rPr>
        <w:t>围绕目标完成、完成时效进行绩效分析。共计得分9分。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目标完成：202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年已完成相应教师补助和发放劳务报酬，提高教师队伍稳定性，促进全县教育公平。</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6分。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完成时效：202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w:t>
      </w:r>
      <w:r>
        <w:rPr>
          <w:rFonts w:hint="eastAsia" w:ascii="仿宋_GB2312" w:hAnsi="仿宋_GB2312" w:eastAsia="仿宋_GB2312" w:cs="仿宋_GB2312"/>
          <w:color w:val="000000"/>
          <w:kern w:val="0"/>
          <w:sz w:val="32"/>
          <w:szCs w:val="32"/>
          <w:highlight w:val="none"/>
          <w:shd w:val="clear" w:color="auto" w:fill="FFFFFF"/>
          <w:lang w:val="zh-CN" w:eastAsia="zh-CN"/>
        </w:rPr>
        <w:t>已在当年按时完成任务。本项得分</w:t>
      </w:r>
      <w:r>
        <w:rPr>
          <w:rFonts w:hint="eastAsia" w:ascii="仿宋_GB2312" w:hAnsi="仿宋_GB2312" w:eastAsia="仿宋_GB2312" w:cs="仿宋_GB2312"/>
          <w:color w:val="000000"/>
          <w:kern w:val="0"/>
          <w:sz w:val="32"/>
          <w:szCs w:val="32"/>
          <w:highlight w:val="none"/>
          <w:shd w:val="clear" w:color="auto" w:fill="FFFFFF"/>
          <w:lang w:val="en-US" w:eastAsia="zh-CN"/>
        </w:rPr>
        <w:t>3分。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通用指标共计得分54分。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color w:val="auto"/>
          <w:sz w:val="32"/>
          <w:szCs w:val="32"/>
          <w:highlight w:val="none"/>
          <w:u w:val="none"/>
          <w:lang w:val="zh-CN"/>
        </w:rPr>
        <w:t>（二）</w:t>
      </w:r>
      <w:r>
        <w:rPr>
          <w:rFonts w:hint="eastAsia" w:ascii="楷体" w:hAnsi="楷体" w:eastAsia="楷体" w:cs="楷体"/>
          <w:b/>
          <w:color w:val="auto"/>
          <w:sz w:val="32"/>
          <w:szCs w:val="32"/>
          <w:highlight w:val="none"/>
          <w:u w:val="none"/>
          <w:lang w:val="en-US" w:eastAsia="zh-CN"/>
        </w:rPr>
        <w:t>专用指标</w:t>
      </w:r>
      <w:r>
        <w:rPr>
          <w:rFonts w:hint="eastAsia" w:ascii="楷体" w:hAnsi="楷体" w:eastAsia="楷体" w:cs="楷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cs="仿宋_GB2312"/>
          <w:color w:val="auto"/>
          <w:sz w:val="32"/>
          <w:szCs w:val="32"/>
          <w:lang w:val="en-US" w:eastAsia="zh-CN"/>
        </w:rPr>
        <w:t>本项目属于民生类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在项目实施过程中</w:t>
      </w:r>
      <w:r>
        <w:rPr>
          <w:rFonts w:hint="eastAsia" w:ascii="仿宋_GB2312" w:hAnsi="仿宋_GB2312" w:eastAsia="仿宋_GB2312" w:cs="仿宋_GB2312"/>
          <w:color w:val="auto"/>
          <w:sz w:val="32"/>
          <w:szCs w:val="32"/>
          <w:lang w:eastAsia="zh-CN"/>
        </w:rPr>
        <w:t>对象精准、标准合理性、群众满意。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1.</w:t>
      </w:r>
      <w:r>
        <w:rPr>
          <w:rFonts w:hint="eastAsia" w:ascii="仿宋_GB2312" w:hAnsi="仿宋_GB2312" w:eastAsia="仿宋_GB2312" w:cs="仿宋_GB2312"/>
          <w:color w:val="000000"/>
          <w:kern w:val="0"/>
          <w:sz w:val="32"/>
          <w:szCs w:val="32"/>
          <w:highlight w:val="none"/>
          <w:shd w:val="clear" w:color="auto" w:fill="FFFFFF"/>
          <w:lang w:val="en-US" w:eastAsia="zh-CN"/>
        </w:rPr>
        <w:t>区域均衡性：202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年教师队伍建设统筹中央、省、州、县各级资金，按教师人数及补助标准落实到各校。</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2.</w:t>
      </w:r>
      <w:r>
        <w:rPr>
          <w:rFonts w:hint="eastAsia" w:ascii="仿宋_GB2312" w:hAnsi="仿宋_GB2312" w:eastAsia="仿宋_GB2312" w:cs="仿宋_GB2312"/>
          <w:color w:val="000000"/>
          <w:kern w:val="0"/>
          <w:sz w:val="32"/>
          <w:szCs w:val="32"/>
          <w:highlight w:val="none"/>
          <w:shd w:val="clear" w:color="auto" w:fill="FFFFFF"/>
          <w:lang w:val="en-US" w:eastAsia="zh-CN"/>
        </w:rPr>
        <w:t>对象精准性：202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年教师队伍建设对象精准，</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10分。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3.</w:t>
      </w:r>
      <w:r>
        <w:rPr>
          <w:rFonts w:hint="eastAsia" w:ascii="仿宋_GB2312" w:hAnsi="仿宋_GB2312" w:eastAsia="仿宋_GB2312" w:cs="仿宋_GB2312"/>
          <w:color w:val="000000"/>
          <w:kern w:val="0"/>
          <w:sz w:val="32"/>
          <w:szCs w:val="32"/>
          <w:highlight w:val="none"/>
          <w:shd w:val="clear" w:color="auto" w:fill="FFFFFF"/>
          <w:lang w:val="en-US" w:eastAsia="zh-CN"/>
        </w:rPr>
        <w:t>标准合理性：资金实际补贴标准符合资金管理办法规定的补助标准，均及时按标准兑现。</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5分。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群众满意度：</w:t>
      </w:r>
      <w:r>
        <w:rPr>
          <w:rFonts w:hint="eastAsia" w:ascii="仿宋_GB2312" w:hAnsi="仿宋_GB2312" w:eastAsia="仿宋_GB2312" w:cs="仿宋_GB2312"/>
          <w:color w:val="000000"/>
          <w:kern w:val="0"/>
          <w:sz w:val="32"/>
          <w:szCs w:val="32"/>
          <w:highlight w:val="none"/>
          <w:shd w:val="clear" w:color="auto" w:fill="FFFFFF"/>
          <w:lang w:val="zh-CN" w:eastAsia="zh-CN"/>
        </w:rPr>
        <w:t>本项得分</w:t>
      </w:r>
      <w:r>
        <w:rPr>
          <w:rFonts w:hint="eastAsia" w:ascii="仿宋_GB2312" w:hAnsi="仿宋_GB2312" w:eastAsia="仿宋_GB2312" w:cs="仿宋_GB2312"/>
          <w:color w:val="000000"/>
          <w:kern w:val="0"/>
          <w:sz w:val="32"/>
          <w:szCs w:val="32"/>
          <w:highlight w:val="none"/>
          <w:shd w:val="clear" w:color="auto" w:fill="FFFFFF"/>
          <w:lang w:val="en-US" w:eastAsia="zh-CN"/>
        </w:rPr>
        <w:t>4分</w:t>
      </w:r>
    </w:p>
    <w:p>
      <w:pPr>
        <w:pageBreakBefore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eastAsia="zh-CN"/>
        </w:rPr>
        <w:t>本单位</w:t>
      </w:r>
      <w:r>
        <w:rPr>
          <w:rFonts w:hint="eastAsia" w:ascii="仿宋_GB2312" w:hAnsi="仿宋_GB2312" w:eastAsia="仿宋_GB2312" w:cs="仿宋_GB2312"/>
          <w:color w:val="auto"/>
          <w:sz w:val="32"/>
          <w:szCs w:val="32"/>
          <w:lang w:val="en-US" w:eastAsia="zh-CN"/>
        </w:rPr>
        <w:t>202</w:t>
      </w:r>
      <w:r>
        <w:rPr>
          <w:rFonts w:hint="eastAsia" w:ascii="仿宋_GB2312" w:hAnsi="仿宋_GB2312" w:cs="仿宋_GB2312"/>
          <w:color w:val="auto"/>
          <w:sz w:val="32"/>
          <w:szCs w:val="32"/>
          <w:lang w:val="en-US" w:eastAsia="zh-CN"/>
        </w:rPr>
        <w:t>4</w:t>
      </w:r>
      <w:r>
        <w:rPr>
          <w:rFonts w:hint="eastAsia" w:ascii="仿宋_GB2312" w:hAnsi="仿宋_GB2312" w:eastAsia="仿宋_GB2312" w:cs="仿宋_GB2312"/>
          <w:color w:val="auto"/>
          <w:sz w:val="32"/>
          <w:szCs w:val="32"/>
          <w:lang w:val="en-US" w:eastAsia="zh-CN"/>
        </w:rPr>
        <w:t>年教师队伍建设项目</w:t>
      </w:r>
      <w:r>
        <w:rPr>
          <w:rFonts w:hint="eastAsia" w:ascii="仿宋_GB2312" w:hAnsi="仿宋_GB2312" w:eastAsia="仿宋_GB2312" w:cs="仿宋_GB2312"/>
          <w:sz w:val="32"/>
          <w:szCs w:val="32"/>
          <w:lang w:val="en-US" w:eastAsia="zh-CN"/>
        </w:rPr>
        <w:t>专用指标共计得分29分。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outlineLvl w:val="9"/>
        <w:rPr>
          <w:rFonts w:hint="eastAsia" w:ascii="楷体" w:hAnsi="楷体" w:eastAsia="楷体" w:cs="楷体"/>
          <w:b/>
          <w:bCs/>
          <w:color w:val="000000"/>
          <w:kern w:val="0"/>
          <w:sz w:val="32"/>
          <w:szCs w:val="32"/>
          <w:highlight w:val="none"/>
          <w:shd w:val="clear" w:color="auto" w:fill="FFFFFF"/>
          <w:lang w:val="zh-CN"/>
        </w:rPr>
      </w:pPr>
      <w:r>
        <w:rPr>
          <w:rFonts w:hint="eastAsia" w:ascii="楷体" w:hAnsi="楷体" w:eastAsia="楷体" w:cs="楷体"/>
          <w:b/>
          <w:color w:val="auto"/>
          <w:sz w:val="32"/>
          <w:szCs w:val="32"/>
          <w:highlight w:val="none"/>
          <w:u w:val="none"/>
          <w:lang w:val="zh-CN"/>
        </w:rPr>
        <w:t>（三）</w:t>
      </w:r>
      <w:r>
        <w:rPr>
          <w:rFonts w:hint="eastAsia" w:ascii="楷体" w:hAnsi="楷体" w:eastAsia="楷体" w:cs="楷体"/>
          <w:b/>
          <w:color w:val="auto"/>
          <w:sz w:val="32"/>
          <w:szCs w:val="32"/>
          <w:highlight w:val="none"/>
          <w:u w:val="none"/>
          <w:lang w:val="en-US" w:eastAsia="zh-CN"/>
        </w:rPr>
        <w:t>个性指标</w:t>
      </w:r>
      <w:r>
        <w:rPr>
          <w:rFonts w:hint="eastAsia" w:ascii="楷体" w:hAnsi="楷体" w:eastAsia="楷体" w:cs="楷体"/>
          <w:b/>
          <w:bCs/>
          <w:color w:val="000000"/>
          <w:kern w:val="0"/>
          <w:sz w:val="32"/>
          <w:szCs w:val="32"/>
          <w:highlight w:val="none"/>
          <w:shd w:val="clear" w:color="auto" w:fill="FFFFFF"/>
          <w:lang w:val="zh-CN"/>
        </w:rPr>
        <w:t>绩效分析。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执行标准符合相应标准，做到既要达标也不超标。</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sz w:val="32"/>
          <w:szCs w:val="32"/>
          <w:highlight w:val="none"/>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教师队伍建设类项目均设置了一级指标（包括产出指标、效益指标、成本指标满意度指标等）、二级指标（包括数量指标、时效指标、社会效益指标、满意度指标等）、三级指标（包括项目受益人数、完成金额、完成任务时间、执行标准、服务对象满意度等），从各个不同维度对项目执行及评估情况进行细化，绩效目标设置达到了科学合理、规范完整、量化细化、与预算相匹配</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9"/>
        <w:rPr>
          <w:rFonts w:hint="eastAsia" w:ascii="仿宋_GB2312" w:hAnsi="仿宋_GB2312" w:eastAsia="仿宋_GB2312" w:cs="仿宋_GB2312"/>
          <w:color w:val="000000"/>
          <w:kern w:val="0"/>
          <w:sz w:val="32"/>
          <w:szCs w:val="32"/>
          <w:highlight w:val="none"/>
          <w:shd w:val="clear" w:color="auto" w:fill="FFFFFF"/>
          <w:lang w:val="en-US" w:eastAsia="zh-CN"/>
        </w:rPr>
      </w:pPr>
      <w:r>
        <w:rPr>
          <w:rFonts w:hint="eastAsia" w:ascii="仿宋_GB2312" w:hAnsi="仿宋_GB2312" w:eastAsia="仿宋_GB2312" w:cs="仿宋_GB2312"/>
          <w:color w:val="000000"/>
          <w:kern w:val="0"/>
          <w:sz w:val="32"/>
          <w:szCs w:val="32"/>
          <w:highlight w:val="none"/>
          <w:shd w:val="clear" w:color="auto" w:fill="FFFFFF"/>
          <w:lang w:val="en-US" w:eastAsia="zh-CN"/>
        </w:rPr>
        <w:t>本单位202</w:t>
      </w:r>
      <w:r>
        <w:rPr>
          <w:rFonts w:hint="eastAsia" w:ascii="仿宋_GB2312" w:hAnsi="仿宋_GB2312" w:cs="仿宋_GB2312"/>
          <w:color w:val="000000"/>
          <w:kern w:val="0"/>
          <w:sz w:val="32"/>
          <w:szCs w:val="32"/>
          <w:highlight w:val="none"/>
          <w:shd w:val="clear" w:color="auto" w:fill="FFFFFF"/>
          <w:lang w:val="en-US" w:eastAsia="zh-CN"/>
        </w:rPr>
        <w:t>4</w:t>
      </w:r>
      <w:r>
        <w:rPr>
          <w:rFonts w:hint="eastAsia" w:ascii="仿宋_GB2312" w:hAnsi="仿宋_GB2312" w:eastAsia="仿宋_GB2312" w:cs="仿宋_GB2312"/>
          <w:color w:val="000000"/>
          <w:kern w:val="0"/>
          <w:sz w:val="32"/>
          <w:szCs w:val="32"/>
          <w:highlight w:val="none"/>
          <w:shd w:val="clear" w:color="auto" w:fill="FFFFFF"/>
          <w:lang w:val="en-US" w:eastAsia="zh-CN"/>
        </w:rPr>
        <w:t>年度教师队伍建设类项目个性指标得分16分。</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sz w:val="32"/>
          <w:szCs w:val="32"/>
          <w:highlight w:val="none"/>
          <w:u w:val="none"/>
        </w:rPr>
      </w:pPr>
      <w:r>
        <w:rPr>
          <w:rFonts w:hint="eastAsia" w:ascii="黑体" w:hAnsi="黑体" w:eastAsia="黑体" w:cs="黑体"/>
          <w:color w:val="auto"/>
          <w:sz w:val="32"/>
          <w:szCs w:val="32"/>
          <w:highlight w:val="none"/>
          <w:u w:val="none"/>
          <w:lang w:eastAsia="zh-CN"/>
        </w:rPr>
        <w:t>四</w:t>
      </w:r>
      <w:r>
        <w:rPr>
          <w:rFonts w:hint="eastAsia" w:ascii="黑体" w:hAnsi="黑体" w:eastAsia="黑体" w:cs="黑体"/>
          <w:color w:val="auto"/>
          <w:sz w:val="32"/>
          <w:szCs w:val="32"/>
          <w:highlight w:val="none"/>
          <w:u w:val="none"/>
        </w:rPr>
        <w:t>、评价结论</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农村教师生活补助、县城教师工作补助、学前辅导员劳务报酬和购买服务、校医辅助岗等按每月实有人数和标准进行发放。</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sz w:val="32"/>
          <w:szCs w:val="32"/>
          <w:lang w:val="en-US" w:eastAsia="zh-CN"/>
        </w:rPr>
        <w:t>项目自评</w:t>
      </w:r>
      <w:r>
        <w:rPr>
          <w:rFonts w:hint="eastAsia" w:ascii="仿宋_GB2312" w:hAnsi="仿宋_GB2312" w:eastAsia="仿宋_GB2312" w:cs="仿宋_GB2312"/>
          <w:sz w:val="32"/>
          <w:szCs w:val="32"/>
        </w:rPr>
        <w:t>总得分为</w:t>
      </w:r>
      <w:r>
        <w:rPr>
          <w:rFonts w:hint="eastAsia" w:ascii="仿宋_GB2312" w:hAnsi="仿宋_GB2312" w:eastAsia="仿宋_GB2312" w:cs="仿宋_GB2312"/>
          <w:sz w:val="32"/>
          <w:szCs w:val="32"/>
          <w:lang w:val="en-US" w:eastAsia="zh-CN"/>
        </w:rPr>
        <w:t>99</w:t>
      </w:r>
      <w:r>
        <w:rPr>
          <w:rFonts w:hint="eastAsia" w:ascii="仿宋_GB2312" w:hAnsi="仿宋_GB2312" w:eastAsia="仿宋_GB2312" w:cs="仿宋_GB2312"/>
          <w:sz w:val="32"/>
          <w:szCs w:val="32"/>
        </w:rPr>
        <w:t>分。</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sz w:val="32"/>
          <w:szCs w:val="32"/>
          <w:highlight w:val="none"/>
          <w:u w:val="none"/>
          <w:lang w:eastAsia="zh-CN"/>
        </w:rPr>
      </w:pPr>
      <w:r>
        <w:rPr>
          <w:rFonts w:hint="eastAsia" w:ascii="黑体" w:hAnsi="黑体" w:eastAsia="黑体" w:cs="黑体"/>
          <w:color w:val="auto"/>
          <w:sz w:val="32"/>
          <w:szCs w:val="32"/>
          <w:highlight w:val="none"/>
          <w:u w:val="none"/>
          <w:lang w:eastAsia="zh-CN"/>
        </w:rPr>
        <w:t>五、存在主要问题</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县城教师工作补助在实施过程中，资金无法及时保障。</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color w:val="auto"/>
          <w:kern w:val="0"/>
          <w:position w:val="3"/>
          <w:sz w:val="32"/>
          <w:szCs w:val="32"/>
          <w:highlight w:val="none"/>
          <w:u w:val="none"/>
          <w:lang w:val="zh-CN" w:eastAsia="zh-CN" w:bidi="ar-SA"/>
        </w:rPr>
      </w:pPr>
      <w:r>
        <w:rPr>
          <w:rFonts w:hint="eastAsia" w:ascii="黑体" w:hAnsi="黑体" w:eastAsia="黑体" w:cs="黑体"/>
          <w:color w:val="auto"/>
          <w:kern w:val="0"/>
          <w:position w:val="3"/>
          <w:sz w:val="32"/>
          <w:szCs w:val="32"/>
          <w:highlight w:val="none"/>
          <w:u w:val="none"/>
          <w:lang w:val="zh-CN" w:eastAsia="zh-CN" w:bidi="ar-SA"/>
        </w:rPr>
        <w:t>六、改进建议</w:t>
      </w:r>
    </w:p>
    <w:p>
      <w:pPr>
        <w:pStyle w:val="4"/>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县城教师工作补助在实施过程中，资金无法及时保障，建议纳入年初预算。</w:t>
      </w:r>
    </w:p>
    <w:p>
      <w:pPr>
        <w:keepNext w:val="0"/>
        <w:keepLines w:val="0"/>
        <w:pageBreakBefore w:val="0"/>
        <w:kinsoku/>
        <w:wordWrap/>
        <w:overflowPunct/>
        <w:topLinePunct w:val="0"/>
        <w:autoSpaceDE/>
        <w:autoSpaceDN/>
        <w:bidi w:val="0"/>
        <w:adjustRightInd/>
        <w:snapToGrid w:val="0"/>
        <w:spacing w:line="560" w:lineRule="exact"/>
        <w:ind w:left="0" w:leftChars="0" w:firstLine="42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pPr>
        <w:spacing w:line="580" w:lineRule="exact"/>
        <w:ind w:firstLine="640" w:firstLineChars="200"/>
        <w:rPr>
          <w:rFonts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modern"/>
    <w:pitch w:val="default"/>
    <w:sig w:usb0="00000001" w:usb1="080E0000" w:usb2="00000000" w:usb3="00000000" w:csb0="00040000" w:csb1="00000000"/>
  </w:font>
  <w:font w:name="??">
    <w:altName w:val="仿宋_GB2312"/>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altName w:val="方正小标宋_GBK"/>
    <w:panose1 w:val="02010601030101010101"/>
    <w:charset w:val="86"/>
    <w:family w:val="auto"/>
    <w:pitch w:val="default"/>
    <w:sig w:usb0="00000000" w:usb1="00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1D2419"/>
    <w:multiLevelType w:val="singleLevel"/>
    <w:tmpl w:val="7B1D2419"/>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BA70FD9"/>
    <w:rsid w:val="100566B3"/>
    <w:rsid w:val="1007456C"/>
    <w:rsid w:val="19B51FBF"/>
    <w:rsid w:val="1B4A3EC4"/>
    <w:rsid w:val="1BBF6E6B"/>
    <w:rsid w:val="1D3E6ABB"/>
    <w:rsid w:val="1EC05BFB"/>
    <w:rsid w:val="2439349C"/>
    <w:rsid w:val="244E01D1"/>
    <w:rsid w:val="28F24D91"/>
    <w:rsid w:val="29817A8A"/>
    <w:rsid w:val="2D6371B4"/>
    <w:rsid w:val="332A63E0"/>
    <w:rsid w:val="33DA011B"/>
    <w:rsid w:val="358B1B11"/>
    <w:rsid w:val="38DE34F6"/>
    <w:rsid w:val="3D7F01EC"/>
    <w:rsid w:val="423607D0"/>
    <w:rsid w:val="457F747A"/>
    <w:rsid w:val="4A0B0DD8"/>
    <w:rsid w:val="55704B34"/>
    <w:rsid w:val="57B166CC"/>
    <w:rsid w:val="599E2E3D"/>
    <w:rsid w:val="5D7A1794"/>
    <w:rsid w:val="5DBC40E7"/>
    <w:rsid w:val="632348EB"/>
    <w:rsid w:val="6A324E5C"/>
    <w:rsid w:val="6AB240B8"/>
    <w:rsid w:val="6EE50230"/>
    <w:rsid w:val="6F6CBD35"/>
    <w:rsid w:val="73FFCC6C"/>
    <w:rsid w:val="75FF2CAF"/>
    <w:rsid w:val="76DBAD41"/>
    <w:rsid w:val="77991202"/>
    <w:rsid w:val="7C137804"/>
    <w:rsid w:val="7D7B0EE5"/>
    <w:rsid w:val="7DFDB52E"/>
    <w:rsid w:val="7E69B7B3"/>
    <w:rsid w:val="7EDD1B12"/>
    <w:rsid w:val="7F4A36F2"/>
    <w:rsid w:val="83C60882"/>
    <w:rsid w:val="C9AA79D3"/>
    <w:rsid w:val="CEED65E8"/>
    <w:rsid w:val="EF73141D"/>
    <w:rsid w:val="EF7DD607"/>
    <w:rsid w:val="FFBDF0BB"/>
    <w:rsid w:val="FFD796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spacing w:before="100" w:beforeAutospacing="1" w:after="100" w:afterAutospacing="1"/>
      <w:ind w:left="4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327</Words>
  <Characters>335</Characters>
  <Lines>2</Lines>
  <Paragraphs>1</Paragraphs>
  <TotalTime>20</TotalTime>
  <ScaleCrop>false</ScaleCrop>
  <LinksUpToDate>false</LinksUpToDate>
  <CharactersWithSpaces>335</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聋子听见哑巴说瞎子看见爱</cp:lastModifiedBy>
  <dcterms:modified xsi:type="dcterms:W3CDTF">2025-08-30T15:03:21Z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CD14128851FF4C64A5534974F19A36DC</vt:lpwstr>
  </property>
</Properties>
</file>