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val="en-US" w:eastAsia="zh-CN"/>
        </w:rPr>
        <w:t>中学</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b/>
          <w:bCs/>
          <w:sz w:val="32"/>
          <w:szCs w:val="32"/>
        </w:rPr>
        <w:t>一、重大政策或项目基本情况</w:t>
      </w:r>
    </w:p>
    <w:p>
      <w:pPr>
        <w:tabs>
          <w:tab w:val="left" w:pos="0"/>
        </w:tabs>
        <w:adjustRightInd w:val="0"/>
        <w:snapToGrid w:val="0"/>
        <w:spacing w:line="520" w:lineRule="exact"/>
        <w:ind w:firstLine="480" w:firstLineChars="150"/>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二、立项必要性</w:t>
      </w:r>
    </w:p>
    <w:p>
      <w:pPr>
        <w:tabs>
          <w:tab w:val="left" w:pos="0"/>
        </w:tabs>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三、投入经济性</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普通高中免教材费：每生每年600元,分摊比例:省财政350元,余额州县财政3:7分担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中困难学生国家助学金：每生每年2000元,覆盖面为普通高中在校学生人数的50%.所需资金在中央、省按36%的覆盖面和每生每年1793元标准补助的基础上，剩余部分由州、县按3：7比例分担。设学生人数为X，（2000*0.5x-0.36x*1793)*70%中央省645.48元，州105.52元，县249元，考虑按比例分担时涉及四舍五入问题，故县财政按251元承担。</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普通高中免学杂费：每生每年1200元,分摊比例按原标准执行:省财政450元,余额州县财政3:7分担</w:t>
      </w:r>
      <w:r>
        <w:rPr>
          <w:rFonts w:hint="eastAsia" w:ascii="仿宋_GB2312" w:hAnsi="仿宋_GB2312" w:eastAsia="仿宋_GB2312" w:cs="仿宋_GB2312"/>
          <w:sz w:val="32"/>
          <w:szCs w:val="32"/>
          <w:lang w:eastAsia="zh-CN"/>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生均经费：川财教[2019]212号四川省财政厅四川省教育厅关于进一步健全公办普通高中经费保障机制的意见，要求普通高中生均公用经费基础标准每生每年不低于1000元，其中，省级资金500元，余额500元由县级财政承担。</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四、绩效目标合理性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五、实施方案可行性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w:t>
      </w:r>
      <w:bookmarkStart w:id="0" w:name="_GoBack"/>
      <w:bookmarkEnd w:id="0"/>
      <w:r>
        <w:rPr>
          <w:rFonts w:hint="eastAsia" w:ascii="仿宋_GB2312" w:hAnsi="宋体" w:eastAsia="仿宋_GB2312"/>
          <w:sz w:val="32"/>
          <w:szCs w:val="32"/>
        </w:rPr>
        <w:t>和广大人民群众采取多种形式和办法，支持教育改革发展和学校项目建设，参与教育治理。</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六、筹资合规性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adjustRightInd w:val="0"/>
        <w:snapToGrid w:val="0"/>
        <w:spacing w:line="520" w:lineRule="exact"/>
        <w:ind w:firstLine="643" w:firstLineChars="200"/>
        <w:rPr>
          <w:rFonts w:ascii="仿宋_GB2312" w:hAnsi="宋体" w:eastAsia="仿宋_GB2312"/>
          <w:sz w:val="32"/>
          <w:szCs w:val="32"/>
        </w:rPr>
      </w:pPr>
      <w:r>
        <w:rPr>
          <w:rFonts w:hint="eastAsia" w:ascii="仿宋_GB2312" w:hAnsi="宋体" w:eastAsia="仿宋_GB2312"/>
          <w:b/>
          <w:bCs/>
          <w:sz w:val="32"/>
          <w:szCs w:val="32"/>
        </w:rPr>
        <w:t>七、可持续性分析</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ind w:firstLine="643" w:firstLineChars="200"/>
        <w:rPr>
          <w:rFonts w:ascii="黑体" w:hAnsi="黑体" w:eastAsia="黑体" w:cs="黑体"/>
          <w:b/>
          <w:bCs/>
          <w:sz w:val="32"/>
          <w:szCs w:val="32"/>
        </w:rPr>
      </w:pPr>
      <w:r>
        <w:rPr>
          <w:rFonts w:hint="eastAsia" w:ascii="黑体" w:hAnsi="黑体" w:eastAsia="黑体" w:cs="黑体"/>
          <w:b/>
          <w:bCs/>
          <w:sz w:val="32"/>
          <w:szCs w:val="32"/>
        </w:rPr>
        <w:t>八、综合评估结论</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A3698B"/>
    <w:rsid w:val="5B8D4400"/>
    <w:rsid w:val="66525139"/>
    <w:rsid w:val="7510762C"/>
    <w:rsid w:val="F7DEC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2025-08-29T12:06:00Z</dcterms:created>
  <dc:creator>Administrator</dc:creator>
  <cp:lastModifiedBy>Administrator</cp:lastModifiedBy>
  <dcterms:modified xsi:type="dcterms:W3CDTF">2025-09-01T01:53:39Z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