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“组团式”帮扶</w:t>
      </w: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项目评价实施方案情况（包括选点、评价指标、评价方法、基础数据表等情况）</w:t>
      </w:r>
    </w:p>
    <w:p>
      <w:pPr>
        <w:keepNext w:val="0"/>
        <w:keepLines w:val="0"/>
        <w:pageBreakBefore w:val="0"/>
        <w:widowControl/>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为深入贯彻习近平总书记对深化东西部协作和定点帮扶工作的系列重要指示精神，全面贯彻落实中央组织部、省委、州委组织部关于医疗、教育干部人才“组团式”帮扶工作的系列部署要求，充分发挥浙江对口支援智力帮扶资金作用，切实提升医疗、教育干部人才“组团式”帮扶实效，为黑水县教育医疗事业发展提供坚强的人才智力支撑。</w:t>
      </w:r>
    </w:p>
    <w:p>
      <w:pPr>
        <w:keepNext w:val="0"/>
        <w:keepLines w:val="0"/>
        <w:pageBreakBefore w:val="0"/>
        <w:widowControl/>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 w:eastAsia="仿宋_GB2312" w:cs="仿宋_GB2312"/>
          <w:sz w:val="32"/>
          <w:szCs w:val="32"/>
        </w:rPr>
      </w:pPr>
      <w:r>
        <w:rPr>
          <w:rFonts w:hint="default" w:ascii="Times New Roman" w:hAnsi="Times New Roman" w:eastAsia="方正仿宋_GBK" w:cs="Times New Roman"/>
          <w:b w:val="0"/>
          <w:bCs w:val="0"/>
          <w:sz w:val="32"/>
          <w:szCs w:val="32"/>
          <w:lang w:val="en-US" w:eastAsia="zh-CN"/>
        </w:rPr>
        <w:t>通过“师带徒、团队带团队、走出去培训和跟班学习、教学绩效评估、优质生源资助、工作经费”等多种形式，实施医疗、教育干部人才“组团式”帮扶攻坚行动，其中，教育帮扶资金100万元、医疗帮扶资金50万元，县中学</w:t>
      </w:r>
      <w:r>
        <w:rPr>
          <w:rFonts w:hint="eastAsia" w:ascii="Times New Roman" w:hAnsi="Times New Roman" w:eastAsia="方正仿宋_GBK" w:cs="Times New Roman"/>
          <w:b w:val="0"/>
          <w:bCs w:val="0"/>
          <w:sz w:val="32"/>
          <w:szCs w:val="32"/>
          <w:lang w:val="en-US" w:eastAsia="zh-CN"/>
        </w:rPr>
        <w:t>校</w:t>
      </w:r>
      <w:r>
        <w:rPr>
          <w:rFonts w:hint="default" w:ascii="Times New Roman" w:hAnsi="Times New Roman" w:eastAsia="方正仿宋_GBK" w:cs="Times New Roman"/>
          <w:b w:val="0"/>
          <w:bCs w:val="0"/>
          <w:sz w:val="32"/>
          <w:szCs w:val="32"/>
          <w:lang w:val="en-US" w:eastAsia="zh-CN"/>
        </w:rPr>
        <w:t>、县人民医院工作经费各20万元，项目预算总资金190万元。</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项目绩效评价总体结论（包括202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年度部门预算项目支出绩效自评表）</w:t>
      </w: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p>
    <w:p>
      <w:pPr>
        <w:spacing w:line="580" w:lineRule="exact"/>
        <w:ind w:firstLine="420" w:firstLineChars="200"/>
        <w:rPr>
          <w:rFonts w:hint="eastAsia" w:ascii="仿宋_GB2312" w:hAnsi="仿宋" w:eastAsia="仿宋_GB2312" w:cs="仿宋_GB2312"/>
          <w:sz w:val="32"/>
          <w:szCs w:val="32"/>
        </w:rPr>
      </w:pPr>
      <w:r>
        <w:drawing>
          <wp:anchor distT="0" distB="0" distL="114935" distR="114935" simplePos="0" relativeHeight="251658240" behindDoc="0" locked="0" layoutInCell="1" allowOverlap="1">
            <wp:simplePos x="0" y="0"/>
            <wp:positionH relativeFrom="column">
              <wp:posOffset>266700</wp:posOffset>
            </wp:positionH>
            <wp:positionV relativeFrom="paragraph">
              <wp:posOffset>-3915410</wp:posOffset>
            </wp:positionV>
            <wp:extent cx="5266690" cy="4199255"/>
            <wp:effectExtent l="0" t="0" r="10160" b="1079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66690" cy="4199255"/>
                    </a:xfrm>
                    <a:prstGeom prst="rect">
                      <a:avLst/>
                    </a:prstGeom>
                    <a:noFill/>
                    <a:ln>
                      <a:noFill/>
                    </a:ln>
                  </pic:spPr>
                </pic:pic>
              </a:graphicData>
            </a:graphic>
          </wp:anchor>
        </w:drawing>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keepNext w:val="0"/>
        <w:keepLines w:val="0"/>
        <w:pageBreakBefore w:val="0"/>
        <w:widowControl/>
        <w:kinsoku/>
        <w:wordWrap/>
        <w:overflowPunct/>
        <w:topLinePunct w:val="0"/>
        <w:autoSpaceDE/>
        <w:autoSpaceDN/>
        <w:bidi w:val="0"/>
        <w:adjustRightInd/>
        <w:snapToGrid/>
        <w:spacing w:beforeAutospacing="0" w:afterAutospacing="0" w:line="576" w:lineRule="exact"/>
        <w:ind w:left="0" w:leftChars="0" w:firstLine="640" w:firstLineChars="200"/>
        <w:jc w:val="both"/>
        <w:textAlignment w:val="auto"/>
        <w:rPr>
          <w:rFonts w:hint="eastAsia" w:ascii="仿宋_GB2312" w:hAnsi="仿宋" w:eastAsia="仿宋_GB2312" w:cs="仿宋_GB2312"/>
          <w:sz w:val="32"/>
          <w:szCs w:val="32"/>
        </w:rPr>
      </w:pPr>
      <w:r>
        <w:rPr>
          <w:rFonts w:hint="default" w:ascii="Times New Roman" w:hAnsi="Times New Roman" w:eastAsia="方正仿宋_GBK" w:cs="Times New Roman"/>
          <w:b w:val="0"/>
          <w:bCs w:val="0"/>
          <w:sz w:val="32"/>
          <w:szCs w:val="32"/>
          <w:lang w:val="en-US" w:eastAsia="zh-CN"/>
        </w:rPr>
        <w:t>充分发挥资金撬动作用，为黑水县教育、医疗干部人才进一步解放思想、更新观念、学习先进、查找不足提供有效载体，让黑水县本土专技人才开阔眼界、开阔视野、拓展思路，为全面提升黑水县中学育人和管理水平，全面提升黑水县人民医院诊疗能力提供强有力的人才智力支持。</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kern w:val="2"/>
          <w:sz w:val="32"/>
          <w:szCs w:val="32"/>
          <w:lang w:val="en-US" w:eastAsia="zh-CN" w:bidi="ar-SA"/>
        </w:rPr>
        <w:t>帮带质效评估。</w:t>
      </w:r>
      <w:r>
        <w:rPr>
          <w:rFonts w:hint="eastAsia" w:ascii="Times New Roman" w:hAnsi="Times New Roman" w:eastAsia="方正仿宋_GBK" w:cs="Times New Roman"/>
          <w:b w:val="0"/>
          <w:bCs w:val="0"/>
          <w:color w:val="auto"/>
          <w:sz w:val="32"/>
          <w:szCs w:val="32"/>
          <w:lang w:val="en-US" w:eastAsia="zh-CN"/>
        </w:rPr>
        <w:t>对“组团式”帮扶师带徒、团队带团队效果进行双向评价，</w:t>
      </w:r>
      <w:r>
        <w:rPr>
          <w:rFonts w:hint="eastAsia" w:eastAsia="方正仿宋_GBK" w:cs="Times New Roman"/>
          <w:b w:val="0"/>
          <w:bCs w:val="0"/>
          <w:color w:val="auto"/>
          <w:sz w:val="32"/>
          <w:szCs w:val="32"/>
          <w:lang w:val="en-US" w:eastAsia="zh-CN"/>
        </w:rPr>
        <w:t>通过徒弟独立开展新技术新业务情况、业务水平提升情况等指标开展考核，对表现优秀的师傅、徒弟、团队进行资助。经费预算10万，主要用于对帮带质效评估中优秀的师傅、徒弟、团队进行资助。</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2.</w:t>
      </w:r>
      <w:r>
        <w:rPr>
          <w:rFonts w:hint="default" w:ascii="Times New Roman" w:hAnsi="Times New Roman" w:eastAsia="方正仿宋_GBK" w:cs="Times New Roman"/>
          <w:b w:val="0"/>
          <w:bCs w:val="0"/>
          <w:kern w:val="2"/>
          <w:sz w:val="32"/>
          <w:szCs w:val="32"/>
          <w:lang w:val="en-US" w:eastAsia="zh-CN" w:bidi="ar-SA"/>
        </w:rPr>
        <w:t>新技术新项目推广。为促进适宜技术落地，支持帮扶医院“带土移植”，填补相关领域空白，支持引进新技术新项目，组织川内及浙江医疗专家到黑水临时性技术指导，提升医院服务能力。</w:t>
      </w:r>
      <w:r>
        <w:rPr>
          <w:rFonts w:hint="eastAsia" w:ascii="Times New Roman" w:hAnsi="Times New Roman" w:eastAsia="方正仿宋_GBK" w:cs="Times New Roman"/>
          <w:b w:val="0"/>
          <w:bCs w:val="0"/>
          <w:kern w:val="2"/>
          <w:sz w:val="32"/>
          <w:szCs w:val="32"/>
          <w:lang w:val="en-US" w:eastAsia="zh-CN" w:bidi="ar-SA"/>
        </w:rPr>
        <w:t>经费预算10万元，用于新技术新项目推广培训相关费用等。</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3</w:t>
      </w:r>
      <w:r>
        <w:rPr>
          <w:rFonts w:hint="default" w:ascii="Times New Roman" w:hAnsi="Times New Roman" w:eastAsia="方正仿宋_GBK" w:cs="Times New Roman"/>
          <w:b w:val="0"/>
          <w:bCs w:val="0"/>
          <w:kern w:val="2"/>
          <w:sz w:val="32"/>
          <w:szCs w:val="32"/>
          <w:lang w:val="en-US" w:eastAsia="zh-CN" w:bidi="ar-SA"/>
        </w:rPr>
        <w:t>.本土人才培养。组织全县医疗骨干及管理团队赴浙江省或省内对口帮扶地交流研修、跟班学习薄弱专业以及“五大中心”急需技术等，邀请“组团式”帮扶、对口帮扶医院专家对本院医务人员线上线下培训，提升医疗水平和科研能力。一是选派医务人员进修学习。选派医务人员赴浙江嘉兴二医院、海宁市人民医院、彭州等开展为期1</w:t>
      </w:r>
      <w:r>
        <w:rPr>
          <w:rFonts w:hint="eastAsia" w:ascii="Times New Roman" w:hAnsi="Times New Roman" w:eastAsia="方正仿宋_GBK" w:cs="Times New Roman"/>
          <w:b w:val="0"/>
          <w:bCs w:val="0"/>
          <w:kern w:val="2"/>
          <w:sz w:val="32"/>
          <w:szCs w:val="32"/>
          <w:lang w:val="en-US" w:eastAsia="zh-CN" w:bidi="ar-SA"/>
        </w:rPr>
        <w:t>-</w:t>
      </w:r>
      <w:r>
        <w:rPr>
          <w:rFonts w:hint="default" w:ascii="Times New Roman" w:hAnsi="Times New Roman" w:eastAsia="方正仿宋_GBK" w:cs="Times New Roman"/>
          <w:b w:val="0"/>
          <w:bCs w:val="0"/>
          <w:kern w:val="2"/>
          <w:sz w:val="32"/>
          <w:szCs w:val="32"/>
          <w:lang w:val="en-US" w:eastAsia="zh-CN" w:bidi="ar-SA"/>
        </w:rPr>
        <w:t>6个月的进修学习。二是开展外出学习调研。有计划</w:t>
      </w:r>
      <w:r>
        <w:rPr>
          <w:rFonts w:hint="eastAsia" w:ascii="Times New Roman" w:hAnsi="Times New Roman" w:eastAsia="方正仿宋_GBK" w:cs="Times New Roman"/>
          <w:b w:val="0"/>
          <w:bCs w:val="0"/>
          <w:kern w:val="2"/>
          <w:sz w:val="32"/>
          <w:szCs w:val="32"/>
          <w:lang w:val="en-US" w:eastAsia="zh-CN" w:bidi="ar-SA"/>
        </w:rPr>
        <w:t>地</w:t>
      </w:r>
      <w:r>
        <w:rPr>
          <w:rFonts w:hint="default" w:ascii="Times New Roman" w:hAnsi="Times New Roman" w:eastAsia="方正仿宋_GBK" w:cs="Times New Roman"/>
          <w:b w:val="0"/>
          <w:bCs w:val="0"/>
          <w:kern w:val="2"/>
          <w:sz w:val="32"/>
          <w:szCs w:val="32"/>
          <w:lang w:val="en-US" w:eastAsia="zh-CN" w:bidi="ar-SA"/>
        </w:rPr>
        <w:t>组织中层、骨干员参加学术会议、管理论坛、短期培训等活动，提升业务能力。三是开展院内学习培训项目。每周组织“组团式”帮扶医生、对口帮扶地（医院）选派医生、院内优秀医务人员在科室内开展1次带教讲课；开展全院业务学习，组织对口支援专家授课、高级职称人员对全县医护人员进行专业授课。</w:t>
      </w:r>
      <w:r>
        <w:rPr>
          <w:rFonts w:hint="eastAsia" w:ascii="Times New Roman" w:hAnsi="Times New Roman" w:eastAsia="方正仿宋_GBK" w:cs="Times New Roman"/>
          <w:b w:val="0"/>
          <w:bCs w:val="0"/>
          <w:kern w:val="2"/>
          <w:sz w:val="32"/>
          <w:szCs w:val="32"/>
          <w:lang w:val="en-US" w:eastAsia="zh-CN" w:bidi="ar-SA"/>
        </w:rPr>
        <w:t>经费预算20万元，用于外出研修学习相关费用、培训教学等费用。</w:t>
      </w:r>
    </w:p>
    <w:p>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76" w:lineRule="exact"/>
        <w:ind w:left="0" w:leftChars="0" w:right="0" w:rightChars="0"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4</w:t>
      </w:r>
      <w:r>
        <w:rPr>
          <w:rFonts w:hint="default" w:ascii="Times New Roman" w:hAnsi="Times New Roman" w:eastAsia="方正仿宋_GBK" w:cs="Times New Roman"/>
          <w:b w:val="0"/>
          <w:bCs w:val="0"/>
          <w:kern w:val="2"/>
          <w:sz w:val="32"/>
          <w:szCs w:val="32"/>
          <w:lang w:val="en-US" w:eastAsia="zh-CN" w:bidi="ar-SA"/>
        </w:rPr>
        <w:t>.工作室建设。建设“陆惠根名医工作室”，着力提升黑水县人民医院骨科技术能力，致力于内镜微创手术在黑水县的开展与推广，开展坐诊、查房、会诊、手术治疗及授课等方面的工作，为年轻医生进行传、帮、带，尽快提高我县医疗服务水平，力争完成帮带医护人员3名以上。</w:t>
      </w:r>
      <w:r>
        <w:rPr>
          <w:rFonts w:hint="eastAsia" w:ascii="Times New Roman" w:hAnsi="Times New Roman" w:eastAsia="方正仿宋_GBK" w:cs="Times New Roman"/>
          <w:b w:val="0"/>
          <w:bCs w:val="0"/>
          <w:kern w:val="2"/>
          <w:sz w:val="32"/>
          <w:szCs w:val="32"/>
          <w:lang w:val="en-US" w:eastAsia="zh-CN" w:bidi="ar-SA"/>
        </w:rPr>
        <w:t>经费预算10万元，用于工作室建设中相关教研活动费用等。</w:t>
      </w:r>
    </w:p>
    <w:p>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76" w:lineRule="exact"/>
        <w:ind w:left="0" w:leftChars="0" w:right="0" w:rightChars="0"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方正楷体_GBK" w:hAnsi="方正楷体_GBK" w:eastAsia="方正楷体_GBK" w:cs="方正楷体_GBK"/>
          <w:b w:val="0"/>
          <w:bCs w:val="0"/>
          <w:sz w:val="32"/>
          <w:szCs w:val="32"/>
          <w:lang w:val="en-US" w:eastAsia="zh-CN"/>
        </w:rPr>
        <w:t>（三）教育、医疗“组团式”帮扶工作经费。</w:t>
      </w:r>
      <w:r>
        <w:rPr>
          <w:rFonts w:hint="default" w:ascii="Times New Roman" w:hAnsi="Times New Roman" w:eastAsia="方正仿宋_GBK" w:cs="Times New Roman"/>
          <w:b w:val="0"/>
          <w:bCs w:val="0"/>
          <w:sz w:val="32"/>
          <w:szCs w:val="32"/>
          <w:lang w:val="en-US" w:eastAsia="zh-CN"/>
        </w:rPr>
        <w:t>县中学、县人民医院工作经费各20万元，用于帮扶团队开展人员培训、业务研讨、到乡村巡诊义诊等有关经费补助。</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1.推广“小学+初中+高中”全链条帮扶。开展初高中衔接教学，</w:t>
      </w:r>
      <w:r>
        <w:rPr>
          <w:rFonts w:hint="eastAsia" w:ascii="Times New Roman" w:hAnsi="Times New Roman" w:eastAsia="方正仿宋_GBK" w:cs="Times New Roman"/>
          <w:b w:val="0"/>
          <w:bCs w:val="0"/>
          <w:kern w:val="2"/>
          <w:sz w:val="32"/>
          <w:szCs w:val="32"/>
          <w:lang w:val="en-US" w:eastAsia="zh-CN" w:bidi="ar-SA"/>
        </w:rPr>
        <w:t>筹办初升高衔接教学班，利用专项计划开展帮扶班急需教师引进，</w:t>
      </w:r>
      <w:r>
        <w:rPr>
          <w:rFonts w:hint="default" w:ascii="Times New Roman" w:hAnsi="Times New Roman" w:eastAsia="方正仿宋_GBK" w:cs="Times New Roman"/>
          <w:b w:val="0"/>
          <w:bCs w:val="0"/>
          <w:kern w:val="2"/>
          <w:sz w:val="32"/>
          <w:szCs w:val="32"/>
          <w:lang w:val="en-US" w:eastAsia="zh-CN" w:bidi="ar-SA"/>
        </w:rPr>
        <w:t>邀请帮扶地小学、初中名优教师到我县开展教育教学交流活动</w:t>
      </w:r>
      <w:r>
        <w:rPr>
          <w:rFonts w:hint="eastAsia" w:ascii="Times New Roman" w:hAnsi="Times New Roman" w:eastAsia="方正仿宋_GBK" w:cs="Times New Roman"/>
          <w:b w:val="0"/>
          <w:bCs w:val="0"/>
          <w:kern w:val="2"/>
          <w:sz w:val="32"/>
          <w:szCs w:val="32"/>
          <w:lang w:val="en-US" w:eastAsia="zh-CN" w:bidi="ar-SA"/>
        </w:rPr>
        <w:t>。经费预算10万元，主要用于支持衔接班和帮扶班师资培养、人才引进、教师工作生活经费资助及相关教育教研活动等</w:t>
      </w:r>
      <w:r>
        <w:rPr>
          <w:rFonts w:hint="default" w:ascii="Times New Roman" w:hAnsi="Times New Roman" w:eastAsia="方正仿宋_GBK" w:cs="Times New Roman"/>
          <w:b w:val="0"/>
          <w:bCs w:val="0"/>
          <w:kern w:val="2"/>
          <w:sz w:val="32"/>
          <w:szCs w:val="32"/>
          <w:lang w:val="en-US" w:eastAsia="zh-CN" w:bidi="ar-SA"/>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2.</w:t>
      </w:r>
      <w:r>
        <w:rPr>
          <w:rFonts w:hint="eastAsia" w:ascii="Times New Roman" w:hAnsi="Times New Roman" w:eastAsia="方正仿宋_GBK" w:cs="Times New Roman"/>
          <w:b w:val="0"/>
          <w:bCs w:val="0"/>
          <w:kern w:val="2"/>
          <w:sz w:val="32"/>
          <w:szCs w:val="32"/>
          <w:lang w:val="en-US" w:eastAsia="zh-CN" w:bidi="ar-SA"/>
        </w:rPr>
        <w:t>帮带质效评估。对“组团式”帮扶师带徒、团队带团队效果进行双向评价考核，根据本土教师综合荣誉、教育论文、学生竞赛、教育科研、教学竞赛等项目情况对“师带徒”质效开展等级评定，按工作量和管理成效对“团队带团队”效果开展等级评定。经费预算20万，用于对在考核评定中表现突出的教师和团队开展经费资助等。</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3.</w:t>
      </w:r>
      <w:r>
        <w:rPr>
          <w:rFonts w:hint="eastAsia" w:ascii="Times New Roman" w:hAnsi="Times New Roman" w:eastAsia="方正仿宋_GBK" w:cs="Times New Roman"/>
          <w:b w:val="0"/>
          <w:bCs w:val="0"/>
          <w:kern w:val="2"/>
          <w:sz w:val="32"/>
          <w:szCs w:val="32"/>
          <w:lang w:val="en-US" w:eastAsia="zh-CN" w:bidi="ar-SA"/>
        </w:rPr>
        <w:t>教育教学质量考核。根据黑水县中学在高考及期中期末等大型考试中的实际情况，按照科目工作量、学生上线情况等指标对优秀教师、学生、管理团队进行教学质量考核。经费预算30万元，用于对教学质量考核中优秀的教师、学生及管理团队开展经费资助等。</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4.</w:t>
      </w:r>
      <w:r>
        <w:rPr>
          <w:rFonts w:hint="default" w:ascii="Times New Roman" w:hAnsi="Times New Roman" w:eastAsia="方正仿宋_GBK" w:cs="Times New Roman"/>
          <w:b w:val="0"/>
          <w:bCs w:val="0"/>
          <w:kern w:val="2"/>
          <w:sz w:val="32"/>
          <w:szCs w:val="32"/>
          <w:lang w:val="en-US" w:eastAsia="zh-CN" w:bidi="ar-SA"/>
        </w:rPr>
        <w:t>本土师资培养。组织教师及管理团队赴浙江省或省内对口帮扶地交流培训、</w:t>
      </w:r>
      <w:r>
        <w:rPr>
          <w:rFonts w:hint="eastAsia" w:ascii="Times New Roman" w:hAnsi="Times New Roman" w:eastAsia="方正仿宋_GBK" w:cs="Times New Roman"/>
          <w:b w:val="0"/>
          <w:bCs w:val="0"/>
          <w:kern w:val="2"/>
          <w:sz w:val="32"/>
          <w:szCs w:val="32"/>
          <w:lang w:val="en-US" w:eastAsia="zh-CN" w:bidi="ar-SA"/>
        </w:rPr>
        <w:t>跟班</w:t>
      </w:r>
      <w:r>
        <w:rPr>
          <w:rFonts w:hint="default" w:ascii="Times New Roman" w:hAnsi="Times New Roman" w:eastAsia="方正仿宋_GBK" w:cs="Times New Roman"/>
          <w:b w:val="0"/>
          <w:bCs w:val="0"/>
          <w:kern w:val="2"/>
          <w:sz w:val="32"/>
          <w:szCs w:val="32"/>
          <w:lang w:val="en-US" w:eastAsia="zh-CN" w:bidi="ar-SA"/>
        </w:rPr>
        <w:t>学习等，邀请校外专家教师对本校教师开展线上线下培训，</w:t>
      </w:r>
      <w:r>
        <w:rPr>
          <w:rFonts w:hint="eastAsia" w:ascii="Times New Roman" w:hAnsi="Times New Roman" w:eastAsia="方正仿宋_GBK" w:cs="Times New Roman"/>
          <w:b w:val="0"/>
          <w:bCs w:val="0"/>
          <w:kern w:val="2"/>
          <w:sz w:val="32"/>
          <w:szCs w:val="32"/>
          <w:lang w:val="en-US" w:eastAsia="zh-CN" w:bidi="ar-SA"/>
        </w:rPr>
        <w:t>招引优秀年轻教师到县中学任教，进一步</w:t>
      </w:r>
      <w:r>
        <w:rPr>
          <w:rFonts w:hint="default" w:ascii="Times New Roman" w:hAnsi="Times New Roman" w:eastAsia="方正仿宋_GBK" w:cs="Times New Roman"/>
          <w:b w:val="0"/>
          <w:bCs w:val="0"/>
          <w:kern w:val="2"/>
          <w:sz w:val="32"/>
          <w:szCs w:val="32"/>
          <w:lang w:val="en-US" w:eastAsia="zh-CN" w:bidi="ar-SA"/>
        </w:rPr>
        <w:t>提升教育教学</w:t>
      </w:r>
      <w:r>
        <w:rPr>
          <w:rFonts w:hint="eastAsia" w:ascii="Times New Roman" w:hAnsi="Times New Roman" w:eastAsia="方正仿宋_GBK" w:cs="Times New Roman"/>
          <w:b w:val="0"/>
          <w:bCs w:val="0"/>
          <w:kern w:val="2"/>
          <w:sz w:val="32"/>
          <w:szCs w:val="32"/>
          <w:lang w:val="en-US" w:eastAsia="zh-CN" w:bidi="ar-SA"/>
        </w:rPr>
        <w:t>能力和科研</w:t>
      </w:r>
      <w:r>
        <w:rPr>
          <w:rFonts w:hint="default" w:ascii="Times New Roman" w:hAnsi="Times New Roman" w:eastAsia="方正仿宋_GBK" w:cs="Times New Roman"/>
          <w:b w:val="0"/>
          <w:bCs w:val="0"/>
          <w:kern w:val="2"/>
          <w:sz w:val="32"/>
          <w:szCs w:val="32"/>
          <w:lang w:val="en-US" w:eastAsia="zh-CN" w:bidi="ar-SA"/>
        </w:rPr>
        <w:t>能力。</w:t>
      </w:r>
      <w:r>
        <w:rPr>
          <w:rFonts w:hint="eastAsia" w:ascii="Times New Roman" w:hAnsi="Times New Roman" w:eastAsia="方正仿宋_GBK" w:cs="Times New Roman"/>
          <w:b w:val="0"/>
          <w:bCs w:val="0"/>
          <w:kern w:val="2"/>
          <w:sz w:val="32"/>
          <w:szCs w:val="32"/>
          <w:lang w:val="en-US" w:eastAsia="zh-CN" w:bidi="ar-SA"/>
        </w:rPr>
        <w:t>经费预算20万，主要用于人才招引经费、交流学习经费及专家教师培训经费等。</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76" w:lineRule="exact"/>
        <w:ind w:left="0" w:leftChars="0" w:firstLine="640" w:firstLineChars="200"/>
        <w:jc w:val="both"/>
        <w:textAlignment w:val="auto"/>
        <w:rPr>
          <w:rFonts w:hint="eastAsia" w:ascii="仿宋_GB2312" w:hAnsi="仿宋" w:eastAsia="仿宋_GB2312" w:cs="仿宋_GB2312"/>
          <w:sz w:val="32"/>
          <w:szCs w:val="32"/>
        </w:rPr>
      </w:pPr>
      <w:r>
        <w:rPr>
          <w:rFonts w:hint="eastAsia" w:ascii="Times New Roman" w:hAnsi="Times New Roman" w:eastAsia="方正仿宋_GBK" w:cs="Times New Roman"/>
          <w:b w:val="0"/>
          <w:bCs w:val="0"/>
          <w:kern w:val="2"/>
          <w:sz w:val="32"/>
          <w:szCs w:val="32"/>
          <w:lang w:val="en-US" w:eastAsia="zh-CN" w:bidi="ar-SA"/>
        </w:rPr>
        <w:t>5.</w:t>
      </w:r>
      <w:r>
        <w:rPr>
          <w:rFonts w:hint="default" w:ascii="Times New Roman" w:hAnsi="Times New Roman" w:eastAsia="方正仿宋_GBK" w:cs="Times New Roman"/>
          <w:b w:val="0"/>
          <w:bCs w:val="0"/>
          <w:kern w:val="2"/>
          <w:sz w:val="32"/>
          <w:szCs w:val="32"/>
          <w:lang w:val="en-US" w:eastAsia="zh-CN" w:bidi="ar-SA"/>
        </w:rPr>
        <w:t>工作室建设。借助“组团式”帮扶平台，充分发挥帮扶人才专业特长，组建</w:t>
      </w:r>
      <w:r>
        <w:rPr>
          <w:rFonts w:hint="eastAsia" w:ascii="Times New Roman" w:hAnsi="Times New Roman" w:eastAsia="方正仿宋_GBK" w:cs="Times New Roman"/>
          <w:b w:val="0"/>
          <w:bCs w:val="0"/>
          <w:kern w:val="2"/>
          <w:sz w:val="32"/>
          <w:szCs w:val="32"/>
          <w:lang w:val="en-US" w:eastAsia="zh-CN" w:bidi="ar-SA"/>
        </w:rPr>
        <w:t>语文、数学、英语等</w:t>
      </w:r>
      <w:r>
        <w:rPr>
          <w:rFonts w:hint="default" w:ascii="Times New Roman" w:hAnsi="Times New Roman" w:eastAsia="方正仿宋_GBK" w:cs="Times New Roman"/>
          <w:b w:val="0"/>
          <w:bCs w:val="0"/>
          <w:kern w:val="2"/>
          <w:sz w:val="32"/>
          <w:szCs w:val="32"/>
          <w:lang w:val="en-US" w:eastAsia="zh-CN" w:bidi="ar-SA"/>
        </w:rPr>
        <w:t>名师工作室，邀请各级教育专家讲座，开展教育教学教研培训、订单式培养学生教师等活动。</w:t>
      </w:r>
      <w:r>
        <w:rPr>
          <w:rFonts w:hint="eastAsia" w:ascii="Times New Roman" w:hAnsi="Times New Roman" w:eastAsia="方正仿宋_GBK" w:cs="Times New Roman"/>
          <w:b w:val="0"/>
          <w:bCs w:val="0"/>
          <w:kern w:val="2"/>
          <w:sz w:val="32"/>
          <w:szCs w:val="32"/>
          <w:lang w:val="en-US" w:eastAsia="zh-CN" w:bidi="ar-SA"/>
        </w:rPr>
        <w:t>建设黑水县高端人才工作室，借助本土优秀教育人才，包括州教育英才、硕博高学历人才等，</w:t>
      </w:r>
      <w:r>
        <w:rPr>
          <w:rFonts w:hint="default" w:ascii="Times New Roman" w:hAnsi="Times New Roman" w:eastAsia="方正仿宋_GBK" w:cs="Times New Roman"/>
          <w:b w:val="0"/>
          <w:bCs w:val="0"/>
          <w:kern w:val="2"/>
          <w:sz w:val="32"/>
          <w:szCs w:val="32"/>
          <w:lang w:val="en-US" w:eastAsia="zh-CN" w:bidi="ar-SA"/>
        </w:rPr>
        <w:t>组建高水平教育人才孵化平台，</w:t>
      </w:r>
      <w:r>
        <w:rPr>
          <w:rFonts w:hint="eastAsia" w:ascii="Times New Roman" w:hAnsi="Times New Roman" w:eastAsia="方正仿宋_GBK" w:cs="Times New Roman"/>
          <w:b w:val="0"/>
          <w:bCs w:val="0"/>
          <w:kern w:val="2"/>
          <w:sz w:val="32"/>
          <w:szCs w:val="32"/>
          <w:lang w:val="en-US" w:eastAsia="zh-CN" w:bidi="ar-SA"/>
        </w:rPr>
        <w:t>吸引高级教师开展讲座，</w:t>
      </w:r>
      <w:r>
        <w:rPr>
          <w:rFonts w:hint="default" w:ascii="Times New Roman" w:hAnsi="Times New Roman" w:eastAsia="方正仿宋_GBK" w:cs="Times New Roman"/>
          <w:b w:val="0"/>
          <w:bCs w:val="0"/>
          <w:kern w:val="2"/>
          <w:sz w:val="32"/>
          <w:szCs w:val="32"/>
          <w:lang w:val="en-US" w:eastAsia="zh-CN" w:bidi="ar-SA"/>
        </w:rPr>
        <w:t>培养教育引领团队，拉升县域整体教育水平</w:t>
      </w:r>
      <w:r>
        <w:rPr>
          <w:rFonts w:hint="eastAsia" w:ascii="Times New Roman" w:hAnsi="Times New Roman" w:eastAsia="方正仿宋_GBK" w:cs="Times New Roman"/>
          <w:b w:val="0"/>
          <w:bCs w:val="0"/>
          <w:kern w:val="2"/>
          <w:sz w:val="32"/>
          <w:szCs w:val="32"/>
          <w:lang w:val="en-US" w:eastAsia="zh-CN" w:bidi="ar-SA"/>
        </w:rPr>
        <w:t>。经费预算20万，主要用于工作室建设相关活动、讲座授课等。</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3、项目绩效</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严格执行浙江省对口支援阿坝州资金管理办法，</w:t>
      </w:r>
      <w:r>
        <w:rPr>
          <w:rFonts w:hint="eastAsia" w:ascii="Times New Roman" w:hAnsi="Times New Roman" w:eastAsia="方正仿宋_GBK" w:cs="Times New Roman"/>
          <w:b w:val="0"/>
          <w:bCs w:val="0"/>
          <w:sz w:val="32"/>
          <w:szCs w:val="32"/>
          <w:lang w:val="en-US" w:eastAsia="zh-CN"/>
        </w:rPr>
        <w:t>及时划拨智力补助资金，</w:t>
      </w:r>
      <w:r>
        <w:rPr>
          <w:rFonts w:hint="default" w:ascii="Times New Roman" w:hAnsi="Times New Roman" w:eastAsia="方正仿宋_GBK" w:cs="Times New Roman"/>
          <w:b w:val="0"/>
          <w:bCs w:val="0"/>
          <w:sz w:val="32"/>
          <w:szCs w:val="32"/>
          <w:lang w:val="en-US" w:eastAsia="zh-CN"/>
        </w:rPr>
        <w:t>按照州委组织部等相关部门要求使用教育、医疗干部人才“组团式”帮扶智力补助项目资金，实行专账核算、专人管理、专款专用或各项目内调配使用，坚决杜绝挤占、截留、挪用现象。</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sz w:val="32"/>
          <w:szCs w:val="32"/>
          <w:lang w:val="en-US" w:eastAsia="zh-CN"/>
        </w:rPr>
        <w:t>县教育局、县卫健局指导县中学校、县人民医院做好项目档案建设，对项目审核、实施、验收、资金划拨等各环节的档案材料进行整理归档，做到资料详实、手续齐备、程序合规。要</w:t>
      </w:r>
      <w:r>
        <w:rPr>
          <w:rFonts w:hint="default" w:ascii="Times New Roman" w:hAnsi="Times New Roman" w:eastAsia="方正仿宋_GBK" w:cs="Times New Roman"/>
          <w:b w:val="0"/>
          <w:bCs w:val="0"/>
          <w:sz w:val="32"/>
          <w:szCs w:val="32"/>
          <w:lang w:val="en-US" w:eastAsia="zh-CN"/>
        </w:rPr>
        <w:t>在项目实施过程中，相关责任单位要从帮、受“两个维度”及时提炼总结工作经验，深入挖掘宣传教育、医疗人才帮扶的典型，形成一批可复制、有辨识度的帮扶经验，宣传一批帮扶干部人才，充分激发帮扶干部人才创新创造活力。</w:t>
      </w:r>
    </w:p>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rPr>
          <w:rFonts w:hint="default" w:ascii="Times New Roman" w:hAnsi="Times New Roman" w:eastAsia="方正仿宋_GBK" w:cs="Times New Roman"/>
          <w:b w:val="0"/>
          <w:bCs w:val="0"/>
          <w:sz w:val="32"/>
          <w:szCs w:val="32"/>
          <w:lang w:val="en-US" w:eastAsia="zh-CN"/>
        </w:rPr>
      </w:pPr>
    </w:p>
    <w:p>
      <w:pPr>
        <w:spacing w:line="580" w:lineRule="exact"/>
        <w:ind w:firstLine="640" w:firstLineChars="200"/>
        <w:rPr>
          <w:rFonts w:hint="eastAsia" w:ascii="仿宋_GB2312" w:hAnsi="仿宋" w:eastAsia="仿宋_GB2312" w:cs="仿宋_GB2312"/>
          <w:sz w:val="32"/>
          <w:szCs w:val="32"/>
        </w:rPr>
      </w:pP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numPr>
          <w:numId w:val="0"/>
        </w:numPr>
        <w:spacing w:line="580" w:lineRule="exact"/>
        <w:ind w:firstLine="1280" w:firstLineChars="4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相关措施建议</w:t>
      </w:r>
    </w:p>
    <w:p>
      <w:pPr>
        <w:numPr>
          <w:numId w:val="0"/>
        </w:numPr>
        <w:spacing w:line="580" w:lineRule="exact"/>
        <w:ind w:left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 xml:space="preserve">     无</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7B6263"/>
    <w:multiLevelType w:val="singleLevel"/>
    <w:tmpl w:val="C77B626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2439349C"/>
    <w:rsid w:val="244E01D1"/>
    <w:rsid w:val="33DA011B"/>
    <w:rsid w:val="358B1B11"/>
    <w:rsid w:val="423607D0"/>
    <w:rsid w:val="4A0B0DD8"/>
    <w:rsid w:val="55704B34"/>
    <w:rsid w:val="57B166CC"/>
    <w:rsid w:val="5DBC40E7"/>
    <w:rsid w:val="62554B6C"/>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able of figures"/>
    <w:basedOn w:val="1"/>
    <w:next w:val="1"/>
    <w:semiHidden/>
    <w:qFormat/>
    <w:uiPriority w:val="99"/>
    <w:pPr>
      <w:spacing w:before="100" w:beforeAutospacing="1" w:after="100" w:afterAutospacing="1"/>
      <w:ind w:left="200" w:leftChars="200" w:hanging="200" w:hangingChars="200"/>
    </w:p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1</TotalTime>
  <ScaleCrop>false</ScaleCrop>
  <LinksUpToDate>false</LinksUpToDate>
  <CharactersWithSpaces>335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2025-08-29T08:56:50Z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CD14128851FF4C64A5534974F19A36DC</vt:lpwstr>
  </property>
</Properties>
</file>