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华文中宋"/>
          <w:bCs/>
          <w:sz w:val="36"/>
          <w:szCs w:val="44"/>
          <w:lang w:val="en-US" w:eastAsia="zh-CN"/>
        </w:rPr>
      </w:pPr>
      <w:r>
        <w:rPr>
          <w:rFonts w:hint="eastAsia" w:ascii="仿宋_GB2312" w:hAnsi="华文中宋"/>
          <w:bCs/>
          <w:sz w:val="36"/>
          <w:szCs w:val="44"/>
        </w:rPr>
        <w:t>黑水县</w:t>
      </w:r>
      <w:r>
        <w:rPr>
          <w:rFonts w:hint="eastAsia" w:ascii="仿宋_GB2312" w:hAnsi="华文中宋"/>
          <w:bCs/>
          <w:sz w:val="36"/>
          <w:szCs w:val="44"/>
          <w:lang w:eastAsia="zh-CN"/>
        </w:rPr>
        <w:t>色尔古</w:t>
      </w:r>
      <w:r>
        <w:rPr>
          <w:rFonts w:hint="eastAsia" w:ascii="仿宋_GB2312" w:hAnsi="华文中宋"/>
          <w:bCs/>
          <w:sz w:val="36"/>
          <w:szCs w:val="44"/>
          <w:lang w:val="en-US" w:eastAsia="zh-CN"/>
        </w:rPr>
        <w:t>中心校</w:t>
      </w:r>
    </w:p>
    <w:p>
      <w:pPr>
        <w:jc w:val="center"/>
        <w:rPr>
          <w:rFonts w:ascii="宋体" w:hAnsi="宋体" w:eastAsia="宋体" w:cs="宋体"/>
          <w:b/>
          <w:sz w:val="36"/>
          <w:szCs w:val="44"/>
        </w:rPr>
      </w:pPr>
      <w:r>
        <w:rPr>
          <w:rFonts w:hint="eastAsia" w:ascii="仿宋_GB2312" w:hAnsi="华文中宋"/>
          <w:bCs/>
          <w:sz w:val="36"/>
          <w:szCs w:val="44"/>
        </w:rPr>
        <w:t>彩票公益金转移支付202</w:t>
      </w:r>
      <w:r>
        <w:rPr>
          <w:rFonts w:hint="eastAsia" w:ascii="仿宋_GB2312" w:hAnsi="华文中宋"/>
          <w:bCs/>
          <w:sz w:val="36"/>
          <w:szCs w:val="44"/>
          <w:lang w:val="en-US" w:eastAsia="zh-CN"/>
        </w:rPr>
        <w:t>4</w:t>
      </w:r>
      <w:r>
        <w:rPr>
          <w:rFonts w:hint="eastAsia" w:ascii="仿宋_GB2312" w:hAnsi="华文中宋"/>
          <w:bCs/>
          <w:sz w:val="36"/>
          <w:szCs w:val="44"/>
        </w:rPr>
        <w:t>年度绩效自评报告</w:t>
      </w:r>
    </w:p>
    <w:p>
      <w:pPr>
        <w:jc w:val="center"/>
        <w:rPr>
          <w:rFonts w:ascii="仿宋_GB2312"/>
          <w:szCs w:val="32"/>
        </w:rPr>
      </w:pP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一、基本情况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（一）转移支付概况。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年彩票公益金1.5万元用于乡村学校少年宫正常运转。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（二）整体绩效目标情况。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年乡村学校少年宫正常运转项目自评99.5分。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我县乡村学校少年宫依托农村中小学校现有场地、教室和设施，进行修缮并配备必要的设备器材，依靠学校教师进行管理，在课余时间和节假日组织开展普及性课外活动的公益性活动。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乡村学校少年宫既是青少年的活动场所，也是推进素质教育的载体和阵地，满足了农村未成年人对优质教育资源的渴望，为农村未成年人的健康成长和全面发展创造了良好的条件。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（三）区域绩效目标情况。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我县202</w:t>
      </w:r>
      <w:r>
        <w:rPr>
          <w:rFonts w:hint="eastAsia" w:ascii="仿宋_GB2312" w:hAnsi="仿宋"/>
          <w:color w:val="000000"/>
          <w:sz w:val="32"/>
          <w:szCs w:val="32"/>
          <w:lang w:val="en-US" w:eastAsia="zh-CN"/>
        </w:rPr>
        <w:t>4</w:t>
      </w:r>
      <w:r>
        <w:rPr>
          <w:rFonts w:hint="eastAsia" w:ascii="仿宋_GB2312" w:hAnsi="仿宋"/>
          <w:color w:val="000000"/>
          <w:sz w:val="32"/>
          <w:szCs w:val="32"/>
        </w:rPr>
        <w:t>年乡村学校少年宫1所，彩票公益金转移支付资金覆盖乡村学校少年宫1所。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二、综合评价结论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（一）实现了校内外教育的有机结合。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学校以“乡村学校少年宫”为载体，把“乡村学校少年宫”活动列入了学校教育教学计划，保证了未成年人每天都能参加课外活动。形成了学校教育与“乡村学校少年宫”活动紧密衔接，拓展了教育的途径和领域，有效推动了素质教育水平的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（二）学生综合素质明显提高。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“乡村学校少年宫”活动促进了未成年人综合素质的提升，未成年人懂得感恩父母，体谅他人，学到了课本以外的知识技能，社会实践能力得到进一步提高。未成年人从个人兴趣出发参加兴趣小组的活动，培养了初步的特长，促进了全面发展。通过参加</w:t>
      </w:r>
      <w:bookmarkStart w:id="0" w:name="_GoBack"/>
      <w:bookmarkEnd w:id="0"/>
      <w:r>
        <w:rPr>
          <w:rFonts w:hint="eastAsia" w:ascii="仿宋_GB2312" w:hAnsi="仿宋"/>
          <w:color w:val="000000"/>
          <w:sz w:val="32"/>
          <w:szCs w:val="32"/>
        </w:rPr>
        <w:t>思维训练活动，开发了智力，促进了学习成绩的提高。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（三）丰富了学生的课余生活。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未成年人在快乐高效的课堂上学习知识，在丰富多彩的课外活动中陶冶身心。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三、绩效情况分析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（一）资金情况分析。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共投入资金1.5万元，完成支付1.5万元。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（二）资金管理情况分析。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按照《四川省财政厅四川省精神文明建设办公室四川省教育厅关于印发&lt;中央专项彩票公益金支持乡村学校少年宫项目实施办法&gt;的通知》（川财综〔2011〕45号）等文件要求，管理全县乡村学校少年宫。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（三）总体目标完成情况分析。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通过此项目的实施，一是提高了未成年人的思想道德素质、科学文化素质和健康素质，培养全面发展的社会主义接班人。二是通过开展活动向未成年人普及科学技术、劳动技术、文学艺术、体育等方面的知识，开阔他们的眼界，发展他们多方面的兴趣、爱好和特长；培养他们勤动手、善思考、勇于创新的良好习惯，使他们在实践中增长才干，促进健康成长、全面发展。三是通过丰富多彩的具有实践性、趣味性、教育性、灵活性的活动来配合学校教育，培养未成年人适应社会的能力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（四）绩效指标完成情况分析。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1.产出指标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覆盖乡村学校少年宫所数1所，活动器材质量合格率≥95%，资金及时下拨，乡村学校少年宫运转经费标准1.5万元。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2.效益指标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提升学生课外活动兴趣，提升教师业务水平，提升学生综合素质，提升学生心理健康水平，增强学生社会实践能力。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3.满意度指标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学生及家长满意率≥90%。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四、发现的主要问题和改进措施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1.乡村学校少年宫辅导员教师队伍建设还需加强。少年宫辅导员由学校教师兼任，有特长的教师不多，制约着学校少年宫活动项目的拓展和活动内容的丰富。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2.乡村学校少年宫是在学校教室的基础上改建的，活动场地窄等因素，使得少年宫活动难以达到较高水平。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五、绩效自评工作开展情况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建议一是上级财政将运转类经费及早下拨，二是加大少年宫辅导员教师交流、培训。</w:t>
      </w:r>
    </w:p>
    <w:p>
      <w:pPr>
        <w:spacing w:line="600" w:lineRule="exact"/>
        <w:ind w:firstLine="642" w:firstLineChars="200"/>
        <w:rPr>
          <w:rFonts w:ascii="仿宋_GB2312" w:hAnsi="仿宋"/>
          <w:b/>
          <w:bCs/>
          <w:color w:val="000000"/>
          <w:sz w:val="32"/>
          <w:szCs w:val="32"/>
        </w:rPr>
      </w:pPr>
      <w:r>
        <w:rPr>
          <w:rFonts w:hint="eastAsia" w:ascii="仿宋_GB2312" w:hAnsi="仿宋"/>
          <w:b/>
          <w:bCs/>
          <w:color w:val="000000"/>
          <w:sz w:val="32"/>
          <w:szCs w:val="32"/>
        </w:rPr>
        <w:t>六、其他需要说明的问题</w:t>
      </w:r>
    </w:p>
    <w:p>
      <w:pPr>
        <w:spacing w:line="600" w:lineRule="exact"/>
        <w:ind w:firstLine="640" w:firstLineChars="200"/>
        <w:rPr>
          <w:rFonts w:ascii="仿宋_GB2312" w:hAnsi="仿宋"/>
          <w:color w:val="000000"/>
          <w:sz w:val="32"/>
          <w:szCs w:val="32"/>
        </w:rPr>
      </w:pPr>
      <w:r>
        <w:rPr>
          <w:rFonts w:hint="eastAsia" w:ascii="仿宋_GB2312" w:hAnsi="仿宋"/>
          <w:color w:val="000000"/>
          <w:sz w:val="32"/>
          <w:szCs w:val="32"/>
        </w:rPr>
        <w:t>无。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中宋">
    <w:altName w:val="方正书宋_GBK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altName w:val="宋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9810DD"/>
    <w:rsid w:val="1ECC7ECC"/>
    <w:rsid w:val="2FD77B8F"/>
    <w:rsid w:val="5EFF1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445</Words>
  <Characters>462</Characters>
  <Lines>0</Lines>
  <Paragraphs>0</Paragraphs>
  <TotalTime>2</TotalTime>
  <ScaleCrop>false</ScaleCrop>
  <LinksUpToDate>false</LinksUpToDate>
  <CharactersWithSpaces>462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2025-08-28T17:03:00Z</dcterms:created>
  <dc:creator>Administrator</dc:creator>
  <cp:lastModifiedBy>聋子听见哑巴说瞎子看见爱</cp:lastModifiedBy>
  <dcterms:modified xsi:type="dcterms:W3CDTF">2025-08-31T10:54:47Z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KSOTemplateDocerSaveRecord">
    <vt:lpwstr>eyJoZGlkIjoiZTA4NzIyN2MxYTlmMzQ1NGE2MjU5NWRkMjhlOGMxYTAiLCJ1c2VySWQiOiI3MjA2NDYzMTgifQ==</vt:lpwstr>
  </property>
  <property fmtid="{D5CDD505-2E9C-101B-9397-08002B2CF9AE}" pid="4" name="ICV">
    <vt:lpwstr>3A7075E8AAFF4E879CD5A580AA75501D_12</vt:lpwstr>
  </property>
</Properties>
</file>