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黑水县教师进修校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rPr>
      </w:pPr>
      <w:bookmarkStart w:id="1" w:name="_GoBack"/>
      <w:bookmarkEnd w:id="1"/>
      <w:r>
        <w:rPr>
          <w:rFonts w:hint="eastAsia" w:ascii="仿宋_GB2312" w:hAnsi="黑体" w:eastAsia="仿宋_GB2312" w:cs="方正小标宋简体"/>
          <w:b/>
          <w:sz w:val="32"/>
          <w:szCs w:val="32"/>
        </w:rPr>
        <w:t>项目支出绩效评价报告</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eastAsia="仿宋_GB2312"/>
          <w:lang w:val="en-US" w:eastAsia="zh-CN"/>
        </w:rPr>
      </w:pPr>
      <w:r>
        <w:rPr>
          <w:rFonts w:hint="eastAsia" w:ascii="仿宋_GB2312" w:hAnsi="黑体" w:eastAsia="仿宋_GB2312" w:cs="方正小标宋简体"/>
          <w:b/>
          <w:sz w:val="32"/>
          <w:szCs w:val="32"/>
          <w:lang w:eastAsia="zh-CN"/>
        </w:rPr>
        <w:t>（</w:t>
      </w:r>
      <w:r>
        <w:rPr>
          <w:rFonts w:hint="eastAsia" w:ascii="仿宋_GB2312" w:hAnsi="黑体" w:eastAsia="仿宋_GB2312" w:cs="方正小标宋简体"/>
          <w:b/>
          <w:sz w:val="32"/>
          <w:szCs w:val="32"/>
          <w:lang w:val="en-US" w:eastAsia="zh-CN"/>
        </w:rPr>
        <w:t>学生资助类）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为促进民族教育事业持续、协调、健康发展，提高自治州各族人民素质， 2012年12月28日阿坝藏族羌族自治州第十一届人民代表大会第二次会议通过《阿坝藏族羌族自治州教育条例》 。该条例2013年4月2日得到四川省第十二届人民代表大会常务委员会第二次会议批准 。并于2013年4月8日阿坝藏族羌族自治州第十一届人民代表大会常务委员会公告第4号公布 ，2013年6月1日起施行。第一次以立法形式明确了阿坝州应当确保适龄儿童、少年不因家庭经济困难、就学困难、学习困难等原因失学，严格控辍保学。保障进城务工人员子女平等接受义务教育。</w:t>
      </w:r>
    </w:p>
    <w:p>
      <w:pPr>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党的十八大和省委藏区工作座谈会精神，全面落实《阿坝藏族羌族自治州教育条例》，经十一届州人民政府第25次常务会研究同意，阿坝州人民政府下发了《阿坝藏族羌族自治州十五年义务教育经费保障机制实施意见（试行）》，从2013年秋季学期起，对九年义务教育实施“三免两补”政策，为实现县域内义务教育均衡发展提供了基础性保障；按照深化财税体制改革、教育领域综合改革的新要求，统筹设计城乡一体化的义务教育经费保障机制，增强政策的统一性、协调性和前瞻性。</w:t>
      </w:r>
    </w:p>
    <w:p>
      <w:pPr>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按照“中央、省补助，州县主体”的原则，统一十五年免费教育经费保障机制资金分担办法，具体项目按比例分担。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免除学前教育3年保教费及补助午餐费。学前教育保教费在省财政给予每生每年500元补助的基础上，不足部分由州、县（市）财政按3∶7比例分担；午餐补助按现行财政体制州、县（市）分级负担解决。</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九年义务教育生均公用经费基准定额。按国家和省规定，九年义务教育生均公用经费基准定额所需资金，提高寄宿制学校、规模较小学校公用经费补助水平所需资金由中央和省全额分担；海拔2500米以上地区义务教育学校取暖经费由省财政给予补助。</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义务教育阶段</w:t>
      </w:r>
      <w:r>
        <w:rPr>
          <w:rFonts w:hint="eastAsia" w:ascii="仿宋_GB2312" w:hAnsi="仿宋_GB2312" w:eastAsia="仿宋_GB2312" w:cs="仿宋_GB2312"/>
          <w:sz w:val="32"/>
          <w:szCs w:val="32"/>
        </w:rPr>
        <w:t>免费提供教科书。免费提供国家规定课程教科书所需资金由中央全额承担（含出版发行少数民族文字教材亏损补贴），免费提供地方课程教科书所需资金由省级财政全额承担。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免费提供作业本。免费提供作业本所需资金由省、州按5.5∶4.5比例分担。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对家庭经济困难寄宿生补助生活费。家庭经济困难寄宿生生活费补助所需资金按国家和省规定由中央和省全额分担。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免除普通高中学费。免除普通高中学费所需资金在省财政给予每生每年450元补助的基础上，不足部分由州、县（市）按3∶7比例分担。省级示范性普通高中、双语高中招收的跨县（市）学生所需资金由州级财政全额承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普通高中</w:t>
      </w:r>
      <w:r>
        <w:rPr>
          <w:rFonts w:hint="eastAsia" w:ascii="仿宋_GB2312" w:hAnsi="仿宋_GB2312" w:eastAsia="仿宋_GB2312" w:cs="仿宋_GB2312"/>
          <w:sz w:val="32"/>
          <w:szCs w:val="32"/>
        </w:rPr>
        <w:t>免</w:t>
      </w:r>
      <w:r>
        <w:rPr>
          <w:rFonts w:hint="eastAsia" w:ascii="仿宋_GB2312" w:hAnsi="仿宋_GB2312" w:eastAsia="仿宋_GB2312" w:cs="仿宋_GB2312"/>
          <w:sz w:val="32"/>
          <w:szCs w:val="32"/>
          <w:lang w:eastAsia="zh-CN"/>
        </w:rPr>
        <w:t>教材费</w:t>
      </w:r>
      <w:r>
        <w:rPr>
          <w:rFonts w:hint="eastAsia" w:ascii="仿宋_GB2312" w:hAnsi="仿宋_GB2312" w:eastAsia="仿宋_GB2312" w:cs="仿宋_GB2312"/>
          <w:sz w:val="32"/>
          <w:szCs w:val="32"/>
        </w:rPr>
        <w:t>。免费提供教科书所需资金在省财政给予每生每年350元补助的基础上，不足部分由州、县（市）按3∶7比例分担。省级示范性普通高中、双语高中招收的跨县（市）学生所需资金由州级财政全额承担。 </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普通高中</w:t>
      </w:r>
      <w:r>
        <w:rPr>
          <w:rFonts w:hint="eastAsia" w:ascii="仿宋_GB2312" w:hAnsi="仿宋_GB2312" w:eastAsia="仿宋_GB2312" w:cs="仿宋_GB2312"/>
          <w:sz w:val="32"/>
          <w:szCs w:val="32"/>
          <w:lang w:eastAsia="zh-CN"/>
        </w:rPr>
        <w:t>困难学生</w:t>
      </w:r>
      <w:r>
        <w:rPr>
          <w:rFonts w:hint="eastAsia" w:ascii="仿宋_GB2312" w:hAnsi="仿宋_GB2312" w:eastAsia="仿宋_GB2312" w:cs="仿宋_GB2312"/>
          <w:sz w:val="32"/>
          <w:szCs w:val="32"/>
        </w:rPr>
        <w:t>国家助学金。普通高中</w:t>
      </w:r>
      <w:r>
        <w:rPr>
          <w:rFonts w:hint="eastAsia" w:ascii="仿宋_GB2312" w:hAnsi="仿宋_GB2312" w:eastAsia="仿宋_GB2312" w:cs="仿宋_GB2312"/>
          <w:sz w:val="32"/>
          <w:szCs w:val="32"/>
          <w:lang w:eastAsia="zh-CN"/>
        </w:rPr>
        <w:t>困难学生</w:t>
      </w:r>
      <w:r>
        <w:rPr>
          <w:rFonts w:hint="eastAsia" w:ascii="仿宋_GB2312" w:hAnsi="仿宋_GB2312" w:eastAsia="仿宋_GB2312" w:cs="仿宋_GB2312"/>
          <w:sz w:val="32"/>
          <w:szCs w:val="32"/>
        </w:rPr>
        <w:t>国家助学金补助标准为每生每年2000元，覆盖面为普通高中在校学生人数的50%。所需资金在中央、省按36%的覆盖面和每生每年1793元标准补助的基础上，剩余部分由州、县（市）按3∶7比例分担解决。</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义务教育阶段学生取暖费。</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川财教</w:t>
      </w:r>
      <w:r>
        <w:rPr>
          <w:rFonts w:hint="eastAsia" w:ascii="仿宋_GB2312" w:hAnsi="仿宋_GB2312" w:eastAsia="仿宋_GB2312" w:cs="仿宋_GB2312"/>
          <w:sz w:val="32"/>
          <w:szCs w:val="32"/>
          <w:lang w:val="en-US" w:eastAsia="zh-CN"/>
        </w:rPr>
        <w:t>[2013]79号《四川省财政厅  四川省教育厅关于对高海拔民族地区义务教育阶段学校给予取暖经费补助的通知》，从2013年春季学期起，对我省海拔在2500米及以上的民族地区义务教育阶段学校给予取暖经费补助。</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具体执行标准及资金来源：</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学前保教费：每生每年1200元,分摊比例按原标准执行:省财政500元,余额州县财政3:7分担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幼儿午餐补助金：每生每年800元，由县级财政全额承担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前生均经费：四川省财政厅四川省教育厅关于完善公办幼儿园生均公用经费财政拨款制度和建立普惠性民办幼儿园财政补助标准的通知，要求从2020年起，将我省公办幼儿园生均公用经费财政拨款基础标准由每生每年不低于50元提高至每生每年不低于500元。县级财政全额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普通高中免教材费：每生每年600元,分摊比例:省财政350元,余额州县财政3:7分担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中困难学生国家助学金：每生每年2000元,覆盖面为普通高中在校学生人数的50%.所需资金在中央、省按36%的覆盖面和每生每年1793元标准补助的基础上，剩余部分由州、县按3：7比例分担。设学生人数为X，（2000*0.5x-0.36x*1793)*70%中央省645.48元，州105.52元，县249元，考虑按比例分担时涉及四舍五入问题，故县财政按251元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普通高中免学杂费：每生每年1200元,分摊比例按原标准执行:省财政450元,余额州县财政3:7分担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生均经费：川财教[2019]212号四川省财政厅四川省教育厅关于进一步健全公办普通高中经费保障机制的意见，要求普通高中生均公用经费基础标准每生每年不低于1000元，其中，省级资金500元，余额500元由县级财政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小学生均经费：每生每年</w:t>
      </w:r>
      <w:r>
        <w:rPr>
          <w:rFonts w:hint="eastAsia" w:ascii="仿宋_GB2312" w:hAnsi="仿宋_GB2312" w:eastAsia="仿宋_GB2312" w:cs="仿宋_GB2312"/>
          <w:sz w:val="32"/>
          <w:szCs w:val="32"/>
          <w:lang w:val="en-US" w:eastAsia="zh-CN"/>
        </w:rPr>
        <w:t>900</w:t>
      </w:r>
      <w:r>
        <w:rPr>
          <w:rFonts w:hint="eastAsia" w:ascii="仿宋_GB2312" w:hAnsi="仿宋_GB2312" w:eastAsia="仿宋_GB2312" w:cs="仿宋_GB2312"/>
          <w:sz w:val="32"/>
          <w:szCs w:val="32"/>
        </w:rPr>
        <w:t>元，寄宿制学生另增加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00元。县级财政180元，上级财政</w:t>
      </w:r>
      <w:r>
        <w:rPr>
          <w:rFonts w:hint="eastAsia" w:ascii="仿宋_GB2312" w:hAnsi="仿宋_GB2312" w:eastAsia="仿宋_GB2312" w:cs="仿宋_GB2312"/>
          <w:sz w:val="32"/>
          <w:szCs w:val="32"/>
          <w:lang w:val="en-US" w:eastAsia="zh-CN"/>
        </w:rPr>
        <w:t>720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初中生均经费：每生每年11</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元，寄宿制学生另增加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00元。县级财政288元，上级财政</w:t>
      </w:r>
      <w:r>
        <w:rPr>
          <w:rFonts w:hint="eastAsia" w:ascii="仿宋_GB2312" w:hAnsi="仿宋_GB2312" w:eastAsia="仿宋_GB2312" w:cs="仿宋_GB2312"/>
          <w:sz w:val="32"/>
          <w:szCs w:val="32"/>
          <w:lang w:val="en-US" w:eastAsia="zh-CN"/>
        </w:rPr>
        <w:t>940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取暖费：省财政按每生每年</w:t>
      </w:r>
      <w:r>
        <w:rPr>
          <w:rFonts w:hint="eastAsia" w:ascii="仿宋_GB2312" w:hAnsi="仿宋_GB2312" w:eastAsia="仿宋_GB2312" w:cs="仿宋_GB2312"/>
          <w:sz w:val="32"/>
          <w:szCs w:val="32"/>
          <w:highlight w:val="none"/>
          <w:lang w:val="en-US" w:eastAsia="zh-CN"/>
        </w:rPr>
        <w:t>200元的标准定额补助，不足部分由州、县财政承担。自2020年起，省财政计划统筹中央和省级相关资金，将取暖补助标准由每生每年200元提高至250元。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单位2024年度学生资助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通过绩效评价，可以了解项目的实际进展情况，判断项目是否偏离预定目标，从而及时调整策略。最终促进项目目标实现。</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b w:val="0"/>
          <w:bCs w:val="0"/>
          <w:kern w:val="0"/>
          <w:position w:val="0"/>
          <w:sz w:val="32"/>
          <w:szCs w:val="32"/>
          <w:highlight w:val="none"/>
          <w:lang w:val="zh-CN" w:eastAsia="zh-CN" w:bidi="ar-SA"/>
        </w:rPr>
        <w:t>项目绩效自评所抽样点位情况。</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（五）评价组织。</w:t>
      </w:r>
      <w:r>
        <w:rPr>
          <w:rFonts w:hint="eastAsia" w:ascii="仿宋_GB2312" w:hAnsi="仿宋_GB2312"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1.项目决策。围绕决策程序、规划论证、资金投向进行绩效分析。共计18分。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决策程序：按照国家相关文件规定标准执行，并按照“三重一大”上局务会审批决定。本项得分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（2）规划论证：统筹中央、省、州、县各级资金，按学生人数及补助标准落实到位。</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42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Cs w:val="32"/>
          <w:lang w:val="en-US"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zh-CN" w:eastAsia="zh-CN" w:bidi="ar-SA"/>
        </w:rPr>
        <w:t>资金投向：将指标分别下达到校，各校按照相关资金支付要求，通过预算一体化系统按流程完成支付。本项得分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项目管理。围绕制度办法、分配管理、绩效监管进行绩效分析。共计得分</w:t>
      </w:r>
      <w:r>
        <w:rPr>
          <w:rFonts w:hint="eastAsia" w:ascii="仿宋_GB2312" w:hAnsi="仿宋_GB2312" w:eastAsia="仿宋_GB2312" w:cs="仿宋_GB2312"/>
          <w:b w:val="0"/>
          <w:bCs w:val="0"/>
          <w:kern w:val="0"/>
          <w:position w:val="0"/>
          <w:sz w:val="32"/>
          <w:szCs w:val="32"/>
          <w:highlight w:val="none"/>
          <w:lang w:val="en-US" w:eastAsia="zh-CN" w:bidi="ar-SA"/>
        </w:rPr>
        <w:t>12分。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制度办法：学生助学金已制定了相关制度办法。</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2分。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分配管理：统筹各级资金，按照规定标准以及实有学生人数，将指标下达到各校预算一体化系统中。</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10分。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绩效监管：本单位绩效监管尚待完善，单位管理层对绩效监管认识程度不够，对项目绩效监管开展不足。本项得分0分。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围绕预算执行、资金使用进行绩效分析。共计得分</w:t>
      </w:r>
      <w:r>
        <w:rPr>
          <w:rFonts w:hint="eastAsia" w:ascii="仿宋_GB2312" w:hAnsi="仿宋_GB2312" w:eastAsia="仿宋_GB2312" w:cs="仿宋_GB2312"/>
          <w:b w:val="0"/>
          <w:bCs w:val="0"/>
          <w:kern w:val="0"/>
          <w:position w:val="0"/>
          <w:sz w:val="32"/>
          <w:szCs w:val="32"/>
          <w:highlight w:val="none"/>
          <w:lang w:val="en-US" w:eastAsia="zh-CN" w:bidi="ar-SA"/>
        </w:rPr>
        <w:t>9分。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预算</w:t>
      </w:r>
      <w:r>
        <w:rPr>
          <w:rFonts w:hint="eastAsia" w:ascii="仿宋_GB2312" w:hAnsi="仿宋_GB2312" w:eastAsia="仿宋_GB2312" w:cs="仿宋_GB2312"/>
          <w:b w:val="0"/>
          <w:bCs w:val="0"/>
          <w:kern w:val="0"/>
          <w:position w:val="0"/>
          <w:sz w:val="32"/>
          <w:szCs w:val="32"/>
          <w:highlight w:val="none"/>
          <w:lang w:val="zh-CN" w:eastAsia="zh-CN" w:bidi="ar-SA"/>
        </w:rPr>
        <w:t>执行：</w:t>
      </w:r>
      <w:r>
        <w:rPr>
          <w:rFonts w:hint="eastAsia" w:ascii="仿宋_GB2312" w:hAnsi="仿宋_GB2312" w:eastAsia="仿宋_GB2312" w:cs="仿宋_GB2312"/>
          <w:b w:val="0"/>
          <w:bCs w:val="0"/>
          <w:kern w:val="0"/>
          <w:position w:val="0"/>
          <w:sz w:val="32"/>
          <w:szCs w:val="32"/>
          <w:highlight w:val="none"/>
          <w:lang w:val="en-US" w:eastAsia="zh-CN" w:bidi="ar-SA"/>
        </w:rPr>
        <w:t>2024年</w:t>
      </w:r>
      <w:r>
        <w:rPr>
          <w:rFonts w:hint="eastAsia" w:ascii="仿宋_GB2312" w:hAnsi="仿宋_GB2312" w:eastAsia="仿宋_GB2312" w:cs="仿宋_GB2312"/>
          <w:b w:val="0"/>
          <w:bCs w:val="0"/>
          <w:kern w:val="0"/>
          <w:position w:val="0"/>
          <w:sz w:val="32"/>
          <w:szCs w:val="32"/>
          <w:highlight w:val="none"/>
          <w:lang w:val="zh-CN" w:eastAsia="zh-CN" w:bidi="ar-SA"/>
        </w:rPr>
        <w:t>学生助学金，年初预算</w:t>
      </w:r>
      <w:r>
        <w:rPr>
          <w:rFonts w:hint="eastAsia" w:ascii="仿宋_GB2312" w:hAnsi="仿宋_GB2312" w:eastAsia="仿宋_GB2312" w:cs="仿宋_GB2312"/>
          <w:b w:val="0"/>
          <w:bCs w:val="0"/>
          <w:kern w:val="0"/>
          <w:position w:val="0"/>
          <w:sz w:val="32"/>
          <w:szCs w:val="32"/>
          <w:highlight w:val="none"/>
          <w:lang w:val="en-US" w:eastAsia="zh-CN" w:bidi="ar-SA"/>
        </w:rPr>
        <w:t>549.08万元，调整预算1536.60万元，预算执行1491.15万元。调整预算金额较大的原因：年初预算只包含县级财政资金，未包括上级补助专项资金。</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资金使用：2024年</w:t>
      </w:r>
      <w:r>
        <w:rPr>
          <w:rFonts w:hint="eastAsia" w:ascii="仿宋_GB2312" w:hAnsi="仿宋_GB2312" w:eastAsia="仿宋_GB2312" w:cs="仿宋_GB2312"/>
          <w:b w:val="0"/>
          <w:bCs w:val="0"/>
          <w:kern w:val="0"/>
          <w:position w:val="0"/>
          <w:sz w:val="32"/>
          <w:szCs w:val="32"/>
          <w:highlight w:val="none"/>
          <w:lang w:val="zh-CN" w:eastAsia="zh-CN" w:bidi="ar-SA"/>
        </w:rPr>
        <w:t>学生助学金</w:t>
      </w:r>
      <w:r>
        <w:rPr>
          <w:rFonts w:hint="eastAsia" w:ascii="仿宋_GB2312" w:hAnsi="仿宋_GB2312" w:eastAsia="仿宋_GB2312" w:cs="仿宋_GB2312"/>
          <w:b w:val="0"/>
          <w:bCs w:val="0"/>
          <w:kern w:val="0"/>
          <w:position w:val="0"/>
          <w:sz w:val="32"/>
          <w:szCs w:val="32"/>
          <w:highlight w:val="none"/>
          <w:lang w:val="en-US" w:eastAsia="zh-CN" w:bidi="ar-SA"/>
        </w:rPr>
        <w:t>使用1491.15万元，均符合国家政策规定，无虚报冒领现象，不存在</w:t>
      </w:r>
      <w:r>
        <w:rPr>
          <w:rFonts w:hint="eastAsia" w:ascii="仿宋_GB2312" w:hAnsi="仿宋_GB2312" w:eastAsia="仿宋_GB2312" w:cs="仿宋_GB2312"/>
          <w:b w:val="0"/>
          <w:bCs w:val="0"/>
          <w:kern w:val="0"/>
          <w:position w:val="0"/>
          <w:sz w:val="32"/>
          <w:szCs w:val="32"/>
          <w:highlight w:val="none"/>
          <w:lang w:val="zh-CN" w:eastAsia="zh-CN" w:bidi="ar-SA"/>
        </w:rPr>
        <w:t>长期沉淀、截留、挤占、挪用、虚列支出等情况。本项得分</w:t>
      </w:r>
      <w:r>
        <w:rPr>
          <w:rFonts w:hint="eastAsia" w:ascii="仿宋_GB2312" w:hAnsi="仿宋_GB2312" w:eastAsia="仿宋_GB2312" w:cs="仿宋_GB2312"/>
          <w:b w:val="0"/>
          <w:bCs w:val="0"/>
          <w:kern w:val="0"/>
          <w:position w:val="0"/>
          <w:sz w:val="32"/>
          <w:szCs w:val="32"/>
          <w:highlight w:val="none"/>
          <w:lang w:val="en-US" w:eastAsia="zh-CN" w:bidi="ar-SA"/>
        </w:rPr>
        <w:t>3分。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项目结果。围绕</w:t>
      </w:r>
      <w:r>
        <w:rPr>
          <w:rFonts w:hint="eastAsia" w:ascii="仿宋_GB2312" w:hAnsi="仿宋_GB2312" w:eastAsia="仿宋_GB2312" w:cs="仿宋_GB2312"/>
          <w:b w:val="0"/>
          <w:bCs w:val="0"/>
          <w:kern w:val="0"/>
          <w:position w:val="0"/>
          <w:sz w:val="32"/>
          <w:szCs w:val="32"/>
          <w:highlight w:val="none"/>
          <w:lang w:val="zh-CN" w:eastAsia="zh-CN" w:bidi="ar-SA"/>
        </w:rPr>
        <w:t>目标完成、完成时效进行绩效分析。共计得分</w:t>
      </w:r>
      <w:r>
        <w:rPr>
          <w:rFonts w:hint="eastAsia" w:ascii="仿宋_GB2312" w:hAnsi="仿宋_GB2312" w:eastAsia="仿宋_GB2312" w:cs="仿宋_GB2312"/>
          <w:b w:val="0"/>
          <w:bCs w:val="0"/>
          <w:kern w:val="0"/>
          <w:position w:val="0"/>
          <w:sz w:val="32"/>
          <w:szCs w:val="32"/>
          <w:highlight w:val="none"/>
          <w:lang w:val="en-US" w:eastAsia="zh-CN" w:bidi="ar-SA"/>
        </w:rPr>
        <w:t>9分。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目标完成：2024年</w:t>
      </w:r>
      <w:r>
        <w:rPr>
          <w:rFonts w:hint="eastAsia" w:ascii="仿宋_GB2312" w:hAnsi="仿宋_GB2312" w:eastAsia="仿宋_GB2312" w:cs="仿宋_GB2312"/>
          <w:b w:val="0"/>
          <w:bCs w:val="0"/>
          <w:kern w:val="0"/>
          <w:position w:val="0"/>
          <w:sz w:val="32"/>
          <w:szCs w:val="32"/>
          <w:highlight w:val="none"/>
          <w:lang w:val="zh-CN" w:eastAsia="zh-CN" w:bidi="ar-SA"/>
        </w:rPr>
        <w:t>学生助学金已按照目标设置完成任务。本项得分</w:t>
      </w:r>
      <w:r>
        <w:rPr>
          <w:rFonts w:hint="eastAsia" w:ascii="仿宋_GB2312" w:hAnsi="仿宋_GB2312" w:eastAsia="仿宋_GB2312" w:cs="仿宋_GB2312"/>
          <w:b w:val="0"/>
          <w:bCs w:val="0"/>
          <w:kern w:val="0"/>
          <w:position w:val="0"/>
          <w:sz w:val="32"/>
          <w:szCs w:val="32"/>
          <w:highlight w:val="none"/>
          <w:lang w:val="en-US" w:eastAsia="zh-CN" w:bidi="ar-SA"/>
        </w:rPr>
        <w:t>6分。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完成时效：2024年</w:t>
      </w:r>
      <w:r>
        <w:rPr>
          <w:rFonts w:hint="eastAsia" w:ascii="仿宋_GB2312" w:hAnsi="仿宋_GB2312" w:eastAsia="仿宋_GB2312" w:cs="仿宋_GB2312"/>
          <w:b w:val="0"/>
          <w:bCs w:val="0"/>
          <w:kern w:val="0"/>
          <w:position w:val="0"/>
          <w:sz w:val="32"/>
          <w:szCs w:val="32"/>
          <w:highlight w:val="none"/>
          <w:lang w:val="zh-CN" w:eastAsia="zh-CN" w:bidi="ar-SA"/>
        </w:rPr>
        <w:t>学生助学金已在当年完成任务。本项得分</w:t>
      </w:r>
      <w:r>
        <w:rPr>
          <w:rFonts w:hint="eastAsia" w:ascii="仿宋_GB2312" w:hAnsi="仿宋_GB2312" w:eastAsia="仿宋_GB2312" w:cs="仿宋_GB2312"/>
          <w:b w:val="0"/>
          <w:bCs w:val="0"/>
          <w:kern w:val="0"/>
          <w:position w:val="0"/>
          <w:sz w:val="32"/>
          <w:szCs w:val="32"/>
          <w:highlight w:val="none"/>
          <w:lang w:val="en-US" w:eastAsia="zh-CN" w:bidi="ar-SA"/>
        </w:rPr>
        <w:t>3分。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通用指标共计得分48分。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仿宋_GB2312" w:hAnsi="仿宋_GB2312"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民生保障。</w:t>
      </w:r>
      <w:r>
        <w:rPr>
          <w:rFonts w:hint="eastAsia" w:ascii="仿宋_GB2312" w:hAnsi="仿宋_GB2312" w:eastAsia="仿宋_GB2312" w:cs="仿宋_GB2312"/>
          <w:b w:val="0"/>
          <w:bCs w:val="0"/>
          <w:kern w:val="0"/>
          <w:position w:val="0"/>
          <w:sz w:val="32"/>
          <w:szCs w:val="32"/>
          <w:highlight w:val="none"/>
          <w:lang w:val="en-US" w:eastAsia="zh-CN" w:bidi="ar-SA"/>
        </w:rPr>
        <w:t>围绕区域均衡性、对象精准性、标准合理性、群众满意度进行绩效分析。共计得分30分。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（1）区域均衡性：2024年学生资助资金统筹中央、省、州、县各级资金，按学生人数及补助标准落实到各校。</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10分。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（2）对象精准性：2024年学生资助资金资助对象精准，</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10分。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（3）标准合理性：资金实际补贴标准符合资金管理办法规定的补助标准，均及时按标准兑现。</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5分。</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（4）群众满意度：</w:t>
      </w:r>
      <w:r>
        <w:rPr>
          <w:rFonts w:hint="eastAsia" w:ascii="仿宋_GB2312" w:hAnsi="仿宋_GB2312" w:eastAsia="仿宋_GB2312" w:cs="仿宋_GB2312"/>
          <w:b w:val="0"/>
          <w:bCs w:val="0"/>
          <w:kern w:val="0"/>
          <w:position w:val="0"/>
          <w:sz w:val="32"/>
          <w:szCs w:val="32"/>
          <w:highlight w:val="none"/>
          <w:lang w:val="zh-CN" w:eastAsia="zh-CN" w:bidi="ar-SA"/>
        </w:rPr>
        <w:t>本项得分</w:t>
      </w:r>
      <w:r>
        <w:rPr>
          <w:rFonts w:hint="eastAsia" w:ascii="仿宋_GB2312" w:hAnsi="仿宋_GB2312" w:eastAsia="仿宋_GB2312" w:cs="仿宋_GB2312"/>
          <w:b w:val="0"/>
          <w:bCs w:val="0"/>
          <w:kern w:val="0"/>
          <w:position w:val="0"/>
          <w:sz w:val="32"/>
          <w:szCs w:val="32"/>
          <w:highlight w:val="none"/>
          <w:lang w:val="en-US" w:eastAsia="zh-CN" w:bidi="ar-SA"/>
        </w:rPr>
        <w:t xml:space="preserve">5分 </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专用指标共计得分30分。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楷体_GB2312" w:hAnsi="宋体" w:eastAsia="楷体_GB2312" w:cs="Times New Roman"/>
          <w:b/>
          <w:color w:val="auto"/>
          <w:sz w:val="32"/>
          <w:szCs w:val="32"/>
          <w:highlight w:val="none"/>
          <w:u w:val="none"/>
          <w:lang w:val="zh-CN"/>
        </w:rPr>
        <w:t>绩效分析。</w:t>
      </w:r>
      <w:r>
        <w:rPr>
          <w:rFonts w:hint="eastAsia" w:ascii="楷体_GB2312" w:hAnsi="宋体" w:eastAsia="楷体_GB2312" w:cs="Times New Roman"/>
          <w:b/>
          <w:color w:val="auto"/>
          <w:sz w:val="32"/>
          <w:szCs w:val="32"/>
          <w:highlight w:val="none"/>
          <w:u w:val="none"/>
          <w:lang w:val="zh-CN" w:eastAsia="zh-CN"/>
        </w:rPr>
        <w:t>根据项目个性自行设定部分指标，反映该项指标执行完成情况。</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单位2024年度学生资助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本单位2024年学生资助个性指标得分14分。</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highlight w:val="none"/>
          <w:lang w:val="zh-CN"/>
        </w:rPr>
      </w:pPr>
      <w:r>
        <w:rPr>
          <w:rFonts w:hint="eastAsia" w:ascii="仿宋_GB2312" w:hAnsi="仿宋_GB2312"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仿宋_GB2312" w:hAnsi="仿宋_GB2312" w:eastAsia="仿宋_GB2312" w:cs="仿宋_GB2312"/>
          <w:b w:val="0"/>
          <w:bCs w:val="0"/>
          <w:sz w:val="32"/>
          <w:szCs w:val="32"/>
          <w:highlight w:val="none"/>
          <w:lang w:val="zh-CN"/>
        </w:rPr>
        <w:t>项目实施情况。</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2024年学生资助项目自评共计得分99.704分。</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近年来，我州将十五年免费教育纳入公共财政保障范围，学前教育“一免一补”、九年义务教育“三免两补”、普通高中“两免一助” 等政策为实现县域内义务教育优质均衡发展提供了基础性保障。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少数民族地区农村小规模学校生均经费总额小，学校运行困难。</w:t>
      </w:r>
    </w:p>
    <w:p>
      <w:pPr>
        <w:pStyle w:val="4"/>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宋体" w:eastAsia="宋体" w:cs="Times New Roman"/>
          <w:kern w:val="2"/>
          <w:position w:val="0"/>
          <w:sz w:val="32"/>
          <w:szCs w:val="32"/>
          <w:lang w:val="en-US" w:eastAsia="zh-CN" w:bidi="ar-SA"/>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向小规模学校倾斜。</w:t>
      </w:r>
    </w:p>
    <w:bookmarkEnd w:id="0"/>
    <w:p>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1F52E4"/>
    <w:multiLevelType w:val="singleLevel"/>
    <w:tmpl w:val="6E1F52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03923F1F"/>
    <w:rsid w:val="100566B3"/>
    <w:rsid w:val="11C51E9A"/>
    <w:rsid w:val="1B4A3EC4"/>
    <w:rsid w:val="1BBF6E6B"/>
    <w:rsid w:val="2439349C"/>
    <w:rsid w:val="244E01D1"/>
    <w:rsid w:val="30893E07"/>
    <w:rsid w:val="33DA011B"/>
    <w:rsid w:val="353932D3"/>
    <w:rsid w:val="358B1B11"/>
    <w:rsid w:val="37BE12DD"/>
    <w:rsid w:val="38AB5CA3"/>
    <w:rsid w:val="3AFD2C44"/>
    <w:rsid w:val="3DFFEDB1"/>
    <w:rsid w:val="3F740543"/>
    <w:rsid w:val="41273488"/>
    <w:rsid w:val="423607D0"/>
    <w:rsid w:val="48D95AA1"/>
    <w:rsid w:val="4A0B0DD8"/>
    <w:rsid w:val="4BF70694"/>
    <w:rsid w:val="4E1F02AE"/>
    <w:rsid w:val="55704B34"/>
    <w:rsid w:val="57367C38"/>
    <w:rsid w:val="578B0E77"/>
    <w:rsid w:val="57B166CC"/>
    <w:rsid w:val="5C7720E4"/>
    <w:rsid w:val="5CE850E8"/>
    <w:rsid w:val="5DBC40E7"/>
    <w:rsid w:val="5E1BFCE4"/>
    <w:rsid w:val="5F7B3F47"/>
    <w:rsid w:val="65881FA1"/>
    <w:rsid w:val="66405FEE"/>
    <w:rsid w:val="68BD2E43"/>
    <w:rsid w:val="6EED5B6F"/>
    <w:rsid w:val="6EEF3941"/>
    <w:rsid w:val="73C12071"/>
    <w:rsid w:val="77991202"/>
    <w:rsid w:val="7E773923"/>
    <w:rsid w:val="D6AD87E0"/>
    <w:rsid w:val="D6F7F6CF"/>
    <w:rsid w:val="DCD5E13E"/>
    <w:rsid w:val="DDB4A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0</TotalTime>
  <ScaleCrop>false</ScaleCrop>
  <LinksUpToDate>false</LinksUpToDate>
  <CharactersWithSpaces>335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2025-08-30T07:56:57Z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CD14128851FF4C64A5534974F19A36DC</vt:lpwstr>
  </property>
</Properties>
</file>