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default" w:ascii="仿宋_GB2312" w:hAnsi="黑体" w:eastAsia="仿宋_GB2312" w:cs="方正小标宋简体"/>
          <w:b/>
          <w:sz w:val="32"/>
          <w:szCs w:val="32"/>
          <w:lang w:val="en-US" w:eastAsia="zh-CN"/>
        </w:rPr>
      </w:pPr>
      <w:bookmarkStart w:id="0" w:name="_Toc15396616"/>
      <w:r>
        <w:rPr>
          <w:rFonts w:hint="eastAsia" w:ascii="仿宋_GB2312" w:hAnsi="黑体" w:eastAsia="仿宋_GB2312" w:cs="方正小标宋简体"/>
          <w:b/>
          <w:sz w:val="32"/>
          <w:szCs w:val="32"/>
          <w:lang w:val="en-US" w:eastAsia="zh-CN"/>
        </w:rPr>
        <w:t>黑水县教师进修校</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ind w:firstLine="800" w:firstLineChars="250"/>
        <w:rPr>
          <w:rFonts w:hint="eastAsia" w:ascii="仿宋_GB2312" w:hAnsi="仿宋" w:eastAsia="仿宋_GB2312" w:cs="仿宋_GB2312"/>
          <w:sz w:val="32"/>
          <w:szCs w:val="32"/>
        </w:rPr>
      </w:pPr>
      <w:r>
        <w:rPr>
          <w:rFonts w:hint="eastAsia" w:ascii="仿宋_GB2312" w:hAnsi="仿宋" w:eastAsia="仿宋_GB2312"/>
          <w:color w:val="000000" w:themeColor="text1"/>
          <w:sz w:val="32"/>
          <w:szCs w:val="32"/>
          <w14:textFill>
            <w14:solidFill>
              <w14:schemeClr w14:val="tx1"/>
            </w14:solidFill>
          </w14:textFill>
        </w:rPr>
        <w:t>黑水县</w:t>
      </w:r>
      <w:r>
        <w:rPr>
          <w:rFonts w:hint="eastAsia" w:ascii="仿宋_GB2312" w:hAnsi="仿宋" w:eastAsia="仿宋_GB2312"/>
          <w:color w:val="000000" w:themeColor="text1"/>
          <w:sz w:val="32"/>
          <w:szCs w:val="32"/>
          <w:lang w:val="en-US" w:eastAsia="zh-CN"/>
          <w14:textFill>
            <w14:solidFill>
              <w14:schemeClr w14:val="tx1"/>
            </w14:solidFill>
          </w14:textFill>
        </w:rPr>
        <w:t>教师进修校（</w:t>
      </w:r>
      <w:r>
        <w:rPr>
          <w:rFonts w:hint="eastAsia" w:ascii="仿宋_GB2312" w:hAnsi="仿宋" w:eastAsia="仿宋_GB2312"/>
          <w:color w:val="000000" w:themeColor="text1"/>
          <w:sz w:val="32"/>
          <w:szCs w:val="32"/>
          <w14:textFill>
            <w14:solidFill>
              <w14:schemeClr w14:val="tx1"/>
            </w14:solidFill>
          </w14:textFill>
        </w:rPr>
        <w:t>教育</w:t>
      </w:r>
      <w:r>
        <w:rPr>
          <w:rFonts w:hint="eastAsia" w:ascii="仿宋_GB2312" w:hAnsi="仿宋" w:eastAsia="仿宋_GB2312"/>
          <w:color w:val="000000" w:themeColor="text1"/>
          <w:sz w:val="32"/>
          <w:szCs w:val="32"/>
          <w:lang w:val="en-US" w:eastAsia="zh-CN"/>
          <w14:textFill>
            <w14:solidFill>
              <w14:schemeClr w14:val="tx1"/>
            </w14:solidFill>
          </w14:textFill>
        </w:rPr>
        <w:t>和体育局</w:t>
      </w:r>
      <w:r>
        <w:rPr>
          <w:rFonts w:hint="eastAsia" w:ascii="仿宋_GB2312" w:hAnsi="仿宋" w:eastAsia="仿宋_GB2312"/>
          <w:color w:val="000000" w:themeColor="text1"/>
          <w:sz w:val="32"/>
          <w:szCs w:val="32"/>
          <w14:textFill>
            <w14:solidFill>
              <w14:schemeClr w14:val="tx1"/>
            </w14:solidFill>
          </w14:textFill>
        </w:rPr>
        <w:t>事业</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属教体局一级预算事业单位，内设股室8个，分别为党委办、教育考试服务中心、教师进修校、基础教育股、教仪电教站、教研室、安全办公室、学生资助管理中心。</w:t>
      </w:r>
    </w:p>
    <w:p>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pStyle w:val="4"/>
        <w:keepNext w:val="0"/>
        <w:keepLines w:val="0"/>
        <w:pageBreakBefore w:val="0"/>
        <w:widowControl w:val="0"/>
        <w:kinsoku/>
        <w:wordWrap/>
        <w:overflowPunct/>
        <w:topLinePunct w:val="0"/>
        <w:autoSpaceDE/>
        <w:autoSpaceDN/>
        <w:bidi w:val="0"/>
        <w:adjustRightInd w:val="0"/>
        <w:snapToGrid w:val="0"/>
        <w:spacing w:beforeLines="0" w:line="560" w:lineRule="exact"/>
        <w:ind w:firstLine="630" w:firstLineChars="210"/>
        <w:textAlignment w:val="auto"/>
        <w:outlineLvl w:val="2"/>
      </w:pPr>
      <w:r>
        <w:rPr>
          <w:rFonts w:ascii="仿宋" w:hAnsi="仿宋" w:eastAsia="仿宋"/>
        </w:rPr>
        <w:t>1</w:t>
      </w:r>
      <w:r>
        <w:rPr>
          <w:rFonts w:hint="eastAsia" w:ascii="仿宋" w:hAnsi="仿宋" w:eastAsia="仿宋"/>
        </w:rPr>
        <w:t>.</w:t>
      </w:r>
      <w:r>
        <w:rPr>
          <w:rFonts w:ascii="仿宋" w:hAnsi="仿宋" w:eastAsia="仿宋"/>
        </w:rPr>
        <w:t>贯彻执行党和国家的教育方针、政策、法律、法规、规章，依法拟定并组织实施全县教育发展规划、计划；推进义务教育均衡发展和促进教育公平，指导协调公共教育资源向农村倾斜；统筹规划和协调管理全省各级各类教育资源，指导监督全县各级各类学校的设置规划、调整学校布局和学校设立、撤销、合并以及规划并指导学校的专业布局和调整工作；管理全县各学校的基建和设施设备投资。</w:t>
      </w:r>
      <w:r>
        <w:rPr>
          <w:rFonts w:ascii="仿宋" w:hAnsi="仿宋" w:eastAsia="仿宋"/>
        </w:rPr>
        <w:cr/>
      </w:r>
      <w:r>
        <w:rPr>
          <w:rFonts w:ascii="仿宋" w:hAnsi="仿宋" w:eastAsia="仿宋"/>
        </w:rPr>
        <w:t>2</w:t>
      </w:r>
      <w:r>
        <w:rPr>
          <w:rFonts w:hint="eastAsia" w:ascii="仿宋" w:hAnsi="仿宋" w:eastAsia="仿宋"/>
        </w:rPr>
        <w:t>.</w:t>
      </w:r>
      <w:r>
        <w:rPr>
          <w:rFonts w:ascii="仿宋" w:hAnsi="仿宋" w:eastAsia="仿宋"/>
        </w:rPr>
        <w:t>1</w:t>
      </w:r>
      <w:r>
        <w:rPr>
          <w:rFonts w:hint="eastAsia" w:ascii="仿宋" w:hAnsi="仿宋" w:eastAsia="仿宋"/>
        </w:rPr>
        <w:t>.</w:t>
      </w:r>
      <w:r>
        <w:rPr>
          <w:rFonts w:ascii="仿宋" w:hAnsi="仿宋" w:eastAsia="仿宋"/>
        </w:rPr>
        <w:t>负责处理县教育秘书组日常事务。组织协调局机关重要政务、事务工作。</w:t>
      </w:r>
      <w:r>
        <w:rPr>
          <w:rFonts w:ascii="仿宋" w:hAnsi="仿宋" w:eastAsia="仿宋"/>
        </w:rPr>
        <w:cr/>
      </w:r>
      <w:r>
        <w:rPr>
          <w:rFonts w:ascii="仿宋" w:hAnsi="仿宋" w:eastAsia="仿宋"/>
        </w:rPr>
        <w:t>2.2</w:t>
      </w:r>
      <w:r>
        <w:rPr>
          <w:rFonts w:hint="eastAsia" w:ascii="仿宋" w:hAnsi="仿宋" w:eastAsia="仿宋"/>
        </w:rPr>
        <w:t>.</w:t>
      </w:r>
      <w:r>
        <w:rPr>
          <w:rFonts w:ascii="仿宋" w:hAnsi="仿宋" w:eastAsia="仿宋"/>
        </w:rPr>
        <w:t>负责全县教育体制改革并就重大问题进行政策调研。</w:t>
      </w:r>
      <w:r>
        <w:rPr>
          <w:rFonts w:ascii="仿宋" w:hAnsi="仿宋" w:eastAsia="仿宋"/>
        </w:rPr>
        <w:cr/>
      </w:r>
      <w:r>
        <w:rPr>
          <w:rFonts w:ascii="仿宋" w:hAnsi="仿宋" w:eastAsia="仿宋"/>
        </w:rPr>
        <w:t>2.3.承担和指导、协调全县民族教育工作，负责推进义务教育均衡发展、保障各类学生平等接受义务教育和脱贫攻坚控辍保学等工作。</w:t>
      </w:r>
      <w:r>
        <w:rPr>
          <w:rFonts w:ascii="仿宋" w:hAnsi="仿宋" w:eastAsia="仿宋"/>
        </w:rPr>
        <w:cr/>
      </w:r>
      <w:r>
        <w:rPr>
          <w:rFonts w:ascii="仿宋" w:hAnsi="仿宋" w:eastAsia="仿宋"/>
        </w:rPr>
        <w:t>2.4.统筹管理全县各类学校的思想政治工作，始终坚持</w:t>
      </w:r>
      <w:r>
        <w:rPr>
          <w:rFonts w:hint="eastAsia" w:ascii="仿宋" w:hAnsi="仿宋" w:eastAsia="仿宋"/>
          <w:lang w:eastAsia="zh-CN"/>
        </w:rPr>
        <w:t>以</w:t>
      </w:r>
      <w:r>
        <w:rPr>
          <w:rFonts w:ascii="仿宋" w:hAnsi="仿宋" w:eastAsia="仿宋"/>
        </w:rPr>
        <w:t>“立德树人”</w:t>
      </w:r>
      <w:r>
        <w:rPr>
          <w:rFonts w:hint="eastAsia" w:ascii="仿宋" w:hAnsi="仿宋" w:eastAsia="仿宋"/>
          <w:lang w:eastAsia="zh-CN"/>
        </w:rPr>
        <w:t>为</w:t>
      </w:r>
      <w:r>
        <w:rPr>
          <w:rFonts w:ascii="仿宋" w:hAnsi="仿宋" w:eastAsia="仿宋"/>
        </w:rPr>
        <w:t>根本任务，指导学校开展各项教育主题活动。</w:t>
      </w:r>
      <w:r>
        <w:rPr>
          <w:rFonts w:ascii="仿宋" w:hAnsi="仿宋" w:eastAsia="仿宋"/>
        </w:rPr>
        <w:cr/>
      </w:r>
      <w:r>
        <w:rPr>
          <w:rFonts w:ascii="仿宋" w:hAnsi="仿宋" w:eastAsia="仿宋"/>
        </w:rPr>
        <w:t>2.5.指导和管理全县师资培训工作。</w:t>
      </w:r>
      <w:r>
        <w:rPr>
          <w:rFonts w:ascii="仿宋" w:hAnsi="仿宋" w:eastAsia="仿宋"/>
        </w:rPr>
        <w:cr/>
      </w:r>
      <w:r>
        <w:rPr>
          <w:rFonts w:ascii="仿宋" w:hAnsi="仿宋" w:eastAsia="仿宋"/>
        </w:rPr>
        <w:t>2.6.贯彻执行学校安全稳定管理相关法律法规和政策规章。</w:t>
      </w:r>
      <w:r>
        <w:rPr>
          <w:rFonts w:ascii="仿宋" w:hAnsi="仿宋" w:eastAsia="仿宋"/>
        </w:rPr>
        <w:cr/>
      </w:r>
      <w:r>
        <w:rPr>
          <w:rFonts w:ascii="仿宋" w:hAnsi="仿宋" w:eastAsia="仿宋"/>
        </w:rPr>
        <w:t>2.7.负责全县普通高校、高中阶段招生考试、成人招生和高等自学考试政策的宣传、咨询、贯彻。</w:t>
      </w:r>
      <w:r>
        <w:rPr>
          <w:rFonts w:ascii="仿宋" w:hAnsi="仿宋" w:eastAsia="仿宋"/>
        </w:rPr>
        <w:cr/>
      </w:r>
      <w:r>
        <w:rPr>
          <w:rFonts w:ascii="仿宋" w:hAnsi="仿宋" w:eastAsia="仿宋"/>
        </w:rPr>
        <w:t>2.8.规划、指导全县教师队伍、教育系统人才队伍建设和培养工作。</w:t>
      </w:r>
      <w:r>
        <w:rPr>
          <w:rFonts w:ascii="仿宋" w:hAnsi="仿宋" w:eastAsia="仿宋"/>
        </w:rPr>
        <w:cr/>
      </w:r>
      <w:r>
        <w:rPr>
          <w:rFonts w:ascii="仿宋" w:hAnsi="仿宋" w:eastAsia="仿宋"/>
        </w:rPr>
        <w:t>2.9.制定全县教育信息化发展规划，指导和督促检查全县教育信息化工作。</w:t>
      </w:r>
      <w:r>
        <w:rPr>
          <w:rFonts w:ascii="仿宋" w:hAnsi="仿宋" w:eastAsia="仿宋"/>
        </w:rPr>
        <w:cr/>
      </w:r>
      <w:r>
        <w:rPr>
          <w:rFonts w:ascii="仿宋" w:hAnsi="仿宋" w:eastAsia="仿宋"/>
        </w:rPr>
        <w:t>3</w:t>
      </w:r>
      <w:r>
        <w:rPr>
          <w:rFonts w:hint="eastAsia" w:ascii="仿宋" w:hAnsi="仿宋" w:eastAsia="仿宋"/>
        </w:rPr>
        <w:t>.</w:t>
      </w:r>
      <w:r>
        <w:rPr>
          <w:rFonts w:ascii="仿宋" w:hAnsi="仿宋" w:eastAsia="仿宋"/>
        </w:rPr>
        <w:t>1.负责教育督导的政策研究和重大问题的调查研究工作。</w:t>
      </w:r>
      <w:r>
        <w:rPr>
          <w:rFonts w:ascii="仿宋" w:hAnsi="仿宋" w:eastAsia="仿宋"/>
        </w:rPr>
        <w:cr/>
      </w:r>
      <w:r>
        <w:rPr>
          <w:rFonts w:ascii="仿宋" w:hAnsi="仿宋" w:eastAsia="仿宋"/>
        </w:rPr>
        <w:t>3.2.发布教育督导评估、评价、监测报告。</w:t>
      </w:r>
      <w:r>
        <w:rPr>
          <w:rFonts w:ascii="仿宋" w:hAnsi="仿宋" w:eastAsia="仿宋"/>
        </w:rPr>
        <w:cr/>
      </w:r>
      <w:r>
        <w:rPr>
          <w:rFonts w:ascii="仿宋" w:hAnsi="仿宋" w:eastAsia="仿宋"/>
        </w:rPr>
        <w:t>3.3.指导全县教育督导工作。负责县政府履行教育职责督导评价。</w:t>
      </w:r>
      <w:r>
        <w:rPr>
          <w:rFonts w:ascii="仿宋" w:hAnsi="仿宋" w:eastAsia="仿宋"/>
        </w:rPr>
        <w:cr/>
      </w:r>
      <w:r>
        <w:rPr>
          <w:rFonts w:ascii="仿宋" w:hAnsi="仿宋" w:eastAsia="仿宋"/>
        </w:rPr>
        <w:t>3.4.负责对全县各级各类学校规范办学行为、教育教学工作、校外教育、特殊教育、社区教育、成人教育。</w:t>
      </w:r>
      <w:r>
        <w:rPr>
          <w:rFonts w:ascii="仿宋" w:hAnsi="仿宋" w:eastAsia="仿宋"/>
        </w:rPr>
        <w:cr/>
      </w:r>
      <w:r>
        <w:rPr>
          <w:rFonts w:ascii="仿宋" w:hAnsi="仿宋" w:eastAsia="仿宋"/>
        </w:rPr>
        <w:t>3.5.民办教育、中小学校责任督学挂牌督导工作等专项督导。</w:t>
      </w:r>
      <w:r>
        <w:rPr>
          <w:rFonts w:ascii="仿宋" w:hAnsi="仿宋" w:eastAsia="仿宋"/>
        </w:rPr>
        <w:cr/>
      </w:r>
      <w:r>
        <w:rPr>
          <w:rFonts w:ascii="仿宋" w:hAnsi="仿宋" w:eastAsia="仿宋"/>
        </w:rPr>
        <w:t>3.6.组织开展全县教育改革和发展中热点难点重点问题的专项督导。负责指导全县教育督导队伍建设和培训。</w:t>
      </w:r>
      <w:r>
        <w:rPr>
          <w:rFonts w:ascii="仿宋" w:hAnsi="仿宋" w:eastAsia="仿宋"/>
        </w:rPr>
        <w:cr/>
      </w:r>
      <w:r>
        <w:rPr>
          <w:rFonts w:ascii="仿宋" w:hAnsi="仿宋" w:eastAsia="仿宋"/>
        </w:rPr>
        <w:t>3.7.组织开展全县督学资格认证，选拔、聘任、管理全县督学。</w:t>
      </w:r>
      <w:r>
        <w:rPr>
          <w:rFonts w:ascii="仿宋" w:hAnsi="仿宋" w:eastAsia="仿宋"/>
        </w:rPr>
        <w:cr/>
      </w:r>
      <w:r>
        <w:rPr>
          <w:rFonts w:ascii="仿宋" w:hAnsi="仿宋" w:eastAsia="仿宋"/>
        </w:rPr>
        <w:t>3.8.负责拟订各级各类学校办学状况、教育教学水平评估标准和规程，并实施督导。</w:t>
      </w:r>
      <w:r>
        <w:rPr>
          <w:rFonts w:ascii="仿宋" w:hAnsi="仿宋" w:eastAsia="仿宋"/>
        </w:rPr>
        <w:cr/>
      </w:r>
      <w:r>
        <w:rPr>
          <w:rFonts w:ascii="仿宋" w:hAnsi="仿宋" w:eastAsia="仿宋"/>
        </w:rPr>
        <w:t>3.9.组织开展对各级各类教育发展状况和质量的监测，协调第三方机构和社会力量参与教育评估监测工作。</w:t>
      </w:r>
      <w:r>
        <w:rPr>
          <w:rFonts w:ascii="仿宋" w:hAnsi="仿宋" w:eastAsia="仿宋"/>
        </w:rPr>
        <w:cr/>
      </w:r>
      <w:r>
        <w:rPr>
          <w:rFonts w:ascii="仿宋" w:hAnsi="仿宋" w:eastAsia="仿宋"/>
        </w:rPr>
        <w:t>4.1.负责机关党的建设、党风廉政建设、意识形态、班子队伍建设等工作。</w:t>
      </w:r>
      <w:r>
        <w:rPr>
          <w:rFonts w:ascii="仿宋" w:hAnsi="仿宋" w:eastAsia="仿宋"/>
        </w:rPr>
        <w:cr/>
      </w:r>
      <w:r>
        <w:rPr>
          <w:rFonts w:ascii="仿宋" w:hAnsi="仿宋" w:eastAsia="仿宋"/>
        </w:rPr>
        <w:t>5</w:t>
      </w:r>
      <w:r>
        <w:rPr>
          <w:rFonts w:hint="eastAsia" w:ascii="仿宋" w:hAnsi="仿宋" w:eastAsia="仿宋"/>
        </w:rPr>
        <w:t>.</w:t>
      </w:r>
      <w:r>
        <w:rPr>
          <w:rFonts w:ascii="仿宋" w:hAnsi="仿宋" w:eastAsia="仿宋"/>
        </w:rPr>
        <w:t>开展学校的学前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全县教育工作顺利推进，教育均衡健康发展。</w:t>
      </w:r>
      <w:r>
        <w:rPr>
          <w:rFonts w:ascii="仿宋" w:hAnsi="仿宋" w:eastAsia="仿宋"/>
        </w:rPr>
        <w:cr/>
      </w:r>
      <w:r>
        <w:rPr>
          <w:rFonts w:ascii="仿宋" w:hAnsi="仿宋" w:eastAsia="仿宋"/>
        </w:rPr>
        <w:t>6</w:t>
      </w:r>
      <w:r>
        <w:rPr>
          <w:rFonts w:hint="eastAsia" w:ascii="仿宋" w:hAnsi="仿宋" w:eastAsia="仿宋"/>
        </w:rPr>
        <w:t>.</w:t>
      </w:r>
      <w:r>
        <w:rPr>
          <w:rFonts w:ascii="仿宋" w:hAnsi="仿宋" w:eastAsia="仿宋"/>
        </w:rPr>
        <w:t>开展学校的义务（小学阶段）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7</w:t>
      </w:r>
      <w:r>
        <w:rPr>
          <w:rFonts w:hint="eastAsia" w:ascii="仿宋" w:hAnsi="仿宋" w:eastAsia="仿宋"/>
        </w:rPr>
        <w:t>.</w:t>
      </w:r>
      <w:r>
        <w:rPr>
          <w:rFonts w:ascii="仿宋" w:hAnsi="仿宋" w:eastAsia="仿宋"/>
        </w:rPr>
        <w:t>开展学校的义务（初中阶段）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8</w:t>
      </w:r>
      <w:r>
        <w:rPr>
          <w:rFonts w:hint="eastAsia" w:ascii="仿宋" w:hAnsi="仿宋" w:eastAsia="仿宋"/>
        </w:rPr>
        <w:t>.</w:t>
      </w:r>
      <w:r>
        <w:rPr>
          <w:rFonts w:ascii="仿宋" w:hAnsi="仿宋" w:eastAsia="仿宋"/>
        </w:rPr>
        <w:t>开展学校的高中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9.1.开展我县中职中专和本专科教育阶段学生升学、就读等相关事务。</w:t>
      </w:r>
      <w:r>
        <w:rPr>
          <w:rFonts w:ascii="仿宋" w:hAnsi="仿宋" w:eastAsia="仿宋"/>
        </w:rPr>
        <w:cr/>
      </w:r>
      <w:r>
        <w:rPr>
          <w:rFonts w:ascii="仿宋" w:hAnsi="仿宋" w:eastAsia="仿宋"/>
        </w:rPr>
        <w:t>9.</w:t>
      </w:r>
      <w:r>
        <w:rPr>
          <w:rFonts w:hint="eastAsia" w:ascii="仿宋" w:hAnsi="仿宋" w:eastAsia="仿宋"/>
        </w:rPr>
        <w:t>2</w:t>
      </w:r>
      <w:r>
        <w:rPr>
          <w:rFonts w:ascii="仿宋" w:hAnsi="仿宋" w:eastAsia="仿宋"/>
        </w:rPr>
        <w:t>.落实我县中职中专和本专科教育阶段学生各类补助。</w:t>
      </w:r>
      <w:r>
        <w:rPr>
          <w:rFonts w:ascii="仿宋" w:hAnsi="仿宋" w:eastAsia="仿宋"/>
        </w:rPr>
        <w:cr/>
      </w:r>
      <w:r>
        <w:rPr>
          <w:rFonts w:ascii="仿宋" w:hAnsi="仿宋" w:eastAsia="仿宋"/>
        </w:rPr>
        <w:t>9.</w:t>
      </w:r>
      <w:r>
        <w:rPr>
          <w:rFonts w:hint="eastAsia" w:ascii="仿宋" w:hAnsi="仿宋" w:eastAsia="仿宋"/>
        </w:rPr>
        <w:t>3</w:t>
      </w:r>
      <w:r>
        <w:rPr>
          <w:rFonts w:ascii="仿宋" w:hAnsi="仿宋" w:eastAsia="仿宋"/>
        </w:rPr>
        <w:t>.其它中职中专和本专科教育事务。</w:t>
      </w:r>
      <w:r>
        <w:rPr>
          <w:rFonts w:ascii="仿宋" w:hAnsi="仿宋" w:eastAsia="仿宋"/>
        </w:rPr>
        <w:cr/>
      </w:r>
      <w:r>
        <w:rPr>
          <w:rFonts w:ascii="仿宋" w:hAnsi="仿宋" w:eastAsia="仿宋"/>
        </w:rPr>
        <w:t>10</w:t>
      </w:r>
      <w:r>
        <w:rPr>
          <w:rFonts w:hint="eastAsia" w:ascii="仿宋" w:hAnsi="仿宋" w:eastAsia="仿宋"/>
        </w:rPr>
        <w:t>.</w:t>
      </w:r>
      <w:r>
        <w:rPr>
          <w:rFonts w:ascii="仿宋" w:hAnsi="仿宋" w:eastAsia="仿宋"/>
        </w:rPr>
        <w:t>教育系统安全管理</w:t>
      </w:r>
      <w:r>
        <w:rPr>
          <w:rFonts w:ascii="仿宋" w:hAnsi="仿宋" w:eastAsia="仿宋"/>
        </w:rPr>
        <w:cr/>
      </w:r>
      <w:r>
        <w:rPr>
          <w:rFonts w:ascii="仿宋" w:hAnsi="仿宋" w:eastAsia="仿宋"/>
        </w:rPr>
        <w:t>11</w:t>
      </w:r>
      <w:r>
        <w:rPr>
          <w:rFonts w:hint="eastAsia" w:ascii="仿宋" w:hAnsi="仿宋" w:eastAsia="仿宋"/>
        </w:rPr>
        <w:t>.</w:t>
      </w:r>
      <w:r>
        <w:rPr>
          <w:rFonts w:ascii="仿宋" w:hAnsi="仿宋" w:eastAsia="仿宋"/>
        </w:rPr>
        <w:t>开展中职中专及成人教育。</w:t>
      </w:r>
      <w:r>
        <w:rPr>
          <w:rFonts w:ascii="仿宋" w:hAnsi="仿宋" w:eastAsia="仿宋"/>
        </w:rPr>
        <w:cr/>
      </w:r>
      <w:r>
        <w:rPr>
          <w:rFonts w:ascii="仿宋" w:hAnsi="仿宋" w:eastAsia="仿宋"/>
        </w:rPr>
        <w:t>12</w:t>
      </w:r>
      <w:r>
        <w:rPr>
          <w:rFonts w:hint="eastAsia" w:ascii="仿宋" w:hAnsi="仿宋" w:eastAsia="仿宋"/>
        </w:rPr>
        <w:t>.</w:t>
      </w:r>
      <w:r>
        <w:rPr>
          <w:rFonts w:ascii="仿宋" w:hAnsi="仿宋" w:eastAsia="仿宋"/>
        </w:rPr>
        <w:t>规划、指导和开展全县的基础教育工作。</w:t>
      </w:r>
      <w:r>
        <w:rPr>
          <w:rFonts w:ascii="仿宋" w:hAnsi="仿宋" w:eastAsia="仿宋"/>
        </w:rPr>
        <w:cr/>
      </w:r>
      <w:r>
        <w:rPr>
          <w:rFonts w:ascii="仿宋" w:hAnsi="仿宋" w:eastAsia="仿宋"/>
        </w:rPr>
        <w:t>13、指导、开展全县教师成长的培养工作。</w:t>
      </w:r>
      <w:r>
        <w:rPr>
          <w:rFonts w:ascii="仿宋" w:hAnsi="仿宋" w:eastAsia="仿宋"/>
        </w:rPr>
        <w:cr/>
      </w:r>
      <w:r>
        <w:rPr>
          <w:rFonts w:ascii="仿宋" w:hAnsi="仿宋" w:eastAsia="仿宋"/>
        </w:rPr>
        <w:t>14</w:t>
      </w:r>
      <w:r>
        <w:rPr>
          <w:rFonts w:hint="eastAsia" w:ascii="仿宋" w:hAnsi="仿宋" w:eastAsia="仿宋"/>
        </w:rPr>
        <w:t>.</w:t>
      </w:r>
      <w:r>
        <w:rPr>
          <w:rFonts w:ascii="仿宋" w:hAnsi="仿宋" w:eastAsia="仿宋"/>
        </w:rPr>
        <w:t>开展和指导学校教育教学研究工作。</w:t>
      </w:r>
      <w:r>
        <w:rPr>
          <w:rFonts w:ascii="仿宋" w:hAnsi="仿宋" w:eastAsia="仿宋"/>
        </w:rPr>
        <w:cr/>
      </w:r>
      <w:r>
        <w:rPr>
          <w:rFonts w:ascii="仿宋" w:hAnsi="仿宋" w:eastAsia="仿宋"/>
        </w:rPr>
        <w:t>15.1.教育教学仪器的购置。</w:t>
      </w:r>
      <w:r>
        <w:rPr>
          <w:rFonts w:ascii="仿宋" w:hAnsi="仿宋" w:eastAsia="仿宋"/>
        </w:rPr>
        <w:cr/>
      </w:r>
      <w:r>
        <w:rPr>
          <w:rFonts w:ascii="仿宋" w:hAnsi="仿宋" w:eastAsia="仿宋"/>
        </w:rPr>
        <w:t>15.2.指导学校使用教育教学仪器。</w:t>
      </w:r>
      <w:r>
        <w:rPr>
          <w:rFonts w:ascii="仿宋" w:hAnsi="仿宋" w:eastAsia="仿宋"/>
        </w:rPr>
        <w:cr/>
      </w:r>
      <w:r>
        <w:rPr>
          <w:rFonts w:ascii="仿宋" w:hAnsi="仿宋" w:eastAsia="仿宋"/>
        </w:rPr>
        <w:t>16.1.指导全县各校（园）开展各级各类学生资助政策的实施。</w:t>
      </w:r>
      <w:r>
        <w:rPr>
          <w:rFonts w:ascii="仿宋" w:hAnsi="仿宋" w:eastAsia="仿宋"/>
        </w:rPr>
        <w:cr/>
      </w:r>
      <w:r>
        <w:rPr>
          <w:rFonts w:ascii="仿宋" w:hAnsi="仿宋" w:eastAsia="仿宋"/>
        </w:rPr>
        <w:t>16.2.指导全县各校（园）的国（境）内外教育援助、教育贷款和教育合作项目执行。</w:t>
      </w:r>
      <w:r>
        <w:rPr>
          <w:rFonts w:ascii="仿宋" w:hAnsi="仿宋" w:eastAsia="仿宋"/>
        </w:rPr>
        <w:cr/>
      </w:r>
      <w:r>
        <w:rPr>
          <w:rFonts w:ascii="仿宋" w:hAnsi="仿宋" w:eastAsia="仿宋"/>
        </w:rPr>
        <w:t>16.3.开展县内各级各类学生资助政策的实施。</w:t>
      </w:r>
      <w:r>
        <w:rPr>
          <w:rFonts w:ascii="仿宋" w:hAnsi="仿宋" w:eastAsia="仿宋"/>
        </w:rPr>
        <w:cr/>
      </w:r>
      <w:r>
        <w:rPr>
          <w:rFonts w:ascii="仿宋" w:hAnsi="仿宋" w:eastAsia="仿宋"/>
        </w:rPr>
        <w:t>17.1.负责全县普通高校、高中阶段招生考试、成人招生和高等自学考试政策的宣传、咨询、贯彻。</w:t>
      </w:r>
      <w:r>
        <w:rPr>
          <w:rFonts w:ascii="仿宋" w:hAnsi="仿宋" w:eastAsia="仿宋"/>
        </w:rPr>
        <w:cr/>
      </w:r>
      <w:r>
        <w:rPr>
          <w:rFonts w:ascii="仿宋" w:hAnsi="仿宋" w:eastAsia="仿宋"/>
        </w:rPr>
        <w:t>17.2.负责组织考生报名、信息采集、资格审查、考试、志愿填报，负责组织普通高考体检工作，审查并组建考生档案。</w:t>
      </w:r>
      <w:r>
        <w:rPr>
          <w:rFonts w:ascii="仿宋" w:hAnsi="仿宋" w:eastAsia="仿宋"/>
        </w:rPr>
        <w:cr/>
      </w:r>
      <w:r>
        <w:rPr>
          <w:rFonts w:ascii="仿宋" w:hAnsi="仿宋" w:eastAsia="仿宋"/>
        </w:rPr>
        <w:t>17.3.负责普通高中录取工作。负责接待、受理、查证、核实、处理各类招生考试中发生的有关问题。</w:t>
      </w:r>
      <w:r>
        <w:rPr>
          <w:rFonts w:ascii="仿宋" w:hAnsi="仿宋" w:eastAsia="仿宋"/>
        </w:rPr>
        <w:cr/>
      </w:r>
      <w:r>
        <w:rPr>
          <w:rFonts w:ascii="仿宋" w:hAnsi="仿宋" w:eastAsia="仿宋"/>
        </w:rPr>
        <w:t>17.4.负责组织高中学业水平考试。</w:t>
      </w:r>
      <w:r>
        <w:rPr>
          <w:rFonts w:ascii="仿宋" w:hAnsi="仿宋" w:eastAsia="仿宋"/>
        </w:rPr>
        <w:cr/>
      </w:r>
      <w:r>
        <w:rPr>
          <w:rFonts w:ascii="仿宋" w:hAnsi="仿宋" w:eastAsia="仿宋"/>
        </w:rPr>
        <w:t>17.5.负责指导协调全县标准化考点建设、使用和维护工作。</w:t>
      </w:r>
      <w:r>
        <w:rPr>
          <w:rFonts w:ascii="仿宋" w:hAnsi="仿宋" w:eastAsia="仿宋"/>
        </w:rPr>
        <w:cr/>
      </w:r>
      <w:r>
        <w:rPr>
          <w:rFonts w:ascii="仿宋" w:hAnsi="仿宋" w:eastAsia="仿宋"/>
        </w:rPr>
        <w:t>18</w:t>
      </w:r>
      <w:r>
        <w:rPr>
          <w:rFonts w:hint="eastAsia" w:ascii="仿宋" w:hAnsi="仿宋" w:eastAsia="仿宋"/>
        </w:rPr>
        <w:t>.</w:t>
      </w:r>
      <w:r>
        <w:rPr>
          <w:rFonts w:ascii="仿宋" w:hAnsi="仿宋" w:eastAsia="仿宋"/>
        </w:rPr>
        <w:t>负责所在校（园）党的建设、党风廉政建设、意识形态、班子队伍建设等工作。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pPr>
      <w:r>
        <w:rPr>
          <w:rFonts w:hint="eastAsia" w:ascii="仿宋" w:hAnsi="仿宋" w:eastAsia="仿宋" w:cs="仿宋"/>
          <w:color w:val="000000"/>
          <w:kern w:val="0"/>
          <w:sz w:val="30"/>
          <w:szCs w:val="30"/>
          <w:lang w:val="en-US" w:eastAsia="zh-CN" w:bidi="ar-SA"/>
        </w:rPr>
        <w:t>本单位本年度职工年末实有人数为18人，比上年减少2人；年末实有遗属人数为57人，比上年减少1人。</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财政资金</w:t>
      </w:r>
      <w:r>
        <w:rPr>
          <w:rFonts w:hint="eastAsia" w:ascii="仿宋_GB2312" w:hAnsi="仿宋" w:eastAsia="仿宋_GB2312" w:cs="仿宋_GB2312"/>
          <w:sz w:val="32"/>
          <w:szCs w:val="32"/>
        </w:rPr>
        <w:t>收入</w:t>
      </w:r>
      <w:r>
        <w:rPr>
          <w:rFonts w:hint="eastAsia" w:ascii="仿宋_GB2312" w:hAnsi="仿宋" w:eastAsia="仿宋_GB2312" w:cs="仿宋_GB2312"/>
          <w:sz w:val="32"/>
          <w:szCs w:val="32"/>
          <w:lang w:val="en-US" w:eastAsia="zh-CN"/>
        </w:rPr>
        <w:t>4144.55</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val="en-US" w:eastAsia="zh-CN"/>
        </w:rPr>
        <w:t>其中，</w:t>
      </w:r>
      <w:r>
        <w:rPr>
          <w:rFonts w:hint="eastAsia" w:ascii="仿宋_GB2312" w:hAnsi="仿宋" w:eastAsia="仿宋_GB2312" w:cs="仿宋_GB2312"/>
          <w:sz w:val="32"/>
          <w:szCs w:val="32"/>
        </w:rPr>
        <w:t>一般公共预算财政拨款收入</w:t>
      </w:r>
      <w:r>
        <w:rPr>
          <w:rFonts w:hint="eastAsia" w:ascii="仿宋_GB2312" w:hAnsi="仿宋" w:eastAsia="仿宋_GB2312" w:cs="仿宋_GB2312"/>
          <w:sz w:val="32"/>
          <w:szCs w:val="32"/>
          <w:lang w:val="en-US" w:eastAsia="zh-CN"/>
        </w:rPr>
        <w:t>4133.11</w:t>
      </w:r>
      <w:r>
        <w:rPr>
          <w:rFonts w:hint="eastAsia" w:ascii="仿宋_GB2312" w:hAnsi="仿宋" w:eastAsia="仿宋_GB2312" w:cs="仿宋_GB2312"/>
          <w:sz w:val="32"/>
          <w:szCs w:val="32"/>
        </w:rPr>
        <w:t>万元；政府性基金预算拨款收入</w:t>
      </w:r>
      <w:r>
        <w:rPr>
          <w:rFonts w:hint="eastAsia" w:ascii="仿宋_GB2312" w:hAnsi="仿宋" w:eastAsia="仿宋_GB2312" w:cs="仿宋_GB2312"/>
          <w:sz w:val="32"/>
          <w:szCs w:val="32"/>
          <w:lang w:val="en-US" w:eastAsia="zh-CN"/>
        </w:rPr>
        <w:t>0</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其他收入11.44万元</w:t>
      </w:r>
      <w:r>
        <w:rPr>
          <w:rFonts w:hint="eastAsia" w:ascii="仿宋_GB2312" w:hAnsi="仿宋" w:eastAsia="仿宋_GB2312" w:cs="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spacing w:line="560" w:lineRule="exact"/>
        <w:ind w:left="0" w:leftChars="0"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pP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财政资金</w:t>
      </w:r>
      <w:r>
        <w:rPr>
          <w:rFonts w:hint="eastAsia" w:ascii="仿宋_GB2312" w:hAnsi="仿宋" w:eastAsia="仿宋_GB2312" w:cs="仿宋_GB2312"/>
          <w:sz w:val="32"/>
          <w:szCs w:val="32"/>
        </w:rPr>
        <w:t>支出</w:t>
      </w:r>
      <w:r>
        <w:rPr>
          <w:rFonts w:hint="eastAsia" w:ascii="仿宋_GB2312" w:hAnsi="仿宋" w:eastAsia="仿宋_GB2312" w:cs="仿宋_GB2312"/>
          <w:sz w:val="32"/>
          <w:szCs w:val="32"/>
          <w:lang w:val="en-US" w:eastAsia="zh-CN"/>
        </w:rPr>
        <w:t>4144.55</w:t>
      </w:r>
      <w:r>
        <w:rPr>
          <w:rFonts w:hint="eastAsia" w:ascii="仿宋_GB2312" w:hAnsi="仿宋" w:eastAsia="仿宋_GB2312" w:cs="仿宋_GB2312"/>
          <w:sz w:val="32"/>
          <w:szCs w:val="32"/>
        </w:rPr>
        <w:t>万元，其中：人员经费</w:t>
      </w:r>
      <w:r>
        <w:rPr>
          <w:rFonts w:hint="eastAsia" w:ascii="仿宋_GB2312" w:hAnsi="仿宋" w:eastAsia="仿宋_GB2312" w:cs="仿宋_GB2312"/>
          <w:sz w:val="32"/>
          <w:szCs w:val="32"/>
          <w:lang w:val="en-US" w:eastAsia="zh-CN"/>
        </w:rPr>
        <w:t>1180.09</w:t>
      </w:r>
      <w:r>
        <w:rPr>
          <w:rFonts w:hint="eastAsia" w:ascii="仿宋_GB2312" w:hAnsi="仿宋" w:eastAsia="仿宋_GB2312" w:cs="仿宋_GB2312"/>
          <w:sz w:val="32"/>
          <w:szCs w:val="32"/>
        </w:rPr>
        <w:t>万元、日常公用经费</w:t>
      </w:r>
      <w:r>
        <w:rPr>
          <w:rFonts w:hint="eastAsia" w:ascii="仿宋_GB2312" w:hAnsi="仿宋" w:eastAsia="仿宋_GB2312" w:cs="仿宋_GB2312"/>
          <w:sz w:val="32"/>
          <w:szCs w:val="32"/>
          <w:lang w:val="en-US" w:eastAsia="zh-CN"/>
        </w:rPr>
        <w:t>58.01</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2906.46</w:t>
      </w:r>
      <w:r>
        <w:rPr>
          <w:rFonts w:hint="eastAsia" w:ascii="仿宋_GB2312" w:hAnsi="仿宋" w:eastAsia="仿宋_GB2312" w:cs="仿宋_GB2312"/>
          <w:sz w:val="32"/>
          <w:szCs w:val="32"/>
        </w:rPr>
        <w:t>万元。</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pStyle w:val="7"/>
        <w:keepNext w:val="0"/>
        <w:keepLines w:val="0"/>
        <w:widowControl/>
        <w:suppressLineNumbers w:val="0"/>
        <w:shd w:val="clear" w:fill="FFFFFF"/>
        <w:spacing w:before="0" w:beforeAutospacing="1" w:after="0" w:afterAutospacing="1"/>
        <w:ind w:left="0" w:right="0" w:firstLine="640" w:firstLineChars="200"/>
        <w:rPr>
          <w:rFonts w:hint="default" w:ascii="仿宋_GB2312" w:hAnsi="仿宋" w:eastAsia="仿宋_GB2312" w:cs="仿宋_GB2312"/>
          <w:sz w:val="32"/>
          <w:szCs w:val="32"/>
        </w:rPr>
      </w:pPr>
      <w:r>
        <w:rPr>
          <w:rFonts w:hint="default" w:ascii="仿宋_GB2312" w:hAnsi="仿宋" w:eastAsia="仿宋_GB2312" w:cs="仿宋_GB2312"/>
          <w:kern w:val="2"/>
          <w:sz w:val="32"/>
          <w:szCs w:val="32"/>
          <w:lang w:val="en-US" w:eastAsia="zh-CN" w:bidi="ar-SA"/>
        </w:rPr>
        <w:t>2024年，黑水县教育和体育局</w:t>
      </w:r>
      <w:r>
        <w:rPr>
          <w:rFonts w:hint="eastAsia" w:ascii="仿宋_GB2312" w:hAnsi="仿宋" w:eastAsia="仿宋_GB2312" w:cs="仿宋_GB2312"/>
          <w:kern w:val="2"/>
          <w:sz w:val="32"/>
          <w:szCs w:val="32"/>
          <w:lang w:val="en-US" w:eastAsia="zh-CN" w:bidi="ar-SA"/>
        </w:rPr>
        <w:t>（事业）</w:t>
      </w:r>
      <w:r>
        <w:rPr>
          <w:rFonts w:hint="default" w:ascii="仿宋_GB2312" w:hAnsi="仿宋" w:eastAsia="仿宋_GB2312" w:cs="仿宋_GB2312"/>
          <w:kern w:val="2"/>
          <w:sz w:val="32"/>
          <w:szCs w:val="32"/>
          <w:lang w:val="en-US" w:eastAsia="zh-CN" w:bidi="ar-SA"/>
        </w:rPr>
        <w:t>深入贯彻落实全面预算绩效管理要求，紧紧围绕县委、县政府决策部署和教育事业发展规划，以提升资金使用效益为核心，不断健全绩效管理体系，强化过程监控和结果应用，有效保障了部门职能履行和事业健康发展。</w:t>
      </w:r>
    </w:p>
    <w:p>
      <w:pPr>
        <w:keepNext w:val="0"/>
        <w:keepLines w:val="0"/>
        <w:pageBreakBefore w:val="0"/>
        <w:widowControl w:val="0"/>
        <w:numPr>
          <w:ilvl w:val="0"/>
          <w:numId w:val="3"/>
        </w:numPr>
        <w:kinsoku/>
        <w:wordWrap/>
        <w:overflowPunct/>
        <w:topLinePunct w:val="0"/>
        <w:autoSpaceDE/>
        <w:autoSpaceDN/>
        <w:bidi w:val="0"/>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部门预算管理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部门绩效目标制定：根据全县教育事业发展规划和年度重点工作，科学设定了部门整体绩效目标。目标涵盖保障</w:t>
      </w:r>
      <w:r>
        <w:rPr>
          <w:rFonts w:hint="eastAsia" w:ascii="仿宋_GB2312" w:hAnsi="仿宋" w:eastAsia="仿宋_GB2312" w:cs="仿宋_GB2312"/>
          <w:kern w:val="2"/>
          <w:sz w:val="32"/>
          <w:szCs w:val="32"/>
          <w:lang w:val="en-US" w:eastAsia="zh-CN" w:bidi="ar-SA"/>
        </w:rPr>
        <w:t>教育</w:t>
      </w:r>
      <w:r>
        <w:rPr>
          <w:rFonts w:hint="default" w:ascii="仿宋_GB2312" w:hAnsi="仿宋" w:eastAsia="仿宋_GB2312" w:cs="仿宋_GB2312"/>
          <w:kern w:val="2"/>
          <w:sz w:val="32"/>
          <w:szCs w:val="32"/>
          <w:lang w:val="en-US" w:eastAsia="zh-CN" w:bidi="ar-SA"/>
        </w:rPr>
        <w:t>系统正常运转、落实学生资助政策、改善办学条件、加强教师队伍建设、促进教育公平、提升教育教学质量等重点领域，目标清晰、可量化，与部门职责和年度任务相匹配。</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目标完成：通过基本支出和项目支出的统筹保障，2024年度部门整体绩效目标全面完成。确保了</w:t>
      </w:r>
      <w:r>
        <w:rPr>
          <w:rFonts w:hint="eastAsia" w:ascii="仿宋_GB2312" w:hAnsi="仿宋" w:eastAsia="仿宋_GB2312" w:cs="仿宋_GB2312"/>
          <w:kern w:val="2"/>
          <w:sz w:val="32"/>
          <w:szCs w:val="32"/>
          <w:lang w:val="en-US" w:eastAsia="zh-CN" w:bidi="ar-SA"/>
        </w:rPr>
        <w:t>局事业</w:t>
      </w:r>
      <w:r>
        <w:rPr>
          <w:rFonts w:hint="default" w:ascii="仿宋_GB2312" w:hAnsi="仿宋" w:eastAsia="仿宋_GB2312" w:cs="仿宋_GB2312"/>
          <w:kern w:val="2"/>
          <w:sz w:val="32"/>
          <w:szCs w:val="32"/>
          <w:lang w:val="en-US" w:eastAsia="zh-CN" w:bidi="ar-SA"/>
        </w:rPr>
        <w:t>高效运转；各项学生资助政策精准落实，惠及学生3476人次；办学条件持续改善，实施了初级中学提升改造等一批重点项目；教师待遇得到保障，队伍稳定性与积极性进一步提高；开放大学顺利运行，服务了终身学习需求；教育教学质量稳步提升</w:t>
      </w:r>
      <w:r>
        <w:rPr>
          <w:rFonts w:hint="eastAsia" w:ascii="仿宋_GB2312" w:hAnsi="仿宋" w:eastAsia="仿宋_GB2312" w:cs="仿宋_GB2312"/>
          <w:kern w:val="2"/>
          <w:sz w:val="32"/>
          <w:szCs w:val="32"/>
          <w:lang w:val="en-US" w:eastAsia="zh-CN" w:bidi="ar-SA"/>
        </w:rPr>
        <w:t xml:space="preserve">。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预算编制准确：严格按照“零基预算”原则和定额标准，科学编制基本支出预算，人员经费按实有人员和政策标准编实，公用经费按定额核定。项目支出预算根据事业发展规划和项目库储备情况编制，预算编制内容全面、依据充分、数据准确，预决算偏差率控制在合理范围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支出控制：严格执行内控制度、财经法规和经费支出审批程序，严控“三公”经费和一般性支出。资金支付合规，凭证齐全，核算规范。2024年度基本支出未突破预算，项目支出均用于预定用途，无挤占、挪用现象，支出控制有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预算动态调整：根据年度执行中因政策调整、人员变动、项目实施进度等因素产生的变化，按规定程序及时向财政部门申请预算调剂或调整，确保了预算安排与实际需求的动态平衡，提高了预算管理的精准性和灵活性。</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执行进度：建立预算执行进度定期分析和通报机制，压实各股室和项目单位执行责任，加快资金支付审核流程。特别是在第三、四季度，采取有效措施加快执行，全年预算执行进度符合财政序时要求，资金支付及时高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预算完成情况：2024年，部门决算支出总计4144.55万元，其中：基本支出1238.09万元，项目支出2906.46万元。预算完成率为100%</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预算完成情况良好。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违规记录：2024年度，在预算管理和资金使用过程中，严格遵守各项财经法规，无任何预算违规违纪行为，未受到财政、审计等部门的处理处罚。</w:t>
      </w:r>
    </w:p>
    <w:p>
      <w:pPr>
        <w:keepNext w:val="0"/>
        <w:keepLines w:val="0"/>
        <w:pageBreakBefore w:val="0"/>
        <w:widowControl w:val="0"/>
        <w:numPr>
          <w:ilvl w:val="0"/>
          <w:numId w:val="3"/>
        </w:numPr>
        <w:kinsoku/>
        <w:wordWrap/>
        <w:overflowPunct/>
        <w:topLinePunct w:val="0"/>
        <w:autoSpaceDE/>
        <w:autoSpaceDN/>
        <w:bidi w:val="0"/>
        <w:spacing w:line="560" w:lineRule="exact"/>
        <w:ind w:left="0" w:leftChars="0"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专项预算管理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本单位对四大类专项项目实行全生命周期绩效管理，确保程序规范、分配科学、绩效显著。</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程序严密、规划合理：所有项目均依据国家、省、州相关政策文件和全县教育事业发展规划申报立项，经过可行性研究、集体决策等规范程序。项目规划紧扣“改善办学条件”、“促进教育公平”、“强化队伍建设”等核心任务，具有充分的政策依据和现实需求，规划合理，前瞻性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结果符合、分配科学：项目资金的使用结果完全符合预定用途和政策目标。资金分配遵循“公平公正、突出重点、注重绩效”的原则，采用因素法、项目法等科学方法，精准投向薄弱学校和关键环节，分配方案合理，有效促进了教育资源优化配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分配及时：在收到上级转移支付和县本级项目资金后，均能按照项目实施进度和合同约定，及时、规范地将资金分配下达至具体项目实施单位或受益对象，无资金滞留、挪用现象，保障了项目的顺利启动和实施。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专项预算绩效目标完成情况：四大类项目绩效目标均圆满完成。</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学生资助类项目：惠及学生3476人，涵盖从学前到大学各学段，确保了困难学生应助尽助，无一名学生因贫失学，有效减轻了家庭负担，促进了教育公平。</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改善办学条件类项目：完成了初级中学提升改造、知木林寄小提升改造、5所学校食堂智能化建设、信息化设备采购等重点项目，消除了安全隐患，显著提升了学校硬件设施水平和办学能力。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教师队伍建设类项目：落实了农村教师生活补助、县城教师工作补助、学前辅导员劳务费等政策，惠及教师超700人次，稳定了教师队伍，激发了工作热情，支持了名师工作室建设和教师培训。</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开放大学经费：保障了开放大学教学活动的正常开展，组织考试4</w:t>
      </w:r>
      <w:bookmarkStart w:id="1" w:name="_GoBack"/>
      <w:bookmarkEnd w:id="1"/>
      <w:r>
        <w:rPr>
          <w:rFonts w:hint="eastAsia" w:ascii="仿宋_GB2312" w:hAnsi="仿宋" w:eastAsia="仿宋_GB2312" w:cs="仿宋_GB2312"/>
          <w:kern w:val="2"/>
          <w:sz w:val="32"/>
          <w:szCs w:val="32"/>
          <w:lang w:val="en-US" w:eastAsia="zh-CN" w:bidi="ar-SA"/>
        </w:rPr>
        <w:t>场</w:t>
      </w:r>
      <w:r>
        <w:rPr>
          <w:rFonts w:hint="default" w:ascii="仿宋_GB2312" w:hAnsi="仿宋" w:eastAsia="仿宋_GB2312" w:cs="仿宋_GB2312"/>
          <w:kern w:val="2"/>
          <w:sz w:val="32"/>
          <w:szCs w:val="32"/>
          <w:lang w:val="en-US" w:eastAsia="zh-CN" w:bidi="ar-SA"/>
        </w:rPr>
        <w:t>，顺利毕业15人，为我县干部群众学历提升提供了平台。</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实施绩效：专项项目实施效果显著，社会效益和群众满意度高。通过项目实施，学生学习生活环境明显改善，教师队伍焕发新活力，教育高质量发展基础更加坚实，为黑水县教育体育事业长远发展注入了强劲动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违规记录：所有专项预算项目资金管理规范，未出现任何违规违纪问题。</w:t>
      </w:r>
    </w:p>
    <w:p>
      <w:pPr>
        <w:keepNext w:val="0"/>
        <w:keepLines w:val="0"/>
        <w:pageBreakBefore w:val="0"/>
        <w:widowControl w:val="0"/>
        <w:numPr>
          <w:ilvl w:val="0"/>
          <w:numId w:val="3"/>
        </w:numPr>
        <w:kinsoku/>
        <w:wordWrap/>
        <w:overflowPunct/>
        <w:topLinePunct w:val="0"/>
        <w:autoSpaceDE/>
        <w:autoSpaceDN/>
        <w:bidi w:val="0"/>
        <w:spacing w:line="560" w:lineRule="exact"/>
        <w:ind w:left="0" w:leftChars="0"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结果应用情况</w:t>
      </w:r>
    </w:p>
    <w:p>
      <w:pPr>
        <w:pStyle w:val="2"/>
        <w:numPr>
          <w:ilvl w:val="0"/>
          <w:numId w:val="0"/>
        </w:numPr>
        <w:ind w:leftChars="200"/>
        <w:rPr>
          <w:rFonts w:hint="default"/>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我局高度重视绩效评价结果的运用，将其作为改进预算管理、提升资金效益和提高公共服务质量的重要依据，逐步建立“评价-反馈-应用-提升”的绩效管理良性循环机制。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部门自评质量：本次部门整体支出绩效自评工作，由局财务室牵头，各相关业务股室协同配合，严格依据县财政局规定的评价流程和指标体系开展。自评过程中，我们全面收集了预算批复文件、决算报表、财务凭证、工作总结、业务数据等支撑材料，确保评价过程有理有据、客观公正。自评报告内容完整、数据准确、分析深入，能够真实、全面地反映我局2024年度整体预算绩效情况，自评质量较高。</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 w:eastAsia="仿宋_GB2312" w:cs="仿宋_GB2312"/>
          <w:sz w:val="32"/>
          <w:szCs w:val="32"/>
        </w:rPr>
      </w:pPr>
      <w:r>
        <w:rPr>
          <w:rFonts w:hint="default" w:ascii="仿宋_GB2312" w:hAnsi="仿宋" w:eastAsia="仿宋_GB2312" w:cs="仿宋_GB2312"/>
          <w:sz w:val="32"/>
          <w:szCs w:val="32"/>
        </w:rPr>
        <w:t>公开情况：</w:t>
      </w:r>
      <w:r>
        <w:rPr>
          <w:rFonts w:hint="default" w:ascii="仿宋_GB2312" w:hAnsi="仿宋" w:eastAsia="仿宋_GB2312" w:cs="仿宋_GB2312"/>
          <w:kern w:val="2"/>
          <w:sz w:val="32"/>
          <w:szCs w:val="32"/>
          <w:lang w:val="en-US" w:eastAsia="zh-CN" w:bidi="ar-SA"/>
        </w:rPr>
        <w:t>已严格按照预决算信息公开要求，在批复后规定时间内，于黑水县人民政府官方网站同步公开了2024年度</w:t>
      </w:r>
      <w:r>
        <w:rPr>
          <w:rFonts w:hint="eastAsia" w:ascii="仿宋_GB2312" w:hAnsi="仿宋" w:eastAsia="仿宋_GB2312" w:cs="仿宋_GB2312"/>
          <w:kern w:val="2"/>
          <w:sz w:val="32"/>
          <w:szCs w:val="32"/>
          <w:lang w:val="en-US" w:eastAsia="zh-CN" w:bidi="ar-SA"/>
        </w:rPr>
        <w:t>部门预算</w:t>
      </w:r>
      <w:r>
        <w:rPr>
          <w:rFonts w:hint="default" w:ascii="仿宋_GB2312" w:hAnsi="仿宋" w:eastAsia="仿宋_GB2312" w:cs="仿宋_GB2312"/>
          <w:kern w:val="2"/>
          <w:sz w:val="32"/>
          <w:szCs w:val="32"/>
          <w:lang w:val="en-US" w:eastAsia="zh-CN" w:bidi="ar-SA"/>
        </w:rPr>
        <w:t>。本次决算公开</w:t>
      </w:r>
      <w:r>
        <w:rPr>
          <w:rFonts w:hint="eastAsia" w:ascii="仿宋_GB2312" w:hAnsi="仿宋" w:eastAsia="仿宋_GB2312" w:cs="仿宋_GB2312"/>
          <w:kern w:val="2"/>
          <w:sz w:val="32"/>
          <w:szCs w:val="32"/>
          <w:lang w:val="en-US" w:eastAsia="zh-CN" w:bidi="ar-SA"/>
        </w:rPr>
        <w:t>附</w:t>
      </w:r>
      <w:r>
        <w:rPr>
          <w:rFonts w:hint="default" w:ascii="仿宋_GB2312" w:hAnsi="仿宋" w:eastAsia="仿宋_GB2312" w:cs="仿宋_GB2312"/>
          <w:sz w:val="32"/>
          <w:szCs w:val="32"/>
        </w:rPr>
        <w:t>《部门整体支出绩效评价报告》</w:t>
      </w:r>
      <w:r>
        <w:rPr>
          <w:rFonts w:hint="default" w:ascii="仿宋_GB2312" w:hAnsi="仿宋" w:eastAsia="仿宋_GB2312" w:cs="仿宋_GB2312"/>
          <w:kern w:val="2"/>
          <w:sz w:val="32"/>
          <w:szCs w:val="32"/>
          <w:lang w:val="en-US" w:eastAsia="zh-CN" w:bidi="ar-SA"/>
        </w:rPr>
        <w:t>，主动接受社会公众监督，提高财政资金使用的透明度和公信力。</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评价结果整改和应用结果反馈：</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结果应用：将本次绩效评价结果与2025年预算编制和政策调整紧密结合。对绩效优良的支出方向和项目予以优先保障；对评价反映出的管理薄弱环节，作为优化内控流程、加强资金监管的重要参考。</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 w:eastAsia="仿宋_GB2312" w:cs="仿宋_GB2312"/>
          <w:sz w:val="32"/>
          <w:szCs w:val="32"/>
        </w:rPr>
      </w:pPr>
      <w:r>
        <w:rPr>
          <w:rFonts w:hint="eastAsia" w:ascii="仿宋_GB2312" w:hAnsi="仿宋_GB2312" w:eastAsia="仿宋_GB2312" w:cs="仿宋_GB2312"/>
          <w:sz w:val="32"/>
          <w:szCs w:val="32"/>
        </w:rPr>
        <w:t>反馈与整改：</w:t>
      </w:r>
      <w:r>
        <w:rPr>
          <w:rFonts w:hint="default" w:ascii="仿宋_GB2312" w:hAnsi="仿宋" w:eastAsia="仿宋_GB2312" w:cs="仿宋_GB2312"/>
          <w:sz w:val="32"/>
          <w:szCs w:val="32"/>
        </w:rPr>
        <w:t>虽然本次评价显示我局整体支出绩效目标完成良好，未发现重大问题和违规情况，但我们仍坚持问题导向。对于自评中发现的可以进一步提升的方面</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已向相关股室进行了内部反馈，并要求其制定细微的改进措施，在2025年预算执行中予以落实，持续提升管理水平和绩效意识。</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7"/>
        <w:keepNext w:val="0"/>
        <w:keepLines w:val="0"/>
        <w:widowControl/>
        <w:suppressLineNumbers w:val="0"/>
        <w:shd w:val="clear" w:fill="FFFFFF"/>
        <w:spacing w:before="0" w:beforeAutospacing="1" w:after="0" w:afterAutospacing="1"/>
        <w:ind w:left="0" w:right="0" w:firstLine="640" w:firstLineChars="200"/>
      </w:pPr>
      <w:r>
        <w:rPr>
          <w:rFonts w:hint="default" w:ascii="仿宋_GB2312" w:hAnsi="仿宋" w:eastAsia="仿宋_GB2312" w:cs="仿宋_GB2312"/>
          <w:kern w:val="2"/>
          <w:sz w:val="32"/>
          <w:szCs w:val="32"/>
          <w:lang w:val="en-US" w:eastAsia="zh-CN" w:bidi="ar-SA"/>
        </w:rPr>
        <w:t>综上所述，黑水县教育和体育局</w:t>
      </w:r>
      <w:r>
        <w:rPr>
          <w:rFonts w:hint="eastAsia" w:ascii="仿宋_GB2312" w:hAnsi="仿宋" w:eastAsia="仿宋_GB2312" w:cs="仿宋_GB2312"/>
          <w:kern w:val="2"/>
          <w:sz w:val="32"/>
          <w:szCs w:val="32"/>
          <w:lang w:val="en-US" w:eastAsia="zh-CN" w:bidi="ar-SA"/>
        </w:rPr>
        <w:t>（事业）</w:t>
      </w:r>
      <w:r>
        <w:rPr>
          <w:rFonts w:hint="default" w:ascii="仿宋_GB2312" w:hAnsi="仿宋" w:eastAsia="仿宋_GB2312" w:cs="仿宋_GB2312"/>
          <w:kern w:val="2"/>
          <w:sz w:val="32"/>
          <w:szCs w:val="32"/>
          <w:lang w:val="en-US" w:eastAsia="zh-CN" w:bidi="ar-SA"/>
        </w:rPr>
        <w:t>2024年度部门整体支出绩效自评</w:t>
      </w:r>
      <w:r>
        <w:rPr>
          <w:rFonts w:hint="eastAsia" w:ascii="仿宋_GB2312" w:hAnsi="仿宋" w:eastAsia="仿宋_GB2312" w:cs="仿宋_GB2312"/>
          <w:kern w:val="2"/>
          <w:sz w:val="32"/>
          <w:szCs w:val="32"/>
          <w:lang w:val="en-US" w:eastAsia="zh-CN" w:bidi="ar-SA"/>
        </w:rPr>
        <w:t>良好，</w:t>
      </w:r>
      <w:r>
        <w:rPr>
          <w:rFonts w:hint="default" w:ascii="仿宋_GB2312" w:hAnsi="仿宋" w:eastAsia="仿宋_GB2312" w:cs="仿宋_GB2312"/>
          <w:kern w:val="2"/>
          <w:sz w:val="32"/>
          <w:szCs w:val="32"/>
          <w:lang w:val="en-US" w:eastAsia="zh-CN" w:bidi="ar-SA"/>
        </w:rPr>
        <w:t>部门整体和专项预算绩效目标明确，管理规范有序，资金使用</w:t>
      </w:r>
      <w:r>
        <w:rPr>
          <w:rFonts w:hint="eastAsia" w:ascii="仿宋_GB2312" w:hAnsi="仿宋" w:eastAsia="仿宋_GB2312" w:cs="仿宋_GB2312"/>
          <w:kern w:val="2"/>
          <w:sz w:val="32"/>
          <w:szCs w:val="32"/>
          <w:lang w:val="en-US" w:eastAsia="zh-CN" w:bidi="ar-SA"/>
        </w:rPr>
        <w:t>有</w:t>
      </w:r>
      <w:r>
        <w:rPr>
          <w:rFonts w:hint="default" w:ascii="仿宋_GB2312" w:hAnsi="仿宋" w:eastAsia="仿宋_GB2312" w:cs="仿宋_GB2312"/>
          <w:kern w:val="2"/>
          <w:sz w:val="32"/>
          <w:szCs w:val="32"/>
          <w:lang w:val="en-US" w:eastAsia="zh-CN" w:bidi="ar-SA"/>
        </w:rPr>
        <w:t>效，全面完成了年度各项任务，财政资金发挥了良好的经济效益和社会效益，有力推动了全县教育事业</w:t>
      </w:r>
      <w:r>
        <w:rPr>
          <w:rFonts w:hint="eastAsia" w:ascii="仿宋_GB2312" w:hAnsi="仿宋" w:eastAsia="仿宋_GB2312" w:cs="仿宋_GB2312"/>
          <w:kern w:val="2"/>
          <w:sz w:val="32"/>
          <w:szCs w:val="32"/>
          <w:lang w:val="en-US" w:eastAsia="zh-CN" w:bidi="ar-SA"/>
        </w:rPr>
        <w:t>较</w:t>
      </w:r>
      <w:r>
        <w:rPr>
          <w:rFonts w:hint="default" w:ascii="仿宋_GB2312" w:hAnsi="仿宋" w:eastAsia="仿宋_GB2312" w:cs="仿宋_GB2312"/>
          <w:kern w:val="2"/>
          <w:sz w:val="32"/>
          <w:szCs w:val="32"/>
          <w:lang w:val="en-US" w:eastAsia="zh-CN" w:bidi="ar-SA"/>
        </w:rPr>
        <w:t>高质量发展。</w:t>
      </w:r>
    </w:p>
    <w:p>
      <w:pPr>
        <w:numPr>
          <w:ilvl w:val="0"/>
          <w:numId w:val="4"/>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预算编制精细化有待加强：部分项目预算因规划前瞻性不足或年中政策变化，执行中仍需调整，精准度可进一步提升。</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绩效指标量化精度需提升：部分效益指标，如“教育质量提升程度”、“社会满意度”等，仍较多依赖定性描述，需探索建立更科学、可量化的测量体系与数据支撑。</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部分项目资金执行进度不均：受资金下达时间、项目前期工作进度等因素影响，部分项目资金支付存在“前慢后快”现象，均衡性需改善。</w:t>
      </w:r>
    </w:p>
    <w:p>
      <w:pPr>
        <w:pStyle w:val="2"/>
        <w:numPr>
          <w:ilvl w:val="0"/>
          <w:numId w:val="0"/>
        </w:numPr>
      </w:pPr>
    </w:p>
    <w:p>
      <w:pPr>
        <w:numPr>
          <w:ilvl w:val="0"/>
          <w:numId w:val="4"/>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 w:eastAsia="仿宋_GB2312" w:cs="仿宋_GB2312"/>
          <w:kern w:val="2"/>
          <w:sz w:val="32"/>
          <w:szCs w:val="32"/>
          <w:lang w:val="en-US" w:eastAsia="zh-CN" w:bidi="ar-SA"/>
        </w:rPr>
      </w:pPr>
      <w:r>
        <w:rPr>
          <w:rFonts w:hint="default" w:ascii="仿宋_GB2312" w:hAnsi="仿宋" w:eastAsia="仿宋_GB2312" w:cs="仿宋_GB2312"/>
          <w:kern w:val="2"/>
          <w:sz w:val="32"/>
          <w:szCs w:val="32"/>
          <w:lang w:val="en-US" w:eastAsia="zh-CN" w:bidi="ar-SA"/>
        </w:rPr>
        <w:t>强化预算精准编制</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加强前瞻研究和政策研判，深化项目库建设，提高项目储备质量和预算编制精准度，减少执行中的调整频次。优化绩效指标体系</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健全事中绩效监控机制</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加快预算执行进度</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硬化评价结果应用</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进一步完善内部管理制度，强化绩效评价结果与预算安排、真正实现“花钱必问效、无效要问责、低效多压减、有效多安排”。</w:t>
      </w:r>
    </w:p>
    <w:p>
      <w:pPr>
        <w:pStyle w:val="2"/>
        <w:numPr>
          <w:ilvl w:val="0"/>
          <w:numId w:val="0"/>
        </w:numPr>
        <w:ind w:leftChars="200"/>
      </w:pPr>
    </w:p>
    <w:p>
      <w:pPr>
        <w:spacing w:line="580" w:lineRule="exact"/>
        <w:ind w:firstLine="640" w:firstLineChars="200"/>
        <w:rPr>
          <w:rFonts w:ascii="仿宋_GB2312" w:hAnsi="仿宋_GB2312" w:eastAsia="仿宋_GB2312" w:cs="仿宋_GB2312"/>
          <w:sz w:val="32"/>
          <w:szCs w:val="32"/>
        </w:r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69F3D"/>
    <w:multiLevelType w:val="singleLevel"/>
    <w:tmpl w:val="BEC69F3D"/>
    <w:lvl w:ilvl="0" w:tentative="0">
      <w:start w:val="2"/>
      <w:numFmt w:val="chineseCounting"/>
      <w:suff w:val="nothing"/>
      <w:lvlText w:val="%1、"/>
      <w:lvlJc w:val="left"/>
      <w:rPr>
        <w:rFonts w:hint="eastAsia"/>
      </w:rPr>
    </w:lvl>
  </w:abstractNum>
  <w:abstractNum w:abstractNumId="1">
    <w:nsid w:val="C1831CC4"/>
    <w:multiLevelType w:val="singleLevel"/>
    <w:tmpl w:val="C1831CC4"/>
    <w:lvl w:ilvl="0" w:tentative="0">
      <w:start w:val="1"/>
      <w:numFmt w:val="chineseCounting"/>
      <w:suff w:val="nothing"/>
      <w:lvlText w:val="（%1）"/>
      <w:lvlJc w:val="left"/>
      <w:rPr>
        <w:rFonts w:hint="eastAsia"/>
      </w:rPr>
    </w:lvl>
  </w:abstractNum>
  <w:abstractNum w:abstractNumId="2">
    <w:nsid w:val="3A2E38B7"/>
    <w:multiLevelType w:val="singleLevel"/>
    <w:tmpl w:val="3A2E38B7"/>
    <w:lvl w:ilvl="0" w:tentative="0">
      <w:start w:val="2"/>
      <w:numFmt w:val="chineseCounting"/>
      <w:suff w:val="nothing"/>
      <w:lvlText w:val="（%1）"/>
      <w:lvlJc w:val="left"/>
      <w:rPr>
        <w:rFonts w:hint="eastAsia"/>
      </w:rPr>
    </w:lvl>
  </w:abstractNum>
  <w:abstractNum w:abstractNumId="3">
    <w:nsid w:val="44729348"/>
    <w:multiLevelType w:val="singleLevel"/>
    <w:tmpl w:val="44729348"/>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3C13B99"/>
    <w:rsid w:val="03C147A5"/>
    <w:rsid w:val="053C0B4A"/>
    <w:rsid w:val="067122EE"/>
    <w:rsid w:val="07B37D70"/>
    <w:rsid w:val="09A0322C"/>
    <w:rsid w:val="0B1A6A5F"/>
    <w:rsid w:val="0CC070B2"/>
    <w:rsid w:val="0D436CB3"/>
    <w:rsid w:val="0FC743F0"/>
    <w:rsid w:val="0FC8493A"/>
    <w:rsid w:val="10F07322"/>
    <w:rsid w:val="12DA3DAC"/>
    <w:rsid w:val="1434585C"/>
    <w:rsid w:val="16E44D7C"/>
    <w:rsid w:val="18693874"/>
    <w:rsid w:val="18780EB7"/>
    <w:rsid w:val="197A3801"/>
    <w:rsid w:val="19D964C4"/>
    <w:rsid w:val="1F0F05E6"/>
    <w:rsid w:val="26A02BA8"/>
    <w:rsid w:val="282E7349"/>
    <w:rsid w:val="2BDB3AEB"/>
    <w:rsid w:val="2C337AA2"/>
    <w:rsid w:val="2CAD4A6E"/>
    <w:rsid w:val="2D1D35EE"/>
    <w:rsid w:val="2D3B11C8"/>
    <w:rsid w:val="2E5E6967"/>
    <w:rsid w:val="2EF95555"/>
    <w:rsid w:val="2F042AB9"/>
    <w:rsid w:val="315911CF"/>
    <w:rsid w:val="338432D9"/>
    <w:rsid w:val="33983D74"/>
    <w:rsid w:val="33C27184"/>
    <w:rsid w:val="343E75A3"/>
    <w:rsid w:val="34EB1F43"/>
    <w:rsid w:val="36435EC2"/>
    <w:rsid w:val="3AB45C66"/>
    <w:rsid w:val="416A3EE9"/>
    <w:rsid w:val="4174252B"/>
    <w:rsid w:val="4225484A"/>
    <w:rsid w:val="43065D50"/>
    <w:rsid w:val="43EB7E23"/>
    <w:rsid w:val="44BB11B1"/>
    <w:rsid w:val="45822B8E"/>
    <w:rsid w:val="46354EE5"/>
    <w:rsid w:val="46E6043B"/>
    <w:rsid w:val="473F05A0"/>
    <w:rsid w:val="47973AE2"/>
    <w:rsid w:val="4A512447"/>
    <w:rsid w:val="4B2B4994"/>
    <w:rsid w:val="4C64640B"/>
    <w:rsid w:val="4DD97D2F"/>
    <w:rsid w:val="50345847"/>
    <w:rsid w:val="51CF5D41"/>
    <w:rsid w:val="52BA574A"/>
    <w:rsid w:val="53492729"/>
    <w:rsid w:val="54DE28B3"/>
    <w:rsid w:val="554546FC"/>
    <w:rsid w:val="56316809"/>
    <w:rsid w:val="58B52E81"/>
    <w:rsid w:val="58B530FB"/>
    <w:rsid w:val="59325242"/>
    <w:rsid w:val="5F952B8E"/>
    <w:rsid w:val="60D032A5"/>
    <w:rsid w:val="611C2AC0"/>
    <w:rsid w:val="61F02B90"/>
    <w:rsid w:val="62886858"/>
    <w:rsid w:val="63387CCA"/>
    <w:rsid w:val="69793B23"/>
    <w:rsid w:val="69A008C5"/>
    <w:rsid w:val="6B862CFA"/>
    <w:rsid w:val="6CCC62A3"/>
    <w:rsid w:val="6D032FF4"/>
    <w:rsid w:val="6DAD4AD6"/>
    <w:rsid w:val="74A077D7"/>
    <w:rsid w:val="7C1B2524"/>
    <w:rsid w:val="7C4B21B9"/>
    <w:rsid w:val="7CC3227F"/>
    <w:rsid w:val="7D30590F"/>
    <w:rsid w:val="7EB26802"/>
    <w:rsid w:val="7F7F5A40"/>
    <w:rsid w:val="FE777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332</Words>
  <Characters>337</Characters>
  <Lines>2</Lines>
  <Paragraphs>1</Paragraphs>
  <TotalTime>8</TotalTime>
  <ScaleCrop>false</ScaleCrop>
  <LinksUpToDate>false</LinksUpToDate>
  <CharactersWithSpaces>337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2025-08-30T15:59:30Z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3115989309D741DA945EE44A488D69E1</vt:lpwstr>
  </property>
</Properties>
</file>