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lang w:val="en-US" w:eastAsia="zh-CN"/>
        </w:rPr>
      </w:pPr>
      <w:bookmarkStart w:id="0" w:name="_Toc15396616"/>
      <w:r>
        <w:rPr>
          <w:rFonts w:hint="eastAsia" w:ascii="仿宋_GB2312" w:hAnsi="黑体" w:eastAsia="仿宋_GB2312" w:cs="方正小标宋简体"/>
          <w:b/>
          <w:sz w:val="32"/>
          <w:szCs w:val="32"/>
          <w:lang w:val="en-US" w:eastAsia="zh-CN"/>
        </w:rPr>
        <w:t>黑水县教育和体育局（本级）</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年部门整体支出绩效评价报告</w:t>
      </w:r>
      <w:bookmarkEnd w:id="0"/>
    </w:p>
    <w:p>
      <w:pPr>
        <w:spacing w:line="580" w:lineRule="exact"/>
        <w:ind w:firstLine="642" w:firstLineChars="200"/>
        <w:rPr>
          <w:rFonts w:ascii="仿宋_GB2312" w:hAnsi="黑体" w:eastAsia="仿宋_GB2312" w:cs="黑体"/>
          <w:b/>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keepNext w:val="0"/>
        <w:keepLines w:val="0"/>
        <w:pageBreakBefore w:val="0"/>
        <w:widowControl w:val="0"/>
        <w:kinsoku/>
        <w:wordWrap/>
        <w:overflowPunct/>
        <w:topLinePunct w:val="0"/>
        <w:autoSpaceDE/>
        <w:autoSpaceDN/>
        <w:bidi w:val="0"/>
        <w:spacing w:line="560" w:lineRule="exact"/>
        <w:ind w:firstLine="750" w:firstLineChars="250"/>
        <w:textAlignment w:val="auto"/>
        <w:rPr>
          <w:rFonts w:hint="eastAsia" w:ascii="仿宋" w:hAnsi="仿宋" w:eastAsia="仿宋" w:cs="仿宋"/>
          <w:color w:val="FF0000"/>
          <w:sz w:val="30"/>
          <w:szCs w:val="30"/>
        </w:rPr>
      </w:pPr>
      <w:r>
        <w:rPr>
          <w:rFonts w:hint="eastAsia" w:ascii="仿宋" w:hAnsi="仿宋" w:eastAsia="仿宋" w:cs="仿宋"/>
          <w:color w:val="000000" w:themeColor="text1"/>
          <w:sz w:val="30"/>
          <w:szCs w:val="30"/>
          <w:lang w:eastAsia="zh-CN"/>
          <w14:textFill>
            <w14:solidFill>
              <w14:schemeClr w14:val="tx1"/>
            </w14:solidFill>
          </w14:textFill>
        </w:rPr>
        <w:t>黑水县教育和体育局</w:t>
      </w:r>
      <w:r>
        <w:rPr>
          <w:rFonts w:hint="eastAsia" w:ascii="仿宋" w:hAnsi="仿宋" w:eastAsia="仿宋" w:cs="仿宋"/>
          <w:color w:val="000000" w:themeColor="text1"/>
          <w:sz w:val="30"/>
          <w:szCs w:val="30"/>
          <w14:textFill>
            <w14:solidFill>
              <w14:schemeClr w14:val="tx1"/>
            </w14:solidFill>
          </w14:textFill>
        </w:rPr>
        <w:t>下属二级单位1</w:t>
      </w:r>
      <w:r>
        <w:rPr>
          <w:rFonts w:hint="eastAsia" w:ascii="仿宋" w:hAnsi="仿宋" w:eastAsia="仿宋" w:cs="仿宋"/>
          <w:color w:val="000000" w:themeColor="text1"/>
          <w:sz w:val="30"/>
          <w:szCs w:val="30"/>
          <w:lang w:val="en-US" w:eastAsia="zh-CN"/>
          <w14:textFill>
            <w14:solidFill>
              <w14:schemeClr w14:val="tx1"/>
            </w14:solidFill>
          </w14:textFill>
        </w:rPr>
        <w:t>4</w:t>
      </w:r>
      <w:r>
        <w:rPr>
          <w:rFonts w:hint="eastAsia" w:ascii="仿宋" w:hAnsi="仿宋" w:eastAsia="仿宋" w:cs="仿宋"/>
          <w:color w:val="000000" w:themeColor="text1"/>
          <w:sz w:val="30"/>
          <w:szCs w:val="30"/>
          <w14:textFill>
            <w14:solidFill>
              <w14:schemeClr w14:val="tx1"/>
            </w14:solidFill>
          </w14:textFill>
        </w:rPr>
        <w:t>个，其中行政单位1个，参照公务员法管理的事业单位</w:t>
      </w:r>
      <w:r>
        <w:rPr>
          <w:rFonts w:hint="eastAsia" w:ascii="仿宋" w:hAnsi="仿宋" w:eastAsia="仿宋" w:cs="仿宋"/>
          <w:bCs/>
          <w:color w:val="000000" w:themeColor="text1"/>
          <w:sz w:val="30"/>
          <w:szCs w:val="30"/>
          <w14:textFill>
            <w14:solidFill>
              <w14:schemeClr w14:val="tx1"/>
            </w14:solidFill>
          </w14:textFill>
        </w:rPr>
        <w:t>0</w:t>
      </w:r>
      <w:r>
        <w:rPr>
          <w:rFonts w:hint="eastAsia" w:ascii="仿宋" w:hAnsi="仿宋" w:eastAsia="仿宋" w:cs="仿宋"/>
          <w:color w:val="000000" w:themeColor="text1"/>
          <w:sz w:val="30"/>
          <w:szCs w:val="30"/>
          <w14:textFill>
            <w14:solidFill>
              <w14:schemeClr w14:val="tx1"/>
            </w14:solidFill>
          </w14:textFill>
        </w:rPr>
        <w:t>个，其他事业单位1</w:t>
      </w:r>
      <w:r>
        <w:rPr>
          <w:rFonts w:hint="eastAsia" w:ascii="仿宋" w:hAnsi="仿宋" w:eastAsia="仿宋" w:cs="仿宋"/>
          <w:color w:val="000000" w:themeColor="text1"/>
          <w:sz w:val="30"/>
          <w:szCs w:val="30"/>
          <w:lang w:val="en-US" w:eastAsia="zh-CN"/>
          <w14:textFill>
            <w14:solidFill>
              <w14:schemeClr w14:val="tx1"/>
            </w14:solidFill>
          </w14:textFill>
        </w:rPr>
        <w:t>3</w:t>
      </w:r>
      <w:r>
        <w:rPr>
          <w:rFonts w:hint="eastAsia" w:ascii="仿宋" w:hAnsi="仿宋" w:eastAsia="仿宋" w:cs="仿宋"/>
          <w:color w:val="000000" w:themeColor="text1"/>
          <w:sz w:val="30"/>
          <w:szCs w:val="30"/>
          <w14:textFill>
            <w14:solidFill>
              <w14:schemeClr w14:val="tx1"/>
            </w14:solidFill>
          </w14:textFill>
        </w:rPr>
        <w:t>个。</w:t>
      </w:r>
    </w:p>
    <w:p>
      <w:pPr>
        <w:pStyle w:val="4"/>
        <w:keepNext w:val="0"/>
        <w:keepLines w:val="0"/>
        <w:pageBreakBefore w:val="0"/>
        <w:widowControl w:val="0"/>
        <w:kinsoku/>
        <w:wordWrap/>
        <w:overflowPunct/>
        <w:topLinePunct w:val="0"/>
        <w:autoSpaceDE/>
        <w:autoSpaceDN/>
        <w:bidi w:val="0"/>
        <w:adjustRightInd w:val="0"/>
        <w:snapToGrid w:val="0"/>
        <w:spacing w:beforeLines="0" w:line="560" w:lineRule="exact"/>
        <w:ind w:firstLine="630" w:firstLineChars="210"/>
        <w:textAlignment w:val="auto"/>
        <w:rPr>
          <w:rFonts w:hint="eastAsia"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纳入</w:t>
      </w:r>
      <w:r>
        <w:rPr>
          <w:rFonts w:hint="eastAsia" w:ascii="仿宋" w:hAnsi="仿宋" w:eastAsia="仿宋" w:cs="仿宋"/>
          <w:color w:val="000000" w:themeColor="text1"/>
          <w:sz w:val="30"/>
          <w:szCs w:val="30"/>
          <w:lang w:eastAsia="zh-CN"/>
          <w14:textFill>
            <w14:solidFill>
              <w14:schemeClr w14:val="tx1"/>
            </w14:solidFill>
          </w14:textFill>
        </w:rPr>
        <w:t>黑水县教育和体育局</w:t>
      </w:r>
      <w:r>
        <w:rPr>
          <w:rFonts w:hint="eastAsia" w:ascii="仿宋" w:hAnsi="仿宋" w:eastAsia="仿宋" w:cs="仿宋"/>
          <w:color w:val="000000" w:themeColor="text1"/>
          <w:sz w:val="30"/>
          <w:szCs w:val="30"/>
          <w14:textFill>
            <w14:solidFill>
              <w14:schemeClr w14:val="tx1"/>
            </w14:solidFill>
          </w14:textFill>
        </w:rPr>
        <w:t>202</w:t>
      </w:r>
      <w:r>
        <w:rPr>
          <w:rFonts w:hint="eastAsia" w:ascii="仿宋" w:hAnsi="仿宋" w:eastAsia="仿宋" w:cs="仿宋"/>
          <w:color w:val="000000" w:themeColor="text1"/>
          <w:sz w:val="30"/>
          <w:szCs w:val="30"/>
          <w:lang w:val="en-US" w:eastAsia="zh-CN"/>
          <w14:textFill>
            <w14:solidFill>
              <w14:schemeClr w14:val="tx1"/>
            </w14:solidFill>
          </w14:textFill>
        </w:rPr>
        <w:t>4</w:t>
      </w:r>
      <w:r>
        <w:rPr>
          <w:rFonts w:hint="eastAsia" w:ascii="仿宋" w:hAnsi="仿宋" w:eastAsia="仿宋" w:cs="仿宋"/>
          <w:color w:val="000000" w:themeColor="text1"/>
          <w:sz w:val="30"/>
          <w:szCs w:val="30"/>
          <w14:textFill>
            <w14:solidFill>
              <w14:schemeClr w14:val="tx1"/>
            </w14:solidFill>
          </w14:textFill>
        </w:rPr>
        <w:t>年度部门决算编制范围的二级预算单位包括：</w:t>
      </w:r>
    </w:p>
    <w:p>
      <w:pPr>
        <w:pStyle w:val="4"/>
        <w:keepNext w:val="0"/>
        <w:keepLines w:val="0"/>
        <w:pageBreakBefore w:val="0"/>
        <w:widowControl w:val="0"/>
        <w:numPr>
          <w:ilvl w:val="0"/>
          <w:numId w:val="1"/>
        </w:numPr>
        <w:kinsoku/>
        <w:wordWrap/>
        <w:overflowPunct/>
        <w:topLinePunct w:val="0"/>
        <w:autoSpaceDE/>
        <w:autoSpaceDN/>
        <w:bidi w:val="0"/>
        <w:adjustRightInd w:val="0"/>
        <w:snapToGrid w:val="0"/>
        <w:spacing w:beforeLines="0" w:line="560" w:lineRule="exact"/>
        <w:textAlignment w:val="auto"/>
        <w:outlineLvl w:val="2"/>
        <w:rPr>
          <w:rFonts w:hint="eastAsia"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教</w:t>
      </w:r>
      <w:r>
        <w:rPr>
          <w:rFonts w:hint="eastAsia" w:ascii="仿宋" w:hAnsi="仿宋" w:eastAsia="仿宋" w:cs="仿宋"/>
          <w:color w:val="000000" w:themeColor="text1"/>
          <w:sz w:val="30"/>
          <w:szCs w:val="30"/>
          <w:lang w:val="en-US" w:eastAsia="zh-CN"/>
          <w14:textFill>
            <w14:solidFill>
              <w14:schemeClr w14:val="tx1"/>
            </w14:solidFill>
          </w14:textFill>
        </w:rPr>
        <w:t>体</w:t>
      </w:r>
      <w:r>
        <w:rPr>
          <w:rFonts w:hint="eastAsia" w:ascii="仿宋" w:hAnsi="仿宋" w:eastAsia="仿宋" w:cs="仿宋"/>
          <w:color w:val="000000" w:themeColor="text1"/>
          <w:sz w:val="30"/>
          <w:szCs w:val="30"/>
          <w14:textFill>
            <w14:solidFill>
              <w14:schemeClr w14:val="tx1"/>
            </w14:solidFill>
          </w14:textFill>
        </w:rPr>
        <w:t>局行政：</w:t>
      </w:r>
      <w:r>
        <w:rPr>
          <w:rFonts w:hint="eastAsia" w:ascii="仿宋" w:hAnsi="仿宋" w:eastAsia="仿宋" w:cs="仿宋"/>
          <w:color w:val="000000"/>
          <w:sz w:val="30"/>
          <w:szCs w:val="30"/>
        </w:rPr>
        <w:t>内设机构4个,分别为办公室、政工人事股、计财股、县人民政府教育督导室。</w:t>
      </w:r>
    </w:p>
    <w:p>
      <w:pPr>
        <w:pStyle w:val="4"/>
        <w:keepNext w:val="0"/>
        <w:keepLines w:val="0"/>
        <w:pageBreakBefore w:val="0"/>
        <w:widowControl w:val="0"/>
        <w:numPr>
          <w:ilvl w:val="0"/>
          <w:numId w:val="1"/>
        </w:numPr>
        <w:kinsoku/>
        <w:wordWrap/>
        <w:overflowPunct/>
        <w:topLinePunct w:val="0"/>
        <w:autoSpaceDE/>
        <w:autoSpaceDN/>
        <w:bidi w:val="0"/>
        <w:adjustRightInd w:val="0"/>
        <w:snapToGrid w:val="0"/>
        <w:spacing w:beforeLines="0" w:line="560" w:lineRule="exact"/>
        <w:textAlignment w:val="auto"/>
        <w:outlineLvl w:val="2"/>
        <w:rPr>
          <w:rFonts w:ascii="仿宋" w:hAnsi="仿宋" w:eastAsia="仿宋"/>
          <w:color w:val="000000"/>
        </w:rPr>
      </w:pPr>
      <w:r>
        <w:rPr>
          <w:rFonts w:hint="eastAsia" w:ascii="仿宋" w:hAnsi="仿宋" w:eastAsia="仿宋" w:cs="仿宋"/>
          <w:color w:val="000000"/>
          <w:sz w:val="30"/>
          <w:szCs w:val="30"/>
        </w:rPr>
        <w:t>教</w:t>
      </w:r>
      <w:r>
        <w:rPr>
          <w:rFonts w:hint="eastAsia" w:ascii="仿宋" w:hAnsi="仿宋" w:eastAsia="仿宋" w:cs="仿宋"/>
          <w:color w:val="000000"/>
          <w:sz w:val="30"/>
          <w:szCs w:val="30"/>
          <w:lang w:val="en-US" w:eastAsia="zh-CN"/>
        </w:rPr>
        <w:t>体</w:t>
      </w:r>
      <w:r>
        <w:rPr>
          <w:rFonts w:hint="eastAsia" w:ascii="仿宋" w:hAnsi="仿宋" w:eastAsia="仿宋" w:cs="仿宋"/>
          <w:color w:val="000000"/>
          <w:sz w:val="30"/>
          <w:szCs w:val="30"/>
        </w:rPr>
        <w:t>局教</w:t>
      </w:r>
      <w:r>
        <w:rPr>
          <w:rFonts w:ascii="仿宋" w:hAnsi="仿宋" w:eastAsia="仿宋"/>
          <w:color w:val="000000"/>
        </w:rPr>
        <w:t>师进修校（</w:t>
      </w:r>
      <w:r>
        <w:rPr>
          <w:rFonts w:hint="eastAsia" w:ascii="仿宋" w:hAnsi="仿宋" w:eastAsia="仿宋"/>
          <w:color w:val="000000"/>
          <w:lang w:eastAsia="zh-CN"/>
        </w:rPr>
        <w:t>教体局</w:t>
      </w:r>
      <w:r>
        <w:rPr>
          <w:rFonts w:ascii="仿宋" w:hAnsi="仿宋" w:eastAsia="仿宋"/>
          <w:color w:val="000000"/>
        </w:rPr>
        <w:t>事业）:内设股室</w:t>
      </w:r>
      <w:r>
        <w:rPr>
          <w:rFonts w:hint="eastAsia" w:ascii="仿宋" w:hAnsi="仿宋" w:eastAsia="仿宋"/>
          <w:color w:val="000000"/>
          <w:lang w:val="en-US" w:eastAsia="zh-CN"/>
        </w:rPr>
        <w:t>8</w:t>
      </w:r>
      <w:r>
        <w:rPr>
          <w:rFonts w:ascii="仿宋" w:hAnsi="仿宋" w:eastAsia="仿宋"/>
          <w:color w:val="000000"/>
        </w:rPr>
        <w:t>个，分别为</w:t>
      </w:r>
      <w:r>
        <w:rPr>
          <w:rFonts w:hint="eastAsia" w:ascii="仿宋" w:hAnsi="仿宋" w:eastAsia="仿宋"/>
          <w:color w:val="000000"/>
          <w:lang w:val="en-US" w:eastAsia="zh-CN"/>
        </w:rPr>
        <w:t>党委办、教育考试服务中心</w:t>
      </w:r>
      <w:r>
        <w:rPr>
          <w:rFonts w:ascii="仿宋" w:hAnsi="仿宋" w:eastAsia="仿宋"/>
          <w:color w:val="000000"/>
        </w:rPr>
        <w:t>、教师进修校、基础教育股、教仪电教站、教研室、安全办公室、学生资助管理中心。</w:t>
      </w:r>
    </w:p>
    <w:p>
      <w:pPr>
        <w:pStyle w:val="4"/>
        <w:keepNext w:val="0"/>
        <w:keepLines w:val="0"/>
        <w:pageBreakBefore w:val="0"/>
        <w:widowControl w:val="0"/>
        <w:numPr>
          <w:ilvl w:val="0"/>
          <w:numId w:val="1"/>
        </w:numPr>
        <w:kinsoku/>
        <w:wordWrap/>
        <w:overflowPunct/>
        <w:topLinePunct w:val="0"/>
        <w:autoSpaceDE/>
        <w:autoSpaceDN/>
        <w:bidi w:val="0"/>
        <w:adjustRightInd w:val="0"/>
        <w:snapToGrid w:val="0"/>
        <w:spacing w:beforeLines="0" w:line="560" w:lineRule="exact"/>
        <w:textAlignment w:val="auto"/>
        <w:outlineLvl w:val="2"/>
        <w:rPr>
          <w:rFonts w:ascii="仿宋" w:hAnsi="仿宋" w:eastAsia="仿宋"/>
          <w:color w:val="000000"/>
          <w:sz w:val="28"/>
          <w:szCs w:val="28"/>
        </w:rPr>
      </w:pPr>
      <w:r>
        <w:rPr>
          <w:rFonts w:ascii="仿宋" w:hAnsi="仿宋" w:eastAsia="仿宋"/>
          <w:color w:val="000000"/>
        </w:rPr>
        <w:t>下属中小学校</w:t>
      </w:r>
      <w:r>
        <w:rPr>
          <w:rFonts w:hint="eastAsia" w:ascii="仿宋" w:hAnsi="仿宋" w:eastAsia="仿宋"/>
          <w:color w:val="000000"/>
        </w:rPr>
        <w:t>1</w:t>
      </w:r>
      <w:r>
        <w:rPr>
          <w:rFonts w:hint="eastAsia" w:ascii="仿宋" w:hAnsi="仿宋" w:eastAsia="仿宋"/>
          <w:color w:val="000000"/>
          <w:lang w:val="en-US" w:eastAsia="zh-CN"/>
        </w:rPr>
        <w:t>2</w:t>
      </w:r>
      <w:r>
        <w:rPr>
          <w:rFonts w:ascii="仿宋" w:hAnsi="仿宋" w:eastAsia="仿宋"/>
          <w:color w:val="000000"/>
        </w:rPr>
        <w:t>所，黑水县中学、黑水县初级中学、黑水县芦花完全小学、黑水县城关幼儿园、</w:t>
      </w:r>
      <w:r>
        <w:rPr>
          <w:rFonts w:hint="eastAsia" w:ascii="仿宋" w:hAnsi="仿宋" w:eastAsia="仿宋"/>
          <w:color w:val="000000"/>
          <w:lang w:val="en-US" w:eastAsia="zh-CN"/>
        </w:rPr>
        <w:t>黑水县沙石多中心校、</w:t>
      </w:r>
      <w:r>
        <w:rPr>
          <w:rFonts w:ascii="仿宋" w:hAnsi="仿宋" w:eastAsia="仿宋"/>
          <w:color w:val="000000"/>
        </w:rPr>
        <w:t>黑水县红岩寄宿制小学、黑水县知木林寄宿制小学、黑水县色尔古寄宿制小学、黑水县晴朗乡中心校、黑水县扎窝乡中心校、黑水县木苏乡中心校、黑水县七一维古小学。</w:t>
      </w:r>
      <w:r>
        <w:rPr>
          <w:rFonts w:ascii="仿宋" w:hAnsi="仿宋" w:eastAsia="仿宋"/>
          <w:color w:val="000000"/>
        </w:rPr>
        <w:cr/>
      </w:r>
      <w:r>
        <w:rPr>
          <w:rFonts w:ascii="仿宋" w:hAnsi="仿宋" w:eastAsia="仿宋"/>
          <w:color w:val="000000"/>
          <w:sz w:val="28"/>
          <w:szCs w:val="28"/>
        </w:rPr>
        <w:t>特别说明：黑水县</w:t>
      </w:r>
      <w:r>
        <w:rPr>
          <w:rFonts w:hint="eastAsia" w:ascii="仿宋" w:hAnsi="仿宋" w:eastAsia="仿宋"/>
          <w:color w:val="000000"/>
          <w:sz w:val="28"/>
          <w:szCs w:val="28"/>
          <w:lang w:val="en-US" w:eastAsia="zh-CN"/>
        </w:rPr>
        <w:t>沙石多中心校</w:t>
      </w:r>
      <w:r>
        <w:rPr>
          <w:rFonts w:ascii="仿宋" w:hAnsi="仿宋" w:eastAsia="仿宋"/>
          <w:color w:val="000000"/>
          <w:sz w:val="28"/>
          <w:szCs w:val="28"/>
        </w:rPr>
        <w:t>于202</w:t>
      </w:r>
      <w:r>
        <w:rPr>
          <w:rFonts w:hint="eastAsia" w:ascii="仿宋" w:hAnsi="仿宋" w:eastAsia="仿宋"/>
          <w:color w:val="000000"/>
          <w:sz w:val="28"/>
          <w:szCs w:val="28"/>
          <w:lang w:val="en-US" w:eastAsia="zh-CN"/>
        </w:rPr>
        <w:t>4</w:t>
      </w:r>
      <w:r>
        <w:rPr>
          <w:rFonts w:ascii="仿宋" w:hAnsi="仿宋" w:eastAsia="仿宋"/>
          <w:color w:val="000000"/>
          <w:sz w:val="28"/>
          <w:szCs w:val="28"/>
        </w:rPr>
        <w:t>年秋季学期撤除。</w:t>
      </w:r>
    </w:p>
    <w:p>
      <w:pPr>
        <w:pStyle w:val="2"/>
        <w:keepNext w:val="0"/>
        <w:keepLines w:val="0"/>
        <w:pageBreakBefore w:val="0"/>
        <w:widowControl w:val="0"/>
        <w:kinsoku/>
        <w:wordWrap/>
        <w:overflowPunct/>
        <w:topLinePunct w:val="0"/>
        <w:autoSpaceDE/>
        <w:autoSpaceDN/>
        <w:bidi w:val="0"/>
        <w:spacing w:line="560" w:lineRule="exact"/>
        <w:textAlignment w:val="auto"/>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p>
    <w:p>
      <w:pPr>
        <w:keepNext w:val="0"/>
        <w:keepLines w:val="0"/>
        <w:pageBreakBefore w:val="0"/>
        <w:widowControl w:val="0"/>
        <w:numPr>
          <w:ilvl w:val="0"/>
          <w:numId w:val="2"/>
        </w:numPr>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pStyle w:val="4"/>
        <w:keepNext w:val="0"/>
        <w:keepLines w:val="0"/>
        <w:pageBreakBefore w:val="0"/>
        <w:widowControl w:val="0"/>
        <w:numPr>
          <w:ilvl w:val="0"/>
          <w:numId w:val="3"/>
        </w:numPr>
        <w:kinsoku/>
        <w:wordWrap/>
        <w:overflowPunct/>
        <w:topLinePunct w:val="0"/>
        <w:autoSpaceDE/>
        <w:autoSpaceDN/>
        <w:bidi w:val="0"/>
        <w:adjustRightInd w:val="0"/>
        <w:snapToGrid w:val="0"/>
        <w:spacing w:beforeLines="0" w:line="560" w:lineRule="exact"/>
        <w:ind w:firstLine="630" w:firstLineChars="210"/>
        <w:textAlignment w:val="auto"/>
        <w:outlineLvl w:val="2"/>
        <w:rPr>
          <w:rFonts w:hint="eastAsia" w:ascii="仿宋" w:hAnsi="仿宋" w:eastAsia="仿宋"/>
          <w:lang w:eastAsia="zh-CN"/>
        </w:rPr>
      </w:pPr>
      <w:r>
        <w:rPr>
          <w:rFonts w:ascii="仿宋" w:hAnsi="仿宋" w:eastAsia="仿宋"/>
        </w:rPr>
        <w:t>贯彻执行党和国家的教育方针、政策、法律、法规、规章，依法拟定并组织实施全县教育发展规划、计划；推进义务教育均衡发展和促进教育公平，指导协调公共教育资源向农村倾斜；统筹规划和协调管理全省各级各类教育资源，指导监督全县各级各类学校的设置规划、调整学校布局和学校设立、撤销、合并以及规划并指导学校的专业布局和调整工作；管理全县各学校的基建和设施设备投资。</w:t>
      </w:r>
      <w:r>
        <w:rPr>
          <w:rFonts w:ascii="仿宋" w:hAnsi="仿宋" w:eastAsia="仿宋"/>
        </w:rPr>
        <w:cr/>
      </w:r>
      <w:r>
        <w:rPr>
          <w:rFonts w:ascii="仿宋" w:hAnsi="仿宋" w:eastAsia="仿宋"/>
        </w:rPr>
        <w:t>2</w:t>
      </w:r>
      <w:r>
        <w:rPr>
          <w:rFonts w:hint="eastAsia" w:ascii="仿宋" w:hAnsi="仿宋" w:eastAsia="仿宋"/>
        </w:rPr>
        <w:t>.</w:t>
      </w:r>
      <w:r>
        <w:rPr>
          <w:rFonts w:ascii="仿宋" w:hAnsi="仿宋" w:eastAsia="仿宋"/>
        </w:rPr>
        <w:t>1</w:t>
      </w:r>
      <w:r>
        <w:rPr>
          <w:rFonts w:hint="eastAsia" w:ascii="仿宋" w:hAnsi="仿宋" w:eastAsia="仿宋"/>
        </w:rPr>
        <w:t>.</w:t>
      </w:r>
      <w:r>
        <w:rPr>
          <w:rFonts w:ascii="仿宋" w:hAnsi="仿宋" w:eastAsia="仿宋"/>
        </w:rPr>
        <w:t>负责处理县教育秘书组日常事务。组织协调局机关重要政务、事务工作。</w:t>
      </w:r>
      <w:r>
        <w:rPr>
          <w:rFonts w:ascii="仿宋" w:hAnsi="仿宋" w:eastAsia="仿宋"/>
        </w:rPr>
        <w:cr/>
      </w:r>
      <w:r>
        <w:rPr>
          <w:rFonts w:ascii="仿宋" w:hAnsi="仿宋" w:eastAsia="仿宋"/>
        </w:rPr>
        <w:t>2.2</w:t>
      </w:r>
      <w:r>
        <w:rPr>
          <w:rFonts w:hint="eastAsia" w:ascii="仿宋" w:hAnsi="仿宋" w:eastAsia="仿宋"/>
        </w:rPr>
        <w:t>.</w:t>
      </w:r>
      <w:r>
        <w:rPr>
          <w:rFonts w:ascii="仿宋" w:hAnsi="仿宋" w:eastAsia="仿宋"/>
        </w:rPr>
        <w:t>负责全县教育体制改革并就重大问题进行政策调研。</w:t>
      </w:r>
      <w:r>
        <w:rPr>
          <w:rFonts w:ascii="仿宋" w:hAnsi="仿宋" w:eastAsia="仿宋"/>
        </w:rPr>
        <w:cr/>
      </w:r>
      <w:r>
        <w:rPr>
          <w:rFonts w:ascii="仿宋" w:hAnsi="仿宋" w:eastAsia="仿宋"/>
        </w:rPr>
        <w:t>2.3.承担和指导、协调全县民族教育工作，负责推进义务教育均衡发展、保障各类学生平等接受义务教育和脱贫攻坚控辍保学等工作。</w:t>
      </w:r>
      <w:r>
        <w:rPr>
          <w:rFonts w:ascii="仿宋" w:hAnsi="仿宋" w:eastAsia="仿宋"/>
        </w:rPr>
        <w:cr/>
      </w:r>
      <w:r>
        <w:rPr>
          <w:rFonts w:ascii="仿宋" w:hAnsi="仿宋" w:eastAsia="仿宋"/>
        </w:rPr>
        <w:t>2.4.统筹管理全县各类学校的思想政治工作，始终坚持</w:t>
      </w:r>
      <w:r>
        <w:rPr>
          <w:rFonts w:hint="eastAsia" w:ascii="仿宋" w:hAnsi="仿宋" w:eastAsia="仿宋"/>
          <w:lang w:eastAsia="zh-CN"/>
        </w:rPr>
        <w:t>以</w:t>
      </w:r>
      <w:r>
        <w:rPr>
          <w:rFonts w:ascii="仿宋" w:hAnsi="仿宋" w:eastAsia="仿宋"/>
        </w:rPr>
        <w:t>“立德树人”</w:t>
      </w:r>
      <w:r>
        <w:rPr>
          <w:rFonts w:hint="eastAsia" w:ascii="仿宋" w:hAnsi="仿宋" w:eastAsia="仿宋"/>
          <w:lang w:eastAsia="zh-CN"/>
        </w:rPr>
        <w:t>为</w:t>
      </w:r>
      <w:r>
        <w:rPr>
          <w:rFonts w:ascii="仿宋" w:hAnsi="仿宋" w:eastAsia="仿宋"/>
        </w:rPr>
        <w:t>根本任务，指导学校开展各项教育主题活动。</w:t>
      </w:r>
      <w:r>
        <w:rPr>
          <w:rFonts w:ascii="仿宋" w:hAnsi="仿宋" w:eastAsia="仿宋"/>
        </w:rPr>
        <w:cr/>
      </w:r>
      <w:r>
        <w:rPr>
          <w:rFonts w:ascii="仿宋" w:hAnsi="仿宋" w:eastAsia="仿宋"/>
        </w:rPr>
        <w:t>2.5.指导和管理全县师资培训工作。</w:t>
      </w:r>
      <w:r>
        <w:rPr>
          <w:rFonts w:ascii="仿宋" w:hAnsi="仿宋" w:eastAsia="仿宋"/>
        </w:rPr>
        <w:cr/>
      </w:r>
      <w:r>
        <w:rPr>
          <w:rFonts w:ascii="仿宋" w:hAnsi="仿宋" w:eastAsia="仿宋"/>
        </w:rPr>
        <w:t>2.6.贯彻执行学校安全稳定管理相关法律法规和政策规章。</w:t>
      </w:r>
      <w:r>
        <w:rPr>
          <w:rFonts w:ascii="仿宋" w:hAnsi="仿宋" w:eastAsia="仿宋"/>
        </w:rPr>
        <w:cr/>
      </w:r>
      <w:r>
        <w:rPr>
          <w:rFonts w:ascii="仿宋" w:hAnsi="仿宋" w:eastAsia="仿宋"/>
        </w:rPr>
        <w:t>2.7.负责全县普通高校、高中阶段招生考试、成人招生和高等自学考试政策的宣传、咨询、贯彻。</w:t>
      </w:r>
      <w:r>
        <w:rPr>
          <w:rFonts w:ascii="仿宋" w:hAnsi="仿宋" w:eastAsia="仿宋"/>
        </w:rPr>
        <w:cr/>
      </w:r>
      <w:r>
        <w:rPr>
          <w:rFonts w:ascii="仿宋" w:hAnsi="仿宋" w:eastAsia="仿宋"/>
        </w:rPr>
        <w:t>2.8.规划、指导全县教师队伍、教育系统人才队伍建设和培养</w:t>
      </w:r>
      <w:r>
        <w:rPr>
          <w:rFonts w:hint="eastAsia" w:ascii="仿宋" w:hAnsi="仿宋" w:eastAsia="仿宋"/>
          <w:lang w:eastAsia="zh-CN"/>
        </w:rPr>
        <w:t>工作。</w:t>
      </w:r>
    </w:p>
    <w:p>
      <w:pPr>
        <w:pStyle w:val="4"/>
        <w:keepNext w:val="0"/>
        <w:keepLines w:val="0"/>
        <w:pageBreakBefore w:val="0"/>
        <w:widowControl w:val="0"/>
        <w:numPr>
          <w:numId w:val="0"/>
        </w:numPr>
        <w:kinsoku/>
        <w:wordWrap/>
        <w:overflowPunct/>
        <w:topLinePunct w:val="0"/>
        <w:autoSpaceDE/>
        <w:autoSpaceDN/>
        <w:bidi w:val="0"/>
        <w:adjustRightInd w:val="0"/>
        <w:snapToGrid w:val="0"/>
        <w:spacing w:beforeLines="0" w:line="560" w:lineRule="exact"/>
        <w:textAlignment w:val="auto"/>
        <w:outlineLvl w:val="2"/>
      </w:pPr>
      <w:r>
        <w:rPr>
          <w:rFonts w:ascii="仿宋" w:hAnsi="仿宋" w:eastAsia="仿宋"/>
        </w:rPr>
        <w:t>2.9.制定全县教育信息化发展规划，指导和督促检查全县教育信息化工作。</w:t>
      </w:r>
      <w:r>
        <w:rPr>
          <w:rFonts w:ascii="仿宋" w:hAnsi="仿宋" w:eastAsia="仿宋"/>
        </w:rPr>
        <w:cr/>
      </w:r>
      <w:r>
        <w:rPr>
          <w:rFonts w:ascii="仿宋" w:hAnsi="仿宋" w:eastAsia="仿宋"/>
        </w:rPr>
        <w:t>3</w:t>
      </w:r>
      <w:r>
        <w:rPr>
          <w:rFonts w:hint="eastAsia" w:ascii="仿宋" w:hAnsi="仿宋" w:eastAsia="仿宋"/>
        </w:rPr>
        <w:t>.</w:t>
      </w:r>
      <w:r>
        <w:rPr>
          <w:rFonts w:ascii="仿宋" w:hAnsi="仿宋" w:eastAsia="仿宋"/>
        </w:rPr>
        <w:t>1.负责教育督导的政策研究和重大问题的调查研究工作。</w:t>
      </w:r>
      <w:r>
        <w:rPr>
          <w:rFonts w:ascii="仿宋" w:hAnsi="仿宋" w:eastAsia="仿宋"/>
        </w:rPr>
        <w:cr/>
      </w:r>
      <w:r>
        <w:rPr>
          <w:rFonts w:ascii="仿宋" w:hAnsi="仿宋" w:eastAsia="仿宋"/>
        </w:rPr>
        <w:t>3.2.发布教育督导评估、评价、监测报告。</w:t>
      </w:r>
      <w:r>
        <w:rPr>
          <w:rFonts w:ascii="仿宋" w:hAnsi="仿宋" w:eastAsia="仿宋"/>
        </w:rPr>
        <w:cr/>
      </w:r>
      <w:r>
        <w:rPr>
          <w:rFonts w:ascii="仿宋" w:hAnsi="仿宋" w:eastAsia="仿宋"/>
        </w:rPr>
        <w:t>3.3.指导全县教育督导工作。负责县政府履行教育职责督导评价。</w:t>
      </w:r>
      <w:r>
        <w:rPr>
          <w:rFonts w:ascii="仿宋" w:hAnsi="仿宋" w:eastAsia="仿宋"/>
        </w:rPr>
        <w:cr/>
      </w:r>
      <w:r>
        <w:rPr>
          <w:rFonts w:ascii="仿宋" w:hAnsi="仿宋" w:eastAsia="仿宋"/>
        </w:rPr>
        <w:t>3.4.负责对全县各级各类学校规范办学行为、教育教学工作、校外教育、特殊教育、社区教育、成人教育。</w:t>
      </w:r>
      <w:r>
        <w:rPr>
          <w:rFonts w:ascii="仿宋" w:hAnsi="仿宋" w:eastAsia="仿宋"/>
        </w:rPr>
        <w:cr/>
      </w:r>
      <w:r>
        <w:rPr>
          <w:rFonts w:ascii="仿宋" w:hAnsi="仿宋" w:eastAsia="仿宋"/>
        </w:rPr>
        <w:t>3.5.民办教育、中小学校责任督学挂牌督导工作等专项督导。</w:t>
      </w:r>
      <w:r>
        <w:rPr>
          <w:rFonts w:ascii="仿宋" w:hAnsi="仿宋" w:eastAsia="仿宋"/>
        </w:rPr>
        <w:cr/>
      </w:r>
      <w:r>
        <w:rPr>
          <w:rFonts w:ascii="仿宋" w:hAnsi="仿宋" w:eastAsia="仿宋"/>
        </w:rPr>
        <w:t>3.6.组织开展全县教育改革和发展中热点难点重点问题的专项督导。负责指导全县教育督导队伍建设和培训。</w:t>
      </w:r>
      <w:r>
        <w:rPr>
          <w:rFonts w:ascii="仿宋" w:hAnsi="仿宋" w:eastAsia="仿宋"/>
        </w:rPr>
        <w:cr/>
      </w:r>
      <w:r>
        <w:rPr>
          <w:rFonts w:ascii="仿宋" w:hAnsi="仿宋" w:eastAsia="仿宋"/>
        </w:rPr>
        <w:t>3.7.组织开展全县督学资格认证，选拔、聘任、管理全县督学。</w:t>
      </w:r>
      <w:r>
        <w:rPr>
          <w:rFonts w:ascii="仿宋" w:hAnsi="仿宋" w:eastAsia="仿宋"/>
        </w:rPr>
        <w:cr/>
      </w:r>
      <w:r>
        <w:rPr>
          <w:rFonts w:ascii="仿宋" w:hAnsi="仿宋" w:eastAsia="仿宋"/>
        </w:rPr>
        <w:t>3.8.负责拟订各级各类学校办学状况、教育教学水平评估标准和规程，并实施督导。</w:t>
      </w:r>
      <w:r>
        <w:rPr>
          <w:rFonts w:ascii="仿宋" w:hAnsi="仿宋" w:eastAsia="仿宋"/>
        </w:rPr>
        <w:cr/>
      </w:r>
      <w:r>
        <w:rPr>
          <w:rFonts w:ascii="仿宋" w:hAnsi="仿宋" w:eastAsia="仿宋"/>
        </w:rPr>
        <w:t>3.9.组织开展对各级各类教育发展状况和质量的监测，协调第三方机构和社会力量参与教育评估监测工作。</w:t>
      </w:r>
      <w:r>
        <w:rPr>
          <w:rFonts w:ascii="仿宋" w:hAnsi="仿宋" w:eastAsia="仿宋"/>
        </w:rPr>
        <w:cr/>
      </w:r>
      <w:r>
        <w:rPr>
          <w:rFonts w:ascii="仿宋" w:hAnsi="仿宋" w:eastAsia="仿宋"/>
        </w:rPr>
        <w:t>4.1.负责机关党的建设、党风廉政建设、意识形态、班子队伍建设等工作。</w:t>
      </w:r>
      <w:r>
        <w:rPr>
          <w:rFonts w:ascii="仿宋" w:hAnsi="仿宋" w:eastAsia="仿宋"/>
        </w:rPr>
        <w:cr/>
      </w:r>
      <w:r>
        <w:rPr>
          <w:rFonts w:ascii="仿宋" w:hAnsi="仿宋" w:eastAsia="仿宋"/>
        </w:rPr>
        <w:t>5</w:t>
      </w:r>
      <w:r>
        <w:rPr>
          <w:rFonts w:hint="eastAsia" w:ascii="仿宋" w:hAnsi="仿宋" w:eastAsia="仿宋"/>
        </w:rPr>
        <w:t>.</w:t>
      </w:r>
      <w:r>
        <w:rPr>
          <w:rFonts w:ascii="仿宋" w:hAnsi="仿宋" w:eastAsia="仿宋"/>
        </w:rPr>
        <w:t>开展学校的学前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全县教育工作顺利推进，教育均衡健康发展。</w:t>
      </w:r>
      <w:r>
        <w:rPr>
          <w:rFonts w:ascii="仿宋" w:hAnsi="仿宋" w:eastAsia="仿宋"/>
        </w:rPr>
        <w:cr/>
      </w:r>
      <w:r>
        <w:rPr>
          <w:rFonts w:ascii="仿宋" w:hAnsi="仿宋" w:eastAsia="仿宋"/>
        </w:rPr>
        <w:t>6</w:t>
      </w:r>
      <w:r>
        <w:rPr>
          <w:rFonts w:hint="eastAsia" w:ascii="仿宋" w:hAnsi="仿宋" w:eastAsia="仿宋"/>
        </w:rPr>
        <w:t>.</w:t>
      </w:r>
      <w:r>
        <w:rPr>
          <w:rFonts w:ascii="仿宋" w:hAnsi="仿宋" w:eastAsia="仿宋"/>
        </w:rPr>
        <w:t>开展学校的义务（小学阶段）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教育工作顺利推进，教育均衡健康发展。</w:t>
      </w:r>
      <w:r>
        <w:rPr>
          <w:rFonts w:ascii="仿宋" w:hAnsi="仿宋" w:eastAsia="仿宋"/>
        </w:rPr>
        <w:cr/>
      </w:r>
      <w:r>
        <w:rPr>
          <w:rFonts w:ascii="仿宋" w:hAnsi="仿宋" w:eastAsia="仿宋"/>
        </w:rPr>
        <w:t>7</w:t>
      </w:r>
      <w:r>
        <w:rPr>
          <w:rFonts w:hint="eastAsia" w:ascii="仿宋" w:hAnsi="仿宋" w:eastAsia="仿宋"/>
        </w:rPr>
        <w:t>.</w:t>
      </w:r>
      <w:r>
        <w:rPr>
          <w:rFonts w:ascii="仿宋" w:hAnsi="仿宋" w:eastAsia="仿宋"/>
        </w:rPr>
        <w:t>开展学校的义务（初中阶段）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教育工作顺利推进，教育均衡健康发展。</w:t>
      </w:r>
      <w:r>
        <w:rPr>
          <w:rFonts w:ascii="仿宋" w:hAnsi="仿宋" w:eastAsia="仿宋"/>
        </w:rPr>
        <w:cr/>
      </w:r>
      <w:r>
        <w:rPr>
          <w:rFonts w:ascii="仿宋" w:hAnsi="仿宋" w:eastAsia="仿宋"/>
        </w:rPr>
        <w:t>8</w:t>
      </w:r>
      <w:r>
        <w:rPr>
          <w:rFonts w:hint="eastAsia" w:ascii="仿宋" w:hAnsi="仿宋" w:eastAsia="仿宋"/>
        </w:rPr>
        <w:t>.</w:t>
      </w:r>
      <w:r>
        <w:rPr>
          <w:rFonts w:ascii="仿宋" w:hAnsi="仿宋" w:eastAsia="仿宋"/>
        </w:rPr>
        <w:t>开展学校的高中教育教学管理与改革、教育质量监控等工作；以“自强拼搏，强体壮翼，突出重点，均衡发展”为主线，紧紧围绕“提高教育教学质量”这个中心，抓住“教育改革、素质教育”两个重点，实现“学校管理水平、教师整体素质、教育社会形象”三个提升，打好“学前教育、教学改革、教育扶贫、安全稳定”四个攻坚战，教育工作顺利推进，教育均衡健康发展。</w:t>
      </w:r>
      <w:r>
        <w:rPr>
          <w:rFonts w:ascii="仿宋" w:hAnsi="仿宋" w:eastAsia="仿宋"/>
        </w:rPr>
        <w:cr/>
      </w:r>
      <w:r>
        <w:rPr>
          <w:rFonts w:ascii="仿宋" w:hAnsi="仿宋" w:eastAsia="仿宋"/>
        </w:rPr>
        <w:t>9.1.开展我县中职中专和本专科教育阶段学生升学、就读等相关事务。</w:t>
      </w:r>
      <w:r>
        <w:rPr>
          <w:rFonts w:ascii="仿宋" w:hAnsi="仿宋" w:eastAsia="仿宋"/>
        </w:rPr>
        <w:cr/>
      </w:r>
      <w:r>
        <w:rPr>
          <w:rFonts w:ascii="仿宋" w:hAnsi="仿宋" w:eastAsia="仿宋"/>
        </w:rPr>
        <w:t>9.</w:t>
      </w:r>
      <w:r>
        <w:rPr>
          <w:rFonts w:hint="eastAsia" w:ascii="仿宋" w:hAnsi="仿宋" w:eastAsia="仿宋"/>
        </w:rPr>
        <w:t>2</w:t>
      </w:r>
      <w:r>
        <w:rPr>
          <w:rFonts w:ascii="仿宋" w:hAnsi="仿宋" w:eastAsia="仿宋"/>
        </w:rPr>
        <w:t>.落实我县中职中专和本专科教育阶段学生各类补助。</w:t>
      </w:r>
      <w:r>
        <w:rPr>
          <w:rFonts w:ascii="仿宋" w:hAnsi="仿宋" w:eastAsia="仿宋"/>
        </w:rPr>
        <w:cr/>
      </w:r>
      <w:r>
        <w:rPr>
          <w:rFonts w:ascii="仿宋" w:hAnsi="仿宋" w:eastAsia="仿宋"/>
        </w:rPr>
        <w:t>9.</w:t>
      </w:r>
      <w:r>
        <w:rPr>
          <w:rFonts w:hint="eastAsia" w:ascii="仿宋" w:hAnsi="仿宋" w:eastAsia="仿宋"/>
        </w:rPr>
        <w:t>3</w:t>
      </w:r>
      <w:r>
        <w:rPr>
          <w:rFonts w:ascii="仿宋" w:hAnsi="仿宋" w:eastAsia="仿宋"/>
        </w:rPr>
        <w:t>.其它中职中专和本专科教育事务。</w:t>
      </w:r>
      <w:r>
        <w:rPr>
          <w:rFonts w:ascii="仿宋" w:hAnsi="仿宋" w:eastAsia="仿宋"/>
        </w:rPr>
        <w:cr/>
      </w:r>
      <w:r>
        <w:rPr>
          <w:rFonts w:ascii="仿宋" w:hAnsi="仿宋" w:eastAsia="仿宋"/>
        </w:rPr>
        <w:t>10</w:t>
      </w:r>
      <w:r>
        <w:rPr>
          <w:rFonts w:hint="eastAsia" w:ascii="仿宋" w:hAnsi="仿宋" w:eastAsia="仿宋"/>
        </w:rPr>
        <w:t>.</w:t>
      </w:r>
      <w:r>
        <w:rPr>
          <w:rFonts w:ascii="仿宋" w:hAnsi="仿宋" w:eastAsia="仿宋"/>
        </w:rPr>
        <w:t>教育系统安全管理</w:t>
      </w:r>
      <w:r>
        <w:rPr>
          <w:rFonts w:ascii="仿宋" w:hAnsi="仿宋" w:eastAsia="仿宋"/>
        </w:rPr>
        <w:cr/>
      </w:r>
      <w:r>
        <w:rPr>
          <w:rFonts w:ascii="仿宋" w:hAnsi="仿宋" w:eastAsia="仿宋"/>
        </w:rPr>
        <w:t>11</w:t>
      </w:r>
      <w:r>
        <w:rPr>
          <w:rFonts w:hint="eastAsia" w:ascii="仿宋" w:hAnsi="仿宋" w:eastAsia="仿宋"/>
        </w:rPr>
        <w:t>.</w:t>
      </w:r>
      <w:r>
        <w:rPr>
          <w:rFonts w:ascii="仿宋" w:hAnsi="仿宋" w:eastAsia="仿宋"/>
        </w:rPr>
        <w:t>开展中职中专及成人教育。</w:t>
      </w:r>
      <w:r>
        <w:rPr>
          <w:rFonts w:ascii="仿宋" w:hAnsi="仿宋" w:eastAsia="仿宋"/>
        </w:rPr>
        <w:cr/>
      </w:r>
      <w:r>
        <w:rPr>
          <w:rFonts w:ascii="仿宋" w:hAnsi="仿宋" w:eastAsia="仿宋"/>
        </w:rPr>
        <w:t>12</w:t>
      </w:r>
      <w:r>
        <w:rPr>
          <w:rFonts w:hint="eastAsia" w:ascii="仿宋" w:hAnsi="仿宋" w:eastAsia="仿宋"/>
        </w:rPr>
        <w:t>.</w:t>
      </w:r>
      <w:r>
        <w:rPr>
          <w:rFonts w:ascii="仿宋" w:hAnsi="仿宋" w:eastAsia="仿宋"/>
        </w:rPr>
        <w:t>规划、指导和开展全县的基础教育工作。</w:t>
      </w:r>
      <w:r>
        <w:rPr>
          <w:rFonts w:ascii="仿宋" w:hAnsi="仿宋" w:eastAsia="仿宋"/>
        </w:rPr>
        <w:cr/>
      </w:r>
      <w:r>
        <w:rPr>
          <w:rFonts w:ascii="仿宋" w:hAnsi="仿宋" w:eastAsia="仿宋"/>
        </w:rPr>
        <w:t>13</w:t>
      </w:r>
      <w:r>
        <w:rPr>
          <w:rFonts w:hint="eastAsia" w:ascii="仿宋" w:hAnsi="仿宋" w:eastAsia="仿宋"/>
          <w:lang w:val="en-US" w:eastAsia="zh-CN"/>
        </w:rPr>
        <w:t>.</w:t>
      </w:r>
      <w:r>
        <w:rPr>
          <w:rFonts w:ascii="仿宋" w:hAnsi="仿宋" w:eastAsia="仿宋"/>
        </w:rPr>
        <w:t>指导、开展全县教师成长的培养工作。</w:t>
      </w:r>
      <w:r>
        <w:rPr>
          <w:rFonts w:ascii="仿宋" w:hAnsi="仿宋" w:eastAsia="仿宋"/>
        </w:rPr>
        <w:cr/>
      </w:r>
      <w:r>
        <w:rPr>
          <w:rFonts w:ascii="仿宋" w:hAnsi="仿宋" w:eastAsia="仿宋"/>
        </w:rPr>
        <w:t>14</w:t>
      </w:r>
      <w:r>
        <w:rPr>
          <w:rFonts w:hint="eastAsia" w:ascii="仿宋" w:hAnsi="仿宋" w:eastAsia="仿宋"/>
        </w:rPr>
        <w:t>.</w:t>
      </w:r>
      <w:r>
        <w:rPr>
          <w:rFonts w:ascii="仿宋" w:hAnsi="仿宋" w:eastAsia="仿宋"/>
        </w:rPr>
        <w:t>开展和指导学校教育教学研究工作。</w:t>
      </w:r>
      <w:r>
        <w:rPr>
          <w:rFonts w:ascii="仿宋" w:hAnsi="仿宋" w:eastAsia="仿宋"/>
        </w:rPr>
        <w:cr/>
      </w:r>
      <w:r>
        <w:rPr>
          <w:rFonts w:ascii="仿宋" w:hAnsi="仿宋" w:eastAsia="仿宋"/>
        </w:rPr>
        <w:t>15.1.教育教学仪器的购置。</w:t>
      </w:r>
      <w:r>
        <w:rPr>
          <w:rFonts w:ascii="仿宋" w:hAnsi="仿宋" w:eastAsia="仿宋"/>
        </w:rPr>
        <w:cr/>
      </w:r>
      <w:r>
        <w:rPr>
          <w:rFonts w:ascii="仿宋" w:hAnsi="仿宋" w:eastAsia="仿宋"/>
        </w:rPr>
        <w:t>15.2.指导学校使用教育教学仪器。</w:t>
      </w:r>
      <w:r>
        <w:rPr>
          <w:rFonts w:ascii="仿宋" w:hAnsi="仿宋" w:eastAsia="仿宋"/>
        </w:rPr>
        <w:cr/>
      </w:r>
      <w:r>
        <w:rPr>
          <w:rFonts w:ascii="仿宋" w:hAnsi="仿宋" w:eastAsia="仿宋"/>
        </w:rPr>
        <w:t>16.1.指导全县各校（园）开展各级各类学生资助政策的实施。</w:t>
      </w:r>
      <w:r>
        <w:rPr>
          <w:rFonts w:ascii="仿宋" w:hAnsi="仿宋" w:eastAsia="仿宋"/>
        </w:rPr>
        <w:cr/>
      </w:r>
      <w:r>
        <w:rPr>
          <w:rFonts w:ascii="仿宋" w:hAnsi="仿宋" w:eastAsia="仿宋"/>
        </w:rPr>
        <w:t>16.2.指导全县各校（园）的国（境）内外教育援助、教育贷款和教育合作项目执行。</w:t>
      </w:r>
      <w:r>
        <w:rPr>
          <w:rFonts w:ascii="仿宋" w:hAnsi="仿宋" w:eastAsia="仿宋"/>
        </w:rPr>
        <w:cr/>
      </w:r>
      <w:r>
        <w:rPr>
          <w:rFonts w:ascii="仿宋" w:hAnsi="仿宋" w:eastAsia="仿宋"/>
        </w:rPr>
        <w:t>16.3.开展县内各级各类学生资助政策的实施。</w:t>
      </w:r>
      <w:r>
        <w:rPr>
          <w:rFonts w:ascii="仿宋" w:hAnsi="仿宋" w:eastAsia="仿宋"/>
        </w:rPr>
        <w:cr/>
      </w:r>
      <w:r>
        <w:rPr>
          <w:rFonts w:ascii="仿宋" w:hAnsi="仿宋" w:eastAsia="仿宋"/>
        </w:rPr>
        <w:t>17.1.负责全县普通高校、高中阶段招生考试、成人招生和高等自学考试政策的宣传、咨询、贯彻。</w:t>
      </w:r>
      <w:r>
        <w:rPr>
          <w:rFonts w:ascii="仿宋" w:hAnsi="仿宋" w:eastAsia="仿宋"/>
        </w:rPr>
        <w:cr/>
      </w:r>
      <w:r>
        <w:rPr>
          <w:rFonts w:ascii="仿宋" w:hAnsi="仿宋" w:eastAsia="仿宋"/>
        </w:rPr>
        <w:t>17.2.负责组织考生报名、信息采集、资格审查、考试、志愿填报，负责组织普通高考体检工作，审查并组建考生档案。</w:t>
      </w:r>
      <w:r>
        <w:rPr>
          <w:rFonts w:ascii="仿宋" w:hAnsi="仿宋" w:eastAsia="仿宋"/>
        </w:rPr>
        <w:cr/>
      </w:r>
      <w:r>
        <w:rPr>
          <w:rFonts w:ascii="仿宋" w:hAnsi="仿宋" w:eastAsia="仿宋"/>
        </w:rPr>
        <w:t>17.3.负责普通高中录取工作。负责接待、受理、查证、核实、处理各类招生考试中发生的有关问题。</w:t>
      </w:r>
      <w:r>
        <w:rPr>
          <w:rFonts w:ascii="仿宋" w:hAnsi="仿宋" w:eastAsia="仿宋"/>
        </w:rPr>
        <w:cr/>
      </w:r>
      <w:r>
        <w:rPr>
          <w:rFonts w:ascii="仿宋" w:hAnsi="仿宋" w:eastAsia="仿宋"/>
        </w:rPr>
        <w:t>17.4.负责组织高中学业水平考试。</w:t>
      </w:r>
      <w:r>
        <w:rPr>
          <w:rFonts w:ascii="仿宋" w:hAnsi="仿宋" w:eastAsia="仿宋"/>
        </w:rPr>
        <w:cr/>
      </w:r>
      <w:r>
        <w:rPr>
          <w:rFonts w:ascii="仿宋" w:hAnsi="仿宋" w:eastAsia="仿宋"/>
        </w:rPr>
        <w:t>17.5.负责指导协调全县标准化考点建设、使用和维护工作。</w:t>
      </w:r>
      <w:r>
        <w:rPr>
          <w:rFonts w:ascii="仿宋" w:hAnsi="仿宋" w:eastAsia="仿宋"/>
        </w:rPr>
        <w:cr/>
      </w:r>
      <w:r>
        <w:rPr>
          <w:rFonts w:ascii="仿宋" w:hAnsi="仿宋" w:eastAsia="仿宋"/>
        </w:rPr>
        <w:t>18</w:t>
      </w:r>
      <w:r>
        <w:rPr>
          <w:rFonts w:hint="eastAsia" w:ascii="仿宋" w:hAnsi="仿宋" w:eastAsia="仿宋"/>
        </w:rPr>
        <w:t>.</w:t>
      </w:r>
      <w:r>
        <w:rPr>
          <w:rFonts w:ascii="仿宋" w:hAnsi="仿宋" w:eastAsia="仿宋"/>
        </w:rPr>
        <w:t>负责所在校（园）党的建设、党风廉政建设、意识形态、班子队伍建设等工作。</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eastAsia" w:ascii="仿宋" w:hAnsi="仿宋" w:eastAsia="仿宋" w:cs="仿宋"/>
          <w:color w:val="000000"/>
          <w:kern w:val="0"/>
          <w:sz w:val="30"/>
          <w:szCs w:val="30"/>
          <w:lang w:val="en-US" w:eastAsia="zh-CN" w:bidi="ar-SA"/>
        </w:rPr>
      </w:pPr>
      <w:r>
        <w:rPr>
          <w:rFonts w:hint="eastAsia" w:ascii="仿宋" w:hAnsi="仿宋" w:eastAsia="仿宋" w:cs="仿宋"/>
          <w:color w:val="000000"/>
          <w:kern w:val="0"/>
          <w:sz w:val="30"/>
          <w:szCs w:val="30"/>
          <w:lang w:val="en-US" w:eastAsia="zh-CN" w:bidi="ar-SA"/>
        </w:rPr>
        <w:t>本单位本年度职工年末实有人数为585人，比上年减少41人，其中，实有在职职工人数:行政5人，行政工勤3人，非参公事业人员577人。年末实有遗属人数为57人，比上年减少1人。</w:t>
      </w:r>
    </w:p>
    <w:p>
      <w:pPr>
        <w:pStyle w:val="2"/>
        <w:rPr>
          <w:rFonts w:hint="eastAsia" w:ascii="仿宋" w:hAnsi="仿宋" w:eastAsia="仿宋" w:cs="仿宋"/>
          <w:color w:val="000000"/>
          <w:kern w:val="0"/>
          <w:sz w:val="30"/>
          <w:szCs w:val="30"/>
          <w:lang w:val="en-US" w:eastAsia="zh-CN" w:bidi="ar-SA"/>
        </w:rPr>
      </w:pPr>
    </w:p>
    <w:p/>
    <w:p>
      <w:pPr>
        <w:keepNext w:val="0"/>
        <w:keepLines w:val="0"/>
        <w:pageBreakBefore w:val="0"/>
        <w:widowControl w:val="0"/>
        <w:numPr>
          <w:ilvl w:val="0"/>
          <w:numId w:val="4"/>
        </w:numPr>
        <w:kinsoku/>
        <w:wordWrap/>
        <w:overflowPunct/>
        <w:topLinePunct w:val="0"/>
        <w:autoSpaceDE/>
        <w:autoSpaceDN/>
        <w:bidi w:val="0"/>
        <w:spacing w:line="560" w:lineRule="exact"/>
        <w:ind w:left="0" w:leftChars="0" w:firstLine="640" w:firstLineChars="200"/>
        <w:textAlignment w:val="auto"/>
        <w:rPr>
          <w:rFonts w:hint="eastAsia" w:ascii="仿宋_GB2312" w:hAnsi="黑体" w:eastAsia="仿宋_GB2312" w:cs="黑体"/>
          <w:sz w:val="32"/>
          <w:szCs w:val="32"/>
        </w:rPr>
      </w:pPr>
      <w:r>
        <w:rPr>
          <w:rFonts w:hint="eastAsia" w:ascii="仿宋_GB2312" w:hAnsi="黑体" w:eastAsia="仿宋_GB2312" w:cs="黑体"/>
          <w:sz w:val="32"/>
          <w:szCs w:val="32"/>
        </w:rPr>
        <w:t>部门财政资金收支情况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2024年财政拨款收入205.93万元，其中，财政拨款收入205.93万元；一般公共预算财政拨款收入205.93万元；政府性基金预算拨款收入0万元。</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2024</w:t>
      </w:r>
      <w:r>
        <w:rPr>
          <w:rFonts w:hint="eastAsia" w:ascii="仿宋" w:hAnsi="仿宋" w:eastAsia="仿宋" w:cs="仿宋"/>
          <w:sz w:val="30"/>
          <w:szCs w:val="30"/>
        </w:rPr>
        <w:t>年支出</w:t>
      </w:r>
      <w:r>
        <w:rPr>
          <w:rFonts w:hint="eastAsia" w:ascii="仿宋" w:hAnsi="仿宋" w:eastAsia="仿宋" w:cs="仿宋"/>
          <w:sz w:val="30"/>
          <w:szCs w:val="30"/>
          <w:lang w:val="en-US" w:eastAsia="zh-CN"/>
        </w:rPr>
        <w:t>205.93</w:t>
      </w:r>
      <w:r>
        <w:rPr>
          <w:rFonts w:hint="eastAsia" w:ascii="仿宋" w:hAnsi="仿宋" w:eastAsia="仿宋" w:cs="仿宋"/>
          <w:sz w:val="30"/>
          <w:szCs w:val="30"/>
        </w:rPr>
        <w:t>万元，其中：人员经费</w:t>
      </w:r>
      <w:r>
        <w:rPr>
          <w:rFonts w:hint="eastAsia" w:ascii="仿宋" w:hAnsi="仿宋" w:eastAsia="仿宋" w:cs="仿宋"/>
          <w:sz w:val="30"/>
          <w:szCs w:val="30"/>
          <w:lang w:val="en-US" w:eastAsia="zh-CN"/>
        </w:rPr>
        <w:t>183.68</w:t>
      </w:r>
      <w:r>
        <w:rPr>
          <w:rFonts w:hint="eastAsia" w:ascii="仿宋" w:hAnsi="仿宋" w:eastAsia="仿宋" w:cs="仿宋"/>
          <w:sz w:val="30"/>
          <w:szCs w:val="30"/>
        </w:rPr>
        <w:t>万元、日常公用经费</w:t>
      </w:r>
      <w:r>
        <w:rPr>
          <w:rFonts w:hint="eastAsia" w:ascii="仿宋" w:hAnsi="仿宋" w:eastAsia="仿宋" w:cs="仿宋"/>
          <w:sz w:val="30"/>
          <w:szCs w:val="30"/>
          <w:lang w:val="en-US" w:eastAsia="zh-CN"/>
        </w:rPr>
        <w:t>22.25</w:t>
      </w:r>
      <w:r>
        <w:rPr>
          <w:rFonts w:hint="eastAsia" w:ascii="仿宋" w:hAnsi="仿宋" w:eastAsia="仿宋" w:cs="仿宋"/>
          <w:sz w:val="30"/>
          <w:szCs w:val="30"/>
        </w:rPr>
        <w:t>万元、项目支出</w:t>
      </w:r>
      <w:r>
        <w:rPr>
          <w:rFonts w:hint="eastAsia" w:ascii="仿宋" w:hAnsi="仿宋" w:eastAsia="仿宋" w:cs="仿宋"/>
          <w:sz w:val="30"/>
          <w:szCs w:val="30"/>
          <w:lang w:val="en-US" w:eastAsia="zh-CN"/>
        </w:rPr>
        <w:t>0</w:t>
      </w:r>
      <w:r>
        <w:rPr>
          <w:rFonts w:hint="eastAsia" w:ascii="仿宋" w:hAnsi="仿宋" w:eastAsia="仿宋" w:cs="仿宋"/>
          <w:sz w:val="30"/>
          <w:szCs w:val="30"/>
        </w:rPr>
        <w:t>万元。</w:t>
      </w:r>
    </w:p>
    <w:p>
      <w:pPr>
        <w:keepNext w:val="0"/>
        <w:keepLines w:val="0"/>
        <w:pageBreakBefore w:val="0"/>
        <w:widowControl w:val="0"/>
        <w:numPr>
          <w:ilvl w:val="0"/>
          <w:numId w:val="4"/>
        </w:numPr>
        <w:kinsoku/>
        <w:wordWrap/>
        <w:overflowPunct/>
        <w:topLinePunct w:val="0"/>
        <w:autoSpaceDE/>
        <w:autoSpaceDN/>
        <w:bidi w:val="0"/>
        <w:spacing w:line="560" w:lineRule="exact"/>
        <w:ind w:left="0" w:leftChars="0" w:firstLine="640" w:firstLineChars="200"/>
        <w:textAlignment w:val="auto"/>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本单位根据县财政局的统一部署和要求，积极稳妥推进预算绩效管理工作，将绩效管理理念融入预算编制、执行、监督全过程，着力提升财政资金使用效益和部门管理水平。根据适用指标体系，具体管理情况如下：</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本部门2024年度预算管理规范有序，紧紧围绕“保运转、保民生、促发展”的目标，严格执行预算法规，强化内部控制，确保了资金的安全、规范和有效使用。</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部门绩效目标制定：我局在编制2024年部门预算时，根据“三定”方案职责和年度工作计划，设定了清晰的部门整体绩效目标。目标聚焦于保障</w:t>
      </w:r>
      <w:r>
        <w:rPr>
          <w:rFonts w:hint="eastAsia" w:ascii="仿宋" w:hAnsi="仿宋" w:eastAsia="仿宋" w:cs="仿宋"/>
          <w:sz w:val="30"/>
          <w:szCs w:val="30"/>
          <w:lang w:val="en-US" w:eastAsia="zh-CN"/>
        </w:rPr>
        <w:t>人员经费的按时发放和机关</w:t>
      </w:r>
      <w:r>
        <w:rPr>
          <w:rFonts w:hint="default" w:ascii="仿宋" w:hAnsi="仿宋" w:eastAsia="仿宋" w:cs="仿宋"/>
          <w:sz w:val="30"/>
          <w:szCs w:val="30"/>
          <w:lang w:val="en-US" w:eastAsia="zh-CN"/>
        </w:rPr>
        <w:t>正常运转、</w:t>
      </w:r>
      <w:r>
        <w:rPr>
          <w:rFonts w:hint="eastAsia" w:ascii="仿宋" w:hAnsi="仿宋" w:eastAsia="仿宋" w:cs="仿宋"/>
          <w:sz w:val="30"/>
          <w:szCs w:val="30"/>
          <w:lang w:val="en-US" w:eastAsia="zh-CN"/>
        </w:rPr>
        <w:t>促进</w:t>
      </w:r>
      <w:r>
        <w:rPr>
          <w:rFonts w:hint="default" w:ascii="仿宋" w:hAnsi="仿宋" w:eastAsia="仿宋" w:cs="仿宋"/>
          <w:sz w:val="30"/>
          <w:szCs w:val="30"/>
          <w:lang w:val="en-US" w:eastAsia="zh-CN"/>
        </w:rPr>
        <w:t>落实各项教育惠民政策、维护学校基础设施安全，目标设定具有明确性、可衡量性和相关性。</w:t>
      </w:r>
    </w:p>
    <w:p>
      <w:pPr>
        <w:pStyle w:val="2"/>
        <w:rPr>
          <w:rFonts w:hint="eastAsia"/>
        </w:rPr>
      </w:pP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目标完成：2024年度，我局</w:t>
      </w:r>
      <w:r>
        <w:rPr>
          <w:rFonts w:hint="eastAsia" w:ascii="仿宋" w:hAnsi="仿宋" w:eastAsia="仿宋" w:cs="仿宋"/>
          <w:sz w:val="30"/>
          <w:szCs w:val="30"/>
          <w:lang w:val="en-US" w:eastAsia="zh-CN"/>
        </w:rPr>
        <w:t>行政</w:t>
      </w:r>
      <w:r>
        <w:rPr>
          <w:rFonts w:hint="default" w:ascii="仿宋" w:hAnsi="仿宋" w:eastAsia="仿宋" w:cs="仿宋"/>
          <w:sz w:val="30"/>
          <w:szCs w:val="30"/>
          <w:lang w:val="en-US" w:eastAsia="zh-CN"/>
        </w:rPr>
        <w:t>顺利完成了年度工作任务。确保了局机关的正常运转，教职工工资福利按时足额发放，公用经费得到有效保障，各项日常教育教学管理活动，部门整体绩效目标完成情况良好。</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预算编制准确：我局严格按照县财政局预算编制要求和标准，采用零基预算法，结合上年度决算情况和本年度工作计划，科学、精准地编制了</w:t>
      </w:r>
      <w:r>
        <w:rPr>
          <w:rFonts w:hint="eastAsia" w:ascii="仿宋" w:hAnsi="仿宋" w:eastAsia="仿宋" w:cs="仿宋"/>
          <w:sz w:val="30"/>
          <w:szCs w:val="30"/>
          <w:lang w:val="en-US" w:eastAsia="zh-CN"/>
        </w:rPr>
        <w:t>年度</w:t>
      </w:r>
      <w:r>
        <w:rPr>
          <w:rFonts w:hint="default" w:ascii="仿宋" w:hAnsi="仿宋" w:eastAsia="仿宋" w:cs="仿宋"/>
          <w:sz w:val="30"/>
          <w:szCs w:val="30"/>
          <w:lang w:val="en-US" w:eastAsia="zh-CN"/>
        </w:rPr>
        <w:t>预算。人员经费按实有在编人数和标准核定，公用经费按定额标准编制，预算编制内容完整、数据准确，最大限度地减少了预决算差异。</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支出控制：年内，我局严格遵守各项财经法规和内部控制制度，强化支出审批流程，严控“三公”经费和一般性行政开支。所有报销凭证规范、手续齐全，确保了资金的支付合规、安全、有效。2024年度支出未超预算，支出控制有效。</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预算动态调整：年度预算执行中，我局根据实际情况，对因人员变动、政策调整等因素造成的预算变化，均按规定程序及时向财政局申请预算调整或调剂，确保了预算管理与实际需求的动态匹配，提高了预算的严肃性和灵活性。</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执行进度：我局高度重视预算执行进度，按月进行执行情况分析，加快资金支付效率，尤其在每季度末和年末等重要时间节点，采取有效措施推进支付进度，确保了预算资金及时发挥效益，全年预算执行进度达到财政要求。</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预算完成情况：2024年，我局部门决算收入总计</w:t>
      </w:r>
      <w:r>
        <w:rPr>
          <w:rFonts w:hint="eastAsia" w:ascii="仿宋" w:hAnsi="仿宋" w:eastAsia="仿宋" w:cs="仿宋"/>
          <w:sz w:val="30"/>
          <w:szCs w:val="30"/>
          <w:lang w:val="en-US" w:eastAsia="zh-CN"/>
        </w:rPr>
        <w:t>205.93</w:t>
      </w:r>
      <w:r>
        <w:rPr>
          <w:rFonts w:hint="default" w:ascii="仿宋" w:hAnsi="仿宋" w:eastAsia="仿宋" w:cs="仿宋"/>
          <w:sz w:val="30"/>
          <w:szCs w:val="30"/>
          <w:lang w:val="en-US" w:eastAsia="zh-CN"/>
        </w:rPr>
        <w:t>万元，全部为财政拨款收入。部门决算支出总计</w:t>
      </w:r>
      <w:r>
        <w:rPr>
          <w:rFonts w:hint="eastAsia" w:ascii="仿宋" w:hAnsi="仿宋" w:eastAsia="仿宋" w:cs="仿宋"/>
          <w:sz w:val="30"/>
          <w:szCs w:val="30"/>
          <w:lang w:val="en-US" w:eastAsia="zh-CN"/>
        </w:rPr>
        <w:t>205.93</w:t>
      </w:r>
      <w:r>
        <w:rPr>
          <w:rFonts w:hint="default" w:ascii="仿宋" w:hAnsi="仿宋" w:eastAsia="仿宋" w:cs="仿宋"/>
          <w:sz w:val="30"/>
          <w:szCs w:val="30"/>
          <w:lang w:val="en-US" w:eastAsia="zh-CN"/>
        </w:rPr>
        <w:t>万元，全部为基本支出，完成年初预算的100%，预算完成情况良好，资金使用效益显著。</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违规记录：2024年度，我局在预算管理和资金使用过程中，严格遵守国家财经法律法规和财务管理制度，未发生任何预算违规违纪行为，未受到财政、审计等部门的处罚或批评。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2024年黑水县教体局（本级）无专项预算项目。</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我局高度重视绩效评价结果的运用，将其作为改进预算管理、提升资金效益和提高公共服务质量的重要依据，逐步建立“评价-反馈-应用-提升”的绩效管理良性循环机制。</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部门自评质量：本次部门整体支出绩效自评工作，由局</w:t>
      </w:r>
      <w:r>
        <w:rPr>
          <w:rFonts w:hint="eastAsia" w:ascii="仿宋" w:hAnsi="仿宋" w:eastAsia="仿宋" w:cs="仿宋"/>
          <w:sz w:val="30"/>
          <w:szCs w:val="30"/>
          <w:lang w:val="en-US" w:eastAsia="zh-CN"/>
        </w:rPr>
        <w:t>计财股</w:t>
      </w:r>
      <w:r>
        <w:rPr>
          <w:rFonts w:hint="default" w:ascii="仿宋" w:hAnsi="仿宋" w:eastAsia="仿宋" w:cs="仿宋"/>
          <w:sz w:val="30"/>
          <w:szCs w:val="30"/>
          <w:lang w:val="en-US" w:eastAsia="zh-CN"/>
        </w:rPr>
        <w:t>牵头，各相关业务股室协同配合，严格依据县财政局规定的评价流程和指标体系开展。自评过程中，我们全面收集了预算批复文件、决算报表、财务凭证、工作总结、业务数据等支撑材料，确保评价过程有理有据、客观公正。自评报告内容完整、数据准确、分析深入，能够真实、全面地反映我局2024年度整体预算绩效情况，自评质量较高。</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绩效目标公开和自评公开情况：我局严格按照《预算法》及县政府关于预决算信息公开的工作要求，履行绩效信息公开义务。2024年部门预算批复后，我局已按规定时间、规定格式在黑水县人民政府官方网站的“预决算公开”专栏公开，本次部门决算公</w:t>
      </w:r>
      <w:r>
        <w:rPr>
          <w:rFonts w:hint="eastAsia" w:ascii="仿宋" w:hAnsi="仿宋" w:eastAsia="仿宋" w:cs="仿宋"/>
          <w:sz w:val="30"/>
          <w:szCs w:val="30"/>
          <w:lang w:val="en-US" w:eastAsia="zh-CN"/>
        </w:rPr>
        <w:t>开包括</w:t>
      </w:r>
      <w:r>
        <w:rPr>
          <w:rFonts w:hint="default" w:ascii="仿宋" w:hAnsi="仿宋" w:eastAsia="仿宋" w:cs="仿宋"/>
          <w:sz w:val="30"/>
          <w:szCs w:val="30"/>
          <w:lang w:val="en-US" w:eastAsia="zh-CN"/>
        </w:rPr>
        <w:t>《</w:t>
      </w:r>
      <w:r>
        <w:rPr>
          <w:rFonts w:hint="eastAsia" w:ascii="仿宋" w:hAnsi="仿宋" w:eastAsia="仿宋" w:cs="仿宋"/>
          <w:sz w:val="30"/>
          <w:szCs w:val="30"/>
          <w:lang w:val="en-US" w:eastAsia="zh-CN"/>
        </w:rPr>
        <w:t>2024年</w:t>
      </w:r>
      <w:r>
        <w:rPr>
          <w:rFonts w:hint="default" w:ascii="仿宋" w:hAnsi="仿宋" w:eastAsia="仿宋" w:cs="仿宋"/>
          <w:sz w:val="30"/>
          <w:szCs w:val="30"/>
          <w:lang w:val="en-US" w:eastAsia="zh-CN"/>
        </w:rPr>
        <w:t>部门整体支出绩效评价报告》作为附件，同样在政府网站同一专栏予以全面公开，主动接受社会公众监督</w:t>
      </w:r>
      <w:bookmarkStart w:id="1" w:name="_GoBack"/>
      <w:bookmarkEnd w:id="1"/>
      <w:r>
        <w:rPr>
          <w:rFonts w:hint="default" w:ascii="仿宋" w:hAnsi="仿宋" w:eastAsia="仿宋" w:cs="仿宋"/>
          <w:sz w:val="30"/>
          <w:szCs w:val="30"/>
          <w:lang w:val="en-US" w:eastAsia="zh-CN"/>
        </w:rPr>
        <w:t>，切实提高财政资金使用的透明度和公信力。</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评价结果整改和应用结果反馈：</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结果应用：根据本次绩效自评结果，我局将对评价中反映出的资金使用效益和效率进行深入分析</w:t>
      </w:r>
      <w:r>
        <w:rPr>
          <w:rFonts w:hint="eastAsia" w:ascii="仿宋" w:hAnsi="仿宋" w:eastAsia="仿宋" w:cs="仿宋"/>
          <w:sz w:val="30"/>
          <w:szCs w:val="30"/>
          <w:lang w:val="en-US" w:eastAsia="zh-CN"/>
        </w:rPr>
        <w:t>，</w:t>
      </w:r>
      <w:r>
        <w:rPr>
          <w:rFonts w:hint="default" w:ascii="仿宋" w:hAnsi="仿宋" w:eastAsia="仿宋" w:cs="仿宋"/>
          <w:sz w:val="30"/>
          <w:szCs w:val="30"/>
          <w:lang w:val="en-US" w:eastAsia="zh-CN"/>
        </w:rPr>
        <w:t>将把绩效评价结果与下一年度的预算编制紧密结合，对于绩效良好的支出方向予以优先保障，对绩效评价中发现的可优化环节</w:t>
      </w:r>
      <w:r>
        <w:rPr>
          <w:rFonts w:hint="eastAsia" w:ascii="仿宋" w:hAnsi="仿宋" w:eastAsia="仿宋" w:cs="仿宋"/>
          <w:sz w:val="30"/>
          <w:szCs w:val="30"/>
          <w:lang w:val="en-US" w:eastAsia="zh-CN"/>
        </w:rPr>
        <w:t>，</w:t>
      </w:r>
      <w:r>
        <w:rPr>
          <w:rFonts w:hint="default" w:ascii="仿宋" w:hAnsi="仿宋" w:eastAsia="仿宋" w:cs="仿宋"/>
          <w:sz w:val="30"/>
          <w:szCs w:val="30"/>
          <w:lang w:val="en-US" w:eastAsia="zh-CN"/>
        </w:rPr>
        <w:t>如部分公用经费的细化管理等进行改进，推动预算编制更加科学、精准。</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eastAsia" w:ascii="仿宋" w:hAnsi="仿宋" w:eastAsia="仿宋" w:cs="仿宋"/>
          <w:sz w:val="30"/>
          <w:szCs w:val="30"/>
          <w:lang w:val="en-US" w:eastAsia="zh-CN"/>
        </w:rPr>
      </w:pPr>
      <w:r>
        <w:rPr>
          <w:rFonts w:hint="default" w:ascii="仿宋" w:hAnsi="仿宋" w:eastAsia="仿宋" w:cs="仿宋"/>
          <w:sz w:val="30"/>
          <w:szCs w:val="30"/>
          <w:lang w:val="en-US" w:eastAsia="zh-CN"/>
        </w:rPr>
        <w:t>反馈与整改：我局整体支出绩效目标完成良好，未发现重大问题和违规情况，但我们仍坚持问题导向。</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keepNext w:val="0"/>
        <w:keepLines w:val="0"/>
        <w:pageBreakBefore w:val="0"/>
        <w:widowControl w:val="0"/>
        <w:kinsoku/>
        <w:wordWrap/>
        <w:overflowPunct/>
        <w:topLinePunct w:val="0"/>
        <w:autoSpaceDE/>
        <w:autoSpaceDN/>
        <w:bidi w:val="0"/>
        <w:spacing w:line="56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综上所述，黑水县教体局（本级）2024年部门整体支出绩效评价良好。</w:t>
      </w:r>
    </w:p>
    <w:p>
      <w:pPr>
        <w:keepNext w:val="0"/>
        <w:keepLines w:val="0"/>
        <w:pageBreakBefore w:val="0"/>
        <w:widowControl w:val="0"/>
        <w:numPr>
          <w:ilvl w:val="0"/>
          <w:numId w:val="5"/>
        </w:numPr>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pPr>
        <w:pStyle w:val="2"/>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无</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pStyle w:val="2"/>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无</w:t>
      </w: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69F3D"/>
    <w:multiLevelType w:val="singleLevel"/>
    <w:tmpl w:val="BEC69F3D"/>
    <w:lvl w:ilvl="0" w:tentative="0">
      <w:start w:val="2"/>
      <w:numFmt w:val="chineseCounting"/>
      <w:suff w:val="nothing"/>
      <w:lvlText w:val="%1、"/>
      <w:lvlJc w:val="left"/>
      <w:rPr>
        <w:rFonts w:hint="eastAsia"/>
      </w:rPr>
    </w:lvl>
  </w:abstractNum>
  <w:abstractNum w:abstractNumId="1">
    <w:nsid w:val="FFFB3CA6"/>
    <w:multiLevelType w:val="singleLevel"/>
    <w:tmpl w:val="FFFB3CA6"/>
    <w:lvl w:ilvl="0" w:tentative="0">
      <w:start w:val="1"/>
      <w:numFmt w:val="decimal"/>
      <w:lvlText w:val="%1."/>
      <w:lvlJc w:val="left"/>
      <w:pPr>
        <w:tabs>
          <w:tab w:val="left" w:pos="312"/>
        </w:tabs>
      </w:pPr>
    </w:lvl>
  </w:abstractNum>
  <w:abstractNum w:abstractNumId="2">
    <w:nsid w:val="3A2E38B7"/>
    <w:multiLevelType w:val="singleLevel"/>
    <w:tmpl w:val="3A2E38B7"/>
    <w:lvl w:ilvl="0" w:tentative="0">
      <w:start w:val="2"/>
      <w:numFmt w:val="chineseCounting"/>
      <w:suff w:val="nothing"/>
      <w:lvlText w:val="（%1）"/>
      <w:lvlJc w:val="left"/>
      <w:rPr>
        <w:rFonts w:hint="eastAsia"/>
      </w:r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4">
    <w:nsid w:val="76CB48A7"/>
    <w:multiLevelType w:val="singleLevel"/>
    <w:tmpl w:val="76CB48A7"/>
    <w:lvl w:ilvl="0" w:tentative="0">
      <w:start w:val="2"/>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53C0B4A"/>
    <w:rsid w:val="067122EE"/>
    <w:rsid w:val="1434585C"/>
    <w:rsid w:val="225B3466"/>
    <w:rsid w:val="2BDB3AEB"/>
    <w:rsid w:val="2D3B11C8"/>
    <w:rsid w:val="2E5E6967"/>
    <w:rsid w:val="2FFAED2B"/>
    <w:rsid w:val="33C27184"/>
    <w:rsid w:val="34AA5F88"/>
    <w:rsid w:val="34EB1F43"/>
    <w:rsid w:val="36435EC2"/>
    <w:rsid w:val="3AB45C66"/>
    <w:rsid w:val="3CD1BF9D"/>
    <w:rsid w:val="3E20240B"/>
    <w:rsid w:val="4174252B"/>
    <w:rsid w:val="43EB7E23"/>
    <w:rsid w:val="46354EE5"/>
    <w:rsid w:val="4A0F099D"/>
    <w:rsid w:val="4B2B4994"/>
    <w:rsid w:val="4C64640B"/>
    <w:rsid w:val="4DD97D2F"/>
    <w:rsid w:val="53492729"/>
    <w:rsid w:val="60D032A5"/>
    <w:rsid w:val="62886858"/>
    <w:rsid w:val="63387CCA"/>
    <w:rsid w:val="6B862CFA"/>
    <w:rsid w:val="74F65277"/>
    <w:rsid w:val="7EB7712F"/>
    <w:rsid w:val="D71F72D9"/>
    <w:rsid w:val="D7FEF289"/>
    <w:rsid w:val="DCFF5CAB"/>
    <w:rsid w:val="E1AE2294"/>
    <w:rsid w:val="F6DFE0A1"/>
    <w:rsid w:val="FE1F257E"/>
    <w:rsid w:val="FFDFD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qFormat/>
    <w:uiPriority w:val="99"/>
    <w:pPr>
      <w:spacing w:beforeLines="30"/>
    </w:pPr>
    <w:rPr>
      <w:rFonts w:ascii="仿宋_GB2312" w:eastAsia="仿宋_GB2312"/>
      <w:kern w:val="0"/>
      <w:sz w:val="30"/>
    </w:r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rPr>
      <w:sz w:val="24"/>
    </w:rPr>
  </w:style>
  <w:style w:type="character" w:customStyle="1" w:styleId="10">
    <w:name w:val="页眉 Char"/>
    <w:basedOn w:val="9"/>
    <w:link w:val="6"/>
    <w:semiHidden/>
    <w:qFormat/>
    <w:uiPriority w:val="99"/>
    <w:rPr>
      <w:sz w:val="18"/>
      <w:szCs w:val="18"/>
    </w:rPr>
  </w:style>
  <w:style w:type="character" w:customStyle="1" w:styleId="11">
    <w:name w:val="页脚 Char"/>
    <w:basedOn w:val="9"/>
    <w:link w:val="5"/>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332</Words>
  <Characters>337</Characters>
  <Lines>2</Lines>
  <Paragraphs>1</Paragraphs>
  <TotalTime>24</TotalTime>
  <ScaleCrop>false</ScaleCrop>
  <LinksUpToDate>false</LinksUpToDate>
  <CharactersWithSpaces>337</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聋子听见哑巴说瞎子看见爱</cp:lastModifiedBy>
  <dcterms:modified xsi:type="dcterms:W3CDTF">2025-08-30T15:42:15Z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3115989309D741DA945EE44A488D69E1</vt:lpwstr>
  </property>
</Properties>
</file>