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华文中宋"/>
          <w:bCs/>
          <w:sz w:val="36"/>
          <w:szCs w:val="44"/>
          <w:lang w:val="en-US" w:eastAsia="zh-CN"/>
        </w:rPr>
      </w:pPr>
      <w:r>
        <w:rPr>
          <w:rFonts w:hint="eastAsia" w:ascii="仿宋_GB2312" w:hAnsi="华文中宋"/>
          <w:bCs/>
          <w:sz w:val="36"/>
          <w:szCs w:val="44"/>
        </w:rPr>
        <w:t>黑水县</w:t>
      </w:r>
      <w:r>
        <w:rPr>
          <w:rFonts w:hint="eastAsia" w:ascii="仿宋_GB2312" w:hAnsi="华文中宋"/>
          <w:bCs/>
          <w:sz w:val="36"/>
          <w:szCs w:val="44"/>
          <w:lang w:val="en-US" w:eastAsia="zh-CN"/>
        </w:rPr>
        <w:t>维古中心校</w:t>
      </w:r>
    </w:p>
    <w:p>
      <w:pPr>
        <w:jc w:val="center"/>
        <w:rPr>
          <w:rFonts w:ascii="宋体" w:hAnsi="宋体" w:eastAsia="宋体" w:cs="宋体"/>
          <w:b/>
          <w:sz w:val="36"/>
          <w:szCs w:val="44"/>
        </w:rPr>
      </w:pPr>
      <w:r>
        <w:rPr>
          <w:rFonts w:hint="eastAsia" w:ascii="仿宋_GB2312" w:hAnsi="华文中宋"/>
          <w:bCs/>
          <w:sz w:val="36"/>
          <w:szCs w:val="44"/>
        </w:rPr>
        <w:t>彩票公益金转移支付202</w:t>
      </w:r>
      <w:r>
        <w:rPr>
          <w:rFonts w:hint="eastAsia" w:ascii="仿宋_GB2312" w:hAnsi="华文中宋"/>
          <w:bCs/>
          <w:sz w:val="36"/>
          <w:szCs w:val="44"/>
          <w:lang w:val="en-US" w:eastAsia="zh-CN"/>
        </w:rPr>
        <w:t>4</w:t>
      </w:r>
      <w:r>
        <w:rPr>
          <w:rFonts w:hint="eastAsia" w:ascii="仿宋_GB2312" w:hAnsi="华文中宋"/>
          <w:bCs/>
          <w:sz w:val="36"/>
          <w:szCs w:val="44"/>
        </w:rPr>
        <w:t>年度绩效自评报告</w:t>
      </w:r>
    </w:p>
    <w:p>
      <w:pPr>
        <w:jc w:val="center"/>
        <w:rPr>
          <w:rFonts w:ascii="仿宋_GB2312"/>
          <w:szCs w:val="32"/>
        </w:rPr>
      </w:pPr>
    </w:p>
    <w:p>
      <w:pPr>
        <w:spacing w:line="600" w:lineRule="exact"/>
        <w:ind w:firstLine="643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一、基本情况</w:t>
      </w:r>
      <w:bookmarkStart w:id="0" w:name="_GoBack"/>
      <w:bookmarkEnd w:id="0"/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（一）转移支付概况。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202</w:t>
      </w:r>
      <w:r>
        <w:rPr>
          <w:rFonts w:hint="eastAsia" w:ascii="仿宋_GB2312" w:hAnsi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"/>
          <w:color w:val="000000"/>
          <w:sz w:val="32"/>
          <w:szCs w:val="32"/>
        </w:rPr>
        <w:t>年彩票公益金1.5万元用于乡村学校少年宫正常运转。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（二）整体绩效目标情况。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我县202</w:t>
      </w:r>
      <w:r>
        <w:rPr>
          <w:rFonts w:hint="eastAsia" w:ascii="仿宋_GB2312" w:hAnsi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"/>
          <w:color w:val="000000"/>
          <w:sz w:val="32"/>
          <w:szCs w:val="32"/>
        </w:rPr>
        <w:t>年乡村学校少年宫正常运转项目自评99.5分。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我县乡村学校少年宫依托农村中小学校现有场地、教室和设施，进行修缮并配备必要的设备器材，依靠学校教师进行管理，在课余时间和节假日组织开展普及性课外活动的公益性活动。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乡村学校少年宫既是青少年的活动场所，也是推进素质教育的载体和阵地，满足了农村未成年人对优质教育资源的渴望，为农村未成年人的健康成长和全面发展创造了良好的条件。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（三）区域绩效目标情况。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我县202</w:t>
      </w:r>
      <w:r>
        <w:rPr>
          <w:rFonts w:hint="eastAsia" w:ascii="仿宋_GB2312" w:hAnsi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"/>
          <w:color w:val="000000"/>
          <w:sz w:val="32"/>
          <w:szCs w:val="32"/>
        </w:rPr>
        <w:t>年乡村学校少年宫1所，彩票公益金转移支付资金覆盖乡村学校少年宫1所。</w:t>
      </w:r>
    </w:p>
    <w:p>
      <w:pPr>
        <w:spacing w:line="600" w:lineRule="exact"/>
        <w:ind w:firstLine="643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二、综合评价结论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（一）实现了校内外教育的有机结合。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学校以“乡村学校少年宫”为载体，把“乡村学校少年宫”活动列入了学校教育教学计划，保证了未成年人每天都能参加课外活动。形成了学校教育与“乡村学校少年宫”活动紧密衔接，拓展了教育的途径和领域，有效推动了素质教育水平的提高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（二）学生综合素质明显提高。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“乡村学校少年宫”活动促进了未成年人综合素质的提升，未成年人懂得感恩父母，体谅他人，学到了课本以外的知识技能，社会实践能力得到进一步提高。未成年人从个人兴趣出发参加兴趣小组的活动，培养了初步的特长，促进了全面发展。通过参加思维训练活动，开发了智力，促进了学习成绩的提高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（三）丰富了学生的课余生活。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未成年人在快乐高效的课堂上学习知识，在丰富多彩的课外活动中陶冶身心。</w:t>
      </w:r>
    </w:p>
    <w:p>
      <w:pPr>
        <w:spacing w:line="600" w:lineRule="exact"/>
        <w:ind w:firstLine="643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三、绩效情况分析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（一）资金情况分析。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共投入资金1.5万元，完成支付1.5万元。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（二）资金管理情况分析。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按照《四川省财政厅四川省精神文明建设办公室四川省教育厅关于印发&lt;中央专项彩票公益金支持乡村学校少年宫项目实施办法&gt;的通知》（川财综〔2011〕45号）等文件要求，管理全县乡村学校少年宫。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（三）总体目标完成情况分析。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通过此项目的实施，一是提高了未成年人的思想道德素质、科学文化素质和健康素质，培养全面发展的社会主义接班人。二是通过开展活动向未成年人普及科学技术、劳动技术、文学艺术、体育等方面的知识，开阔他们的眼界，发展他们多方面的兴趣、爱好和特长；培养他们勤动手、善思考、勇于创新的良好习惯，使他们在实践中增长才干，促进健康成长、全面发展。三是通过丰富多彩的具有实践性、趣味性、教育性、灵活性的活动来配合学校教育，培养未成年人适应社会的能力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（四）绩效指标完成情况分析。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1.产出指标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覆盖乡村学校少年宫所数1所，活动器材质量合格率≥95%，资金及时下拨，乡村学校少年宫运转经费标准1.5万元。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2.效益指标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提升学生课外活动兴趣，提升教师业务水平，提升学生综合素质，提升学生心理健康水平，增强学生社会实践能力。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3.满意度指标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学生及家长满意率≥90%。</w:t>
      </w:r>
    </w:p>
    <w:p>
      <w:pPr>
        <w:spacing w:line="600" w:lineRule="exact"/>
        <w:ind w:firstLine="643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四、发现的主要问题和改进措施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1.乡村学校少年宫辅导员教师队伍建设还需加强。少年宫辅导员由学校教师兼任，有特长的教师不多，制约着学校少年宫活动项目的拓展和活动内容的丰富。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2.乡村学校少年宫是在学校教室的基础上改建的，活动场地窄等因素，使得少年宫活动难以达到较高水平。</w:t>
      </w:r>
    </w:p>
    <w:p>
      <w:pPr>
        <w:spacing w:line="600" w:lineRule="exact"/>
        <w:ind w:firstLine="643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五、绩效自评工作开展情况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建议一是上级财政将运转类经费及早下拨，二是加大少年宫辅导员教师交流、培训。</w:t>
      </w:r>
    </w:p>
    <w:p>
      <w:pPr>
        <w:spacing w:line="600" w:lineRule="exact"/>
        <w:ind w:firstLine="643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六、其他需要说明的问题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无。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B56F2F"/>
    <w:rsid w:val="0D360702"/>
    <w:rsid w:val="129810DD"/>
    <w:rsid w:val="2FD77B8F"/>
    <w:rsid w:val="5F4BB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445</Words>
  <Characters>462</Characters>
  <Lines>0</Lines>
  <Paragraphs>0</Paragraphs>
  <TotalTime>6</TotalTime>
  <ScaleCrop>false</ScaleCrop>
  <LinksUpToDate>false</LinksUpToDate>
  <CharactersWithSpaces>462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2025-08-28T17:03:00Z</dcterms:created>
  <dc:creator>Administrator</dc:creator>
  <cp:lastModifiedBy>Administrator</cp:lastModifiedBy>
  <dcterms:modified xsi:type="dcterms:W3CDTF">2025-09-01T03:52:55Z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KSOTemplateDocerSaveRecord">
    <vt:lpwstr>eyJoZGlkIjoiZTA4NzIyN2MxYTlmMzQ1NGE2MjU5NWRkMjhlOGMxYTAiLCJ1c2VySWQiOiI3MjA2NDYzMTgifQ==</vt:lpwstr>
  </property>
  <property fmtid="{D5CDD505-2E9C-101B-9397-08002B2CF9AE}" pid="4" name="ICV">
    <vt:lpwstr>3A7075E8AAFF4E879CD5A580AA75501D_12</vt:lpwstr>
  </property>
</Properties>
</file>