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黑水县城关幼儿园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整体支出绩效评价报告</w:t>
      </w:r>
      <w:bookmarkEnd w:id="0"/>
    </w:p>
    <w:p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bookmarkStart w:id="1" w:name="_GoBack"/>
      <w:bookmarkEnd w:id="1"/>
      <w:r>
        <w:rPr>
          <w:rFonts w:hint="eastAsia" w:ascii="仿宋_GB2312" w:hAnsi="仿宋" w:eastAsia="仿宋_GB2312" w:cs="仿宋_GB2312"/>
          <w:sz w:val="32"/>
          <w:szCs w:val="32"/>
        </w:rPr>
        <w:t>黑水县城关幼儿园是属于财政全额拨款的公办幼儿园，二类事业单位，编制人数4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人，设有园长1名，副园长 2 名，总务主任1名，安全办公室主任1名，党政办主任1名，保教办主任1名，工会主席1名，内设保教处、总务处、工会、财务、安全办、党政办六个机构。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（二）机构职能。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开展学校的学前教育教学管理与改革、学前教育质量监控等工作；以“自强拼搏，强体壮翼，突出重点，均衡发展”为主线，紧紧围绕“提高教育教学质量”这个中心，抓住“教育改革、素质教育”两个重点，实现“学校管理水平、教师整体素质、教育社会形象”三个提升，打好“学前教育、教学改革、教育扶贫、安全稳定”四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场</w:t>
      </w:r>
      <w:r>
        <w:rPr>
          <w:rFonts w:hint="eastAsia" w:ascii="仿宋_GB2312" w:hAnsi="仿宋" w:eastAsia="仿宋_GB2312" w:cs="仿宋_GB2312"/>
          <w:sz w:val="32"/>
          <w:szCs w:val="32"/>
        </w:rPr>
        <w:t>攻坚战，全县学前教育工作顺利推进，进一步促进幼儿教育均衡健康发展。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开展学前教育幼儿午餐补助、减免保教费等各级各类学生资助政策的落实。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（三）人员概况。</w:t>
      </w:r>
    </w:p>
    <w:p>
      <w:pPr>
        <w:spacing w:line="580" w:lineRule="exact"/>
        <w:ind w:firstLine="56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hAnsi="仿宋" w:eastAsia="仿宋"/>
          <w:sz w:val="28"/>
          <w:szCs w:val="28"/>
        </w:rPr>
        <w:t>本单位本年度年末实有人数为44人，比上年减少3人；年末实有离退休人数为0人；变动情况及原因：调出3名。年末实有其他人数为0人，比上年增加0人；变动情况及原因为：无。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年财政拨款收入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1120</w:t>
      </w:r>
      <w:r>
        <w:rPr>
          <w:rFonts w:hint="eastAsia" w:ascii="仿宋_GB2312" w:hAnsi="仿宋" w:eastAsia="仿宋_GB2312" w:cs="仿宋_GB2312"/>
          <w:sz w:val="32"/>
          <w:szCs w:val="32"/>
        </w:rPr>
        <w:t>万元，其中，财政拨款收入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1120</w:t>
      </w:r>
      <w:r>
        <w:rPr>
          <w:rFonts w:hint="eastAsia" w:ascii="仿宋_GB2312" w:hAnsi="仿宋" w:eastAsia="仿宋_GB2312" w:cs="仿宋_GB2312"/>
          <w:sz w:val="32"/>
          <w:szCs w:val="32"/>
        </w:rPr>
        <w:t>万元；一般公共预算财政拨款收入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1117</w:t>
      </w:r>
      <w:r>
        <w:rPr>
          <w:rFonts w:hint="eastAsia" w:ascii="仿宋_GB2312" w:hAnsi="仿宋" w:eastAsia="仿宋_GB2312" w:cs="仿宋_GB2312"/>
          <w:sz w:val="32"/>
          <w:szCs w:val="32"/>
        </w:rPr>
        <w:t>万元。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（二）部门财政资金支出情况。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2023年支出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1120</w:t>
      </w:r>
      <w:r>
        <w:rPr>
          <w:rFonts w:hint="eastAsia" w:ascii="仿宋_GB2312" w:hAnsi="仿宋" w:eastAsia="仿宋_GB2312" w:cs="仿宋_GB2312"/>
          <w:sz w:val="32"/>
          <w:szCs w:val="32"/>
        </w:rPr>
        <w:t>万元，其中：基本经费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1001.48</w:t>
      </w:r>
      <w:r>
        <w:rPr>
          <w:rFonts w:hint="eastAsia" w:ascii="仿宋_GB2312" w:hAnsi="仿宋" w:eastAsia="仿宋_GB2312" w:cs="仿宋_GB2312"/>
          <w:sz w:val="32"/>
          <w:szCs w:val="32"/>
        </w:rPr>
        <w:t>万元、项目支出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118.52</w:t>
      </w:r>
      <w:r>
        <w:rPr>
          <w:rFonts w:hint="eastAsia" w:ascii="仿宋_GB2312" w:hAnsi="仿宋" w:eastAsia="仿宋_GB2312" w:cs="仿宋_GB2312"/>
          <w:sz w:val="32"/>
          <w:szCs w:val="32"/>
        </w:rPr>
        <w:t>万元。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包括部门绩效目标制定、目标完成、预算编制准确、支出控制、预算动态调整、执行进度、预算完成情况和违规记录等情况。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(1)目标制定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(一)202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年预算目标制定情况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1.预算编制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(1)目标制定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根据黑水县财政局202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 xml:space="preserve">年部门预算要求，被评价单位按照省、州、县级部门预算编制通知和有关要求，按时完成基础库、项目库报送工作。   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黑水县城关幼儿园财政拨款收入总预算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1120</w:t>
      </w:r>
      <w:r>
        <w:rPr>
          <w:rFonts w:hint="eastAsia" w:ascii="仿宋_GB2312" w:hAnsi="仿宋" w:eastAsia="仿宋_GB2312" w:cs="仿宋_GB2312"/>
          <w:sz w:val="32"/>
          <w:szCs w:val="32"/>
        </w:rPr>
        <w:t>万元，收入包括：本年一般公共预算收入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1117</w:t>
      </w:r>
      <w:r>
        <w:rPr>
          <w:rFonts w:hint="eastAsia" w:ascii="仿宋_GB2312" w:hAnsi="仿宋" w:eastAsia="仿宋_GB2312" w:cs="仿宋_GB2312"/>
          <w:sz w:val="32"/>
          <w:szCs w:val="32"/>
        </w:rPr>
        <w:t>万元；政府性基金拨款收入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 w:cs="仿宋_GB2312"/>
          <w:sz w:val="32"/>
          <w:szCs w:val="32"/>
        </w:rPr>
        <w:t>万元；其中：基本支出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1001.48</w:t>
      </w:r>
      <w:r>
        <w:rPr>
          <w:rFonts w:hint="eastAsia" w:ascii="仿宋_GB2312" w:hAnsi="仿宋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118.52</w:t>
      </w:r>
      <w:r>
        <w:rPr>
          <w:rFonts w:hint="eastAsia" w:ascii="仿宋_GB2312" w:hAnsi="仿宋" w:eastAsia="仿宋_GB2312" w:cs="仿宋_GB2312"/>
          <w:sz w:val="32"/>
          <w:szCs w:val="32"/>
        </w:rPr>
        <w:t>万元。按支出功能分类，支出包括：教育支出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833.96</w:t>
      </w:r>
      <w:r>
        <w:rPr>
          <w:rFonts w:hint="eastAsia" w:ascii="仿宋_GB2312" w:hAnsi="仿宋" w:eastAsia="仿宋_GB2312" w:cs="仿宋_GB2312"/>
          <w:sz w:val="32"/>
          <w:szCs w:val="32"/>
        </w:rPr>
        <w:t>万元、社会保障和就业支出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143.58</w:t>
      </w:r>
      <w:r>
        <w:rPr>
          <w:rFonts w:hint="eastAsia" w:ascii="仿宋_GB2312" w:hAnsi="仿宋" w:eastAsia="仿宋_GB2312" w:cs="仿宋_GB2312"/>
          <w:sz w:val="32"/>
          <w:szCs w:val="32"/>
        </w:rPr>
        <w:t>万元、医疗卫生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" w:eastAsia="仿宋_GB2312" w:cs="仿宋_GB2312"/>
          <w:sz w:val="32"/>
          <w:szCs w:val="32"/>
        </w:rPr>
        <w:t>计划生育支出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57.45</w:t>
      </w:r>
      <w:r>
        <w:rPr>
          <w:rFonts w:hint="eastAsia" w:ascii="仿宋_GB2312" w:hAnsi="仿宋" w:eastAsia="仿宋_GB2312" w:cs="仿宋_GB2312"/>
          <w:sz w:val="32"/>
          <w:szCs w:val="32"/>
        </w:rPr>
        <w:t>万元、住房保障支出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82.01万元。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(2)目标实现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我局202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年部门整体支出预算为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1120</w:t>
      </w:r>
      <w:r>
        <w:rPr>
          <w:rFonts w:hint="eastAsia" w:ascii="仿宋_GB2312" w:hAnsi="仿宋" w:eastAsia="仿宋_GB2312" w:cs="仿宋_GB2312"/>
          <w:sz w:val="32"/>
          <w:szCs w:val="32"/>
        </w:rPr>
        <w:t>万元。其中: 基本经费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1001.48</w:t>
      </w:r>
      <w:r>
        <w:rPr>
          <w:rFonts w:hint="eastAsia" w:ascii="仿宋_GB2312" w:hAnsi="仿宋" w:eastAsia="仿宋_GB2312" w:cs="仿宋_GB2312"/>
          <w:sz w:val="32"/>
          <w:szCs w:val="32"/>
        </w:rPr>
        <w:t>万元、项目支出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118.521</w:t>
      </w:r>
      <w:r>
        <w:rPr>
          <w:rFonts w:hint="eastAsia" w:ascii="仿宋_GB2312" w:hAnsi="仿宋" w:eastAsia="仿宋_GB2312" w:cs="仿宋_GB2312"/>
          <w:sz w:val="32"/>
          <w:szCs w:val="32"/>
        </w:rPr>
        <w:t>万元；其中按支出功能分类，预算支出包括: 教育支出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833.96</w:t>
      </w:r>
      <w:r>
        <w:rPr>
          <w:rFonts w:hint="eastAsia" w:ascii="仿宋_GB2312" w:hAnsi="仿宋" w:eastAsia="仿宋_GB2312" w:cs="仿宋_GB2312"/>
          <w:sz w:val="32"/>
          <w:szCs w:val="32"/>
        </w:rPr>
        <w:t>万元、社会保障和就业支出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143.58</w:t>
      </w:r>
      <w:r>
        <w:rPr>
          <w:rFonts w:hint="eastAsia" w:ascii="仿宋_GB2312" w:hAnsi="仿宋" w:eastAsia="仿宋_GB2312" w:cs="仿宋_GB2312"/>
          <w:sz w:val="32"/>
          <w:szCs w:val="32"/>
        </w:rPr>
        <w:t>万元、医疗卫生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" w:eastAsia="仿宋_GB2312" w:cs="仿宋_GB2312"/>
          <w:sz w:val="32"/>
          <w:szCs w:val="32"/>
        </w:rPr>
        <w:t>计划生育支出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57.45</w:t>
      </w:r>
      <w:r>
        <w:rPr>
          <w:rFonts w:hint="eastAsia" w:ascii="仿宋_GB2312" w:hAnsi="仿宋" w:eastAsia="仿宋_GB2312" w:cs="仿宋_GB2312"/>
          <w:sz w:val="32"/>
          <w:szCs w:val="32"/>
        </w:rPr>
        <w:t>万元、住房保障支出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82.01</w:t>
      </w:r>
      <w:r>
        <w:rPr>
          <w:rFonts w:hint="eastAsia" w:ascii="仿宋_GB2312" w:hAnsi="仿宋" w:eastAsia="仿宋_GB2312" w:cs="仿宋_GB2312"/>
          <w:sz w:val="32"/>
          <w:szCs w:val="32"/>
        </w:rPr>
        <w:t>万元。按支出性质和经济分类，人员经费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933.19</w:t>
      </w:r>
      <w:r>
        <w:rPr>
          <w:rFonts w:hint="eastAsia" w:ascii="仿宋_GB2312" w:hAnsi="仿宋" w:eastAsia="仿宋_GB2312" w:cs="仿宋_GB2312"/>
          <w:sz w:val="32"/>
          <w:szCs w:val="32"/>
        </w:rPr>
        <w:t>万元,主要包括:基本工资、津贴补贴、奖金、绩效工资、机关事业单位基本养老保险缴费、职业基本医疗保险缴费、公务员医疗补助缴费、其他社会保障缴费、住房公积金。公用经费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8.29</w:t>
      </w:r>
      <w:r>
        <w:rPr>
          <w:rFonts w:hint="eastAsia" w:ascii="仿宋_GB2312" w:hAnsi="仿宋" w:eastAsia="仿宋_GB2312" w:cs="仿宋_GB2312"/>
          <w:sz w:val="32"/>
          <w:szCs w:val="32"/>
        </w:rPr>
        <w:t>万元,主要包括:办公费、水费、电费、邮电费、差旅费、维修(护)费、培训费、公务接待费、劳务费、公务用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车</w:t>
      </w:r>
      <w:r>
        <w:rPr>
          <w:rFonts w:hint="eastAsia" w:ascii="仿宋_GB2312" w:hAnsi="仿宋" w:eastAsia="仿宋_GB2312" w:cs="仿宋_GB2312"/>
          <w:sz w:val="32"/>
          <w:szCs w:val="32"/>
        </w:rPr>
        <w:t>运行维护费。项目支出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118.51</w:t>
      </w:r>
      <w:r>
        <w:rPr>
          <w:rFonts w:hint="eastAsia" w:ascii="仿宋_GB2312" w:hAnsi="仿宋" w:eastAsia="仿宋_GB2312" w:cs="仿宋_GB2312"/>
          <w:sz w:val="32"/>
          <w:szCs w:val="32"/>
        </w:rPr>
        <w:t>万元，主要包括学前教育保教费、学前教育午餐补助金、教育教学办学条件改善项目资金等。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(3)编制准确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1.预算编制准确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本单位202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年度收入调整预算数为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1120</w:t>
      </w:r>
      <w:r>
        <w:rPr>
          <w:rFonts w:hint="eastAsia" w:ascii="仿宋_GB2312" w:hAnsi="仿宋" w:eastAsia="仿宋_GB2312" w:cs="仿宋_GB2312"/>
          <w:sz w:val="32"/>
          <w:szCs w:val="32"/>
        </w:rPr>
        <w:t>万元，收入决算数为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1120</w:t>
      </w:r>
      <w:r>
        <w:rPr>
          <w:rFonts w:hint="eastAsia" w:ascii="仿宋_GB2312" w:hAnsi="仿宋" w:eastAsia="仿宋_GB2312" w:cs="仿宋_GB2312"/>
          <w:sz w:val="32"/>
          <w:szCs w:val="32"/>
        </w:rPr>
        <w:t>万元，预算完成度为100.00%。 本年度支出调整预算数为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1120</w:t>
      </w:r>
      <w:r>
        <w:rPr>
          <w:rFonts w:hint="eastAsia" w:ascii="仿宋_GB2312" w:hAnsi="仿宋" w:eastAsia="仿宋_GB2312" w:cs="仿宋_GB2312"/>
          <w:sz w:val="32"/>
          <w:szCs w:val="32"/>
        </w:rPr>
        <w:t>万元，支出决算数为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1120</w:t>
      </w:r>
      <w:r>
        <w:rPr>
          <w:rFonts w:hint="eastAsia" w:ascii="仿宋_GB2312" w:hAnsi="仿宋" w:eastAsia="仿宋_GB2312" w:cs="仿宋_GB2312"/>
          <w:sz w:val="32"/>
          <w:szCs w:val="32"/>
        </w:rPr>
        <w:t>万元，预算完成度为100.00%。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包括专项预算项目程序严密、规划合理、结果符合、分配科学、分配及时、专项预算绩效目标完成、实施绩效、违规记录等情况。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项目程序均按相关文件规定设置，程序严密，结果与预期相符合，已如期实施完成，项目结果评分良好，无违规违纪行为。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包括部门自评质量、绩效目标公开和自评公开、评价结果整改和应用结果反馈等情况。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1.信息公开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年3月2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日本单位在黑水县人民政府官网上公开了《阿坝州黑水县教育局202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年部门预算编制说明》（包括城关幼儿园），并附带公开《202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年阿坝州黑水县教育局预算公开表》（包括城关幼儿园）。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本单位未收到公开信息质疑。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（二）存在问题。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（三）改进建议。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91B22"/>
    <w:rsid w:val="00291808"/>
    <w:rsid w:val="00491B22"/>
    <w:rsid w:val="0052390C"/>
    <w:rsid w:val="0D8B5491"/>
    <w:rsid w:val="1B6374F8"/>
    <w:rsid w:val="34EB1F43"/>
    <w:rsid w:val="36435EC2"/>
    <w:rsid w:val="3FF3A39E"/>
    <w:rsid w:val="43EB7E23"/>
    <w:rsid w:val="4DD97D2F"/>
    <w:rsid w:val="60D032A5"/>
    <w:rsid w:val="7E4C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332</Words>
  <Characters>337</Characters>
  <Lines>2</Lines>
  <Paragraphs>1</Paragraphs>
  <TotalTime>15</TotalTime>
  <ScaleCrop>false</ScaleCrop>
  <LinksUpToDate>false</LinksUpToDate>
  <CharactersWithSpaces>337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Administrator</cp:lastModifiedBy>
  <dcterms:modified xsi:type="dcterms:W3CDTF">2025-09-01T04:40:06Z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3115989309D741DA945EE44A488D69E1</vt:lpwstr>
  </property>
</Properties>
</file>