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tLeast"/>
        <w:ind w:firstLine="60"/>
        <w:jc w:val="center"/>
        <w:rPr>
          <w:rFonts w:hint="default" w:ascii="方正小标宋简体" w:hAnsi="宋体" w:eastAsia="方正小标宋简体" w:cs="宋体"/>
          <w:kern w:val="0"/>
          <w:sz w:val="36"/>
          <w:szCs w:val="36"/>
          <w:lang w:val="en-US" w:eastAsia="zh-CN"/>
        </w:rPr>
      </w:pPr>
      <w:r>
        <w:rPr>
          <w:rFonts w:hint="eastAsia" w:ascii="方正小标宋简体" w:hAnsi="宋体" w:eastAsia="方正小标宋简体" w:cs="宋体"/>
          <w:kern w:val="0"/>
          <w:sz w:val="36"/>
          <w:szCs w:val="36"/>
        </w:rPr>
        <w:t>黑水县</w:t>
      </w:r>
      <w:r>
        <w:rPr>
          <w:rFonts w:hint="eastAsia" w:ascii="方正小标宋简体" w:hAnsi="宋体" w:eastAsia="方正小标宋简体" w:cs="宋体"/>
          <w:kern w:val="0"/>
          <w:sz w:val="36"/>
          <w:szCs w:val="36"/>
          <w:lang w:val="en-US" w:eastAsia="zh-CN"/>
        </w:rPr>
        <w:t>教育和体育局（本级）</w:t>
      </w:r>
    </w:p>
    <w:p>
      <w:pPr>
        <w:widowControl/>
        <w:spacing w:line="480" w:lineRule="atLeast"/>
        <w:ind w:firstLine="60"/>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rPr>
        <w:t>关于“三公”经费</w:t>
      </w:r>
      <w:r>
        <w:rPr>
          <w:rFonts w:hint="eastAsia" w:ascii="方正小标宋简体" w:hAnsi="宋体" w:eastAsia="方正小标宋简体" w:cs="宋体"/>
          <w:kern w:val="0"/>
          <w:sz w:val="36"/>
          <w:szCs w:val="36"/>
          <w:lang w:eastAsia="zh-CN"/>
        </w:rPr>
        <w:t>202</w:t>
      </w:r>
      <w:r>
        <w:rPr>
          <w:rFonts w:hint="eastAsia" w:ascii="方正小标宋简体" w:hAnsi="宋体" w:eastAsia="方正小标宋简体" w:cs="宋体"/>
          <w:kern w:val="0"/>
          <w:sz w:val="36"/>
          <w:szCs w:val="36"/>
          <w:lang w:val="en-US" w:eastAsia="zh-CN"/>
        </w:rPr>
        <w:t>5</w:t>
      </w:r>
      <w:r>
        <w:rPr>
          <w:rFonts w:hint="eastAsia" w:ascii="方正小标宋简体" w:hAnsi="宋体" w:eastAsia="方正小标宋简体" w:cs="宋体"/>
          <w:kern w:val="0"/>
          <w:sz w:val="36"/>
          <w:szCs w:val="36"/>
        </w:rPr>
        <w:t>年决算情况说明</w:t>
      </w:r>
    </w:p>
    <w:p>
      <w:pPr>
        <w:widowControl/>
        <w:spacing w:line="480" w:lineRule="atLeast"/>
        <w:ind w:firstLine="60"/>
        <w:rPr>
          <w:rFonts w:ascii="仿宋_GB2312" w:hAnsi="宋体" w:eastAsia="仿宋_GB2312" w:cs="宋体"/>
          <w:color w:val="333333"/>
          <w:kern w:val="0"/>
          <w:sz w:val="32"/>
          <w:szCs w:val="32"/>
        </w:rPr>
      </w:pPr>
    </w:p>
    <w:p>
      <w:pPr>
        <w:widowControl/>
        <w:spacing w:line="480" w:lineRule="atLeast"/>
        <w:ind w:firstLine="697" w:firstLineChars="218"/>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我单位</w:t>
      </w:r>
      <w:bookmarkStart w:id="0" w:name="_GoBack"/>
      <w:bookmarkEnd w:id="0"/>
      <w:r>
        <w:rPr>
          <w:rFonts w:hint="eastAsia" w:ascii="仿宋_GB2312" w:hAnsi="宋体" w:eastAsia="仿宋_GB2312" w:cs="宋体"/>
          <w:color w:val="333333"/>
          <w:kern w:val="0"/>
          <w:sz w:val="32"/>
          <w:szCs w:val="32"/>
        </w:rPr>
        <w:t>“三公”经费</w:t>
      </w: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4</w:t>
      </w:r>
      <w:r>
        <w:rPr>
          <w:rFonts w:hint="eastAsia" w:ascii="仿宋_GB2312" w:hAnsi="宋体" w:eastAsia="仿宋_GB2312" w:cs="宋体"/>
          <w:color w:val="333333"/>
          <w:kern w:val="0"/>
          <w:sz w:val="32"/>
          <w:szCs w:val="32"/>
        </w:rPr>
        <w:t>年决算情况如下：</w:t>
      </w:r>
    </w:p>
    <w:p>
      <w:pPr>
        <w:widowControl/>
        <w:spacing w:line="480" w:lineRule="atLeast"/>
        <w:ind w:firstLine="60"/>
        <w:rPr>
          <w:rFonts w:ascii="黑体" w:hAnsi="宋体" w:eastAsia="黑体" w:cs="宋体"/>
          <w:color w:val="333333"/>
          <w:kern w:val="0"/>
          <w:sz w:val="32"/>
          <w:szCs w:val="32"/>
        </w:rPr>
      </w:pPr>
      <w:r>
        <w:rPr>
          <w:rFonts w:hint="eastAsia" w:ascii="仿宋_GB2312" w:hAnsi="宋体" w:eastAsia="仿宋_GB2312" w:cs="宋体"/>
          <w:color w:val="333333"/>
          <w:kern w:val="0"/>
          <w:sz w:val="32"/>
          <w:szCs w:val="32"/>
        </w:rPr>
        <w:t>　　</w:t>
      </w:r>
      <w:r>
        <w:rPr>
          <w:rFonts w:hint="eastAsia" w:ascii="黑体" w:hAnsi="宋体" w:eastAsia="黑体" w:cs="宋体"/>
          <w:color w:val="333333"/>
          <w:kern w:val="0"/>
          <w:sz w:val="32"/>
          <w:szCs w:val="32"/>
        </w:rPr>
        <w:t>一、因公出国（境）经费</w:t>
      </w:r>
    </w:p>
    <w:p>
      <w:pPr>
        <w:widowControl/>
        <w:spacing w:line="480" w:lineRule="atLeast"/>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　　</w:t>
      </w: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5</w:t>
      </w:r>
      <w:r>
        <w:rPr>
          <w:rFonts w:hint="eastAsia" w:ascii="仿宋_GB2312" w:hAnsi="宋体" w:eastAsia="仿宋_GB2312" w:cs="宋体"/>
          <w:color w:val="333333"/>
          <w:kern w:val="0"/>
          <w:sz w:val="32"/>
          <w:szCs w:val="32"/>
        </w:rPr>
        <w:t>年决算支出</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万元</w:t>
      </w:r>
      <w:r>
        <w:rPr>
          <w:rFonts w:hint="eastAsia" w:ascii="仿宋_GB2312" w:hAnsi="宋体" w:eastAsia="仿宋_GB2312" w:cs="宋体"/>
          <w:color w:val="333333"/>
          <w:kern w:val="0"/>
          <w:sz w:val="32"/>
          <w:szCs w:val="32"/>
          <w:lang w:val="en-US" w:eastAsia="zh-CN"/>
        </w:rPr>
        <w:t>，</w:t>
      </w:r>
      <w:r>
        <w:rPr>
          <w:rStyle w:val="8"/>
          <w:rFonts w:hint="eastAsia" w:ascii="仿宋_GB2312" w:hAnsi="仿宋" w:eastAsia="仿宋_GB2312"/>
          <w:b w:val="0"/>
          <w:bCs/>
          <w:color w:val="000000" w:themeColor="text1"/>
          <w:sz w:val="32"/>
          <w:szCs w:val="32"/>
          <w:lang w:eastAsia="zh-CN"/>
          <w14:textFill>
            <w14:solidFill>
              <w14:schemeClr w14:val="tx1"/>
            </w14:solidFill>
          </w14:textFill>
        </w:rPr>
        <w:t>与预算一致，</w:t>
      </w:r>
      <w:r>
        <w:rPr>
          <w:rFonts w:hint="eastAsia" w:ascii="仿宋_GB2312" w:hAnsi="宋体" w:eastAsia="仿宋_GB2312" w:cs="宋体"/>
          <w:color w:val="333333"/>
          <w:kern w:val="0"/>
          <w:sz w:val="32"/>
          <w:szCs w:val="32"/>
          <w:lang w:val="en-US" w:eastAsia="zh-CN"/>
        </w:rPr>
        <w:t>与</w:t>
      </w: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4</w:t>
      </w:r>
      <w:r>
        <w:rPr>
          <w:rFonts w:hint="eastAsia" w:ascii="仿宋_GB2312" w:hAnsi="宋体" w:eastAsia="仿宋_GB2312" w:cs="宋体"/>
          <w:color w:val="333333"/>
          <w:kern w:val="0"/>
          <w:sz w:val="32"/>
          <w:szCs w:val="32"/>
        </w:rPr>
        <w:t>年决算</w:t>
      </w:r>
      <w:r>
        <w:rPr>
          <w:rFonts w:hint="eastAsia" w:ascii="仿宋_GB2312" w:hAnsi="宋体" w:eastAsia="仿宋_GB2312" w:cs="宋体"/>
          <w:color w:val="333333"/>
          <w:kern w:val="0"/>
          <w:sz w:val="32"/>
          <w:szCs w:val="32"/>
          <w:lang w:val="en-US" w:eastAsia="zh-CN"/>
        </w:rPr>
        <w:t>数持平</w:t>
      </w:r>
      <w:r>
        <w:rPr>
          <w:rFonts w:hint="eastAsia" w:ascii="仿宋_GB2312" w:hAnsi="宋体" w:eastAsia="仿宋_GB2312" w:cs="宋体"/>
          <w:color w:val="333333"/>
          <w:kern w:val="0"/>
          <w:sz w:val="32"/>
          <w:szCs w:val="32"/>
        </w:rPr>
        <w:t>。</w:t>
      </w:r>
    </w:p>
    <w:p>
      <w:pPr>
        <w:widowControl/>
        <w:spacing w:line="480" w:lineRule="atLeast"/>
        <w:ind w:firstLine="60"/>
        <w:rPr>
          <w:rFonts w:ascii="黑体" w:hAnsi="宋体" w:eastAsia="黑体" w:cs="宋体"/>
          <w:color w:val="333333"/>
          <w:kern w:val="0"/>
          <w:sz w:val="32"/>
          <w:szCs w:val="32"/>
        </w:rPr>
      </w:pPr>
      <w:r>
        <w:rPr>
          <w:rFonts w:hint="eastAsia" w:ascii="仿宋_GB2312" w:hAnsi="宋体" w:eastAsia="仿宋_GB2312" w:cs="宋体"/>
          <w:color w:val="333333"/>
          <w:kern w:val="0"/>
          <w:sz w:val="32"/>
          <w:szCs w:val="32"/>
        </w:rPr>
        <w:t>　　</w:t>
      </w:r>
      <w:r>
        <w:rPr>
          <w:rFonts w:hint="eastAsia" w:ascii="黑体" w:hAnsi="宋体" w:eastAsia="黑体" w:cs="宋体"/>
          <w:color w:val="333333"/>
          <w:kern w:val="0"/>
          <w:sz w:val="32"/>
          <w:szCs w:val="32"/>
        </w:rPr>
        <w:t>二、公务接待费</w:t>
      </w:r>
    </w:p>
    <w:p>
      <w:pPr>
        <w:spacing w:line="600" w:lineRule="exact"/>
        <w:ind w:firstLine="640"/>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pPr>
      <w:r>
        <w:rPr>
          <w:rFonts w:hint="eastAsia" w:ascii="仿宋_GB2312" w:hAnsi="宋体" w:eastAsia="仿宋_GB2312" w:cs="宋体"/>
          <w:color w:val="333333"/>
          <w:kern w:val="0"/>
          <w:sz w:val="32"/>
          <w:szCs w:val="32"/>
        </w:rPr>
        <w:t>　</w:t>
      </w:r>
      <w:r>
        <w:rPr>
          <w:rFonts w:hint="eastAsia" w:ascii="仿宋_GB2312" w:hAnsi="宋体" w:eastAsia="仿宋_GB2312" w:cs="宋体"/>
          <w:color w:val="333333"/>
          <w:kern w:val="0"/>
          <w:sz w:val="32"/>
          <w:szCs w:val="32"/>
          <w:lang w:val="en-US" w:eastAsia="zh-CN"/>
        </w:rPr>
        <w:t>2</w:t>
      </w:r>
      <w:r>
        <w:rPr>
          <w:rFonts w:hint="eastAsia" w:ascii="仿宋_GB2312" w:hAnsi="宋体" w:eastAsia="仿宋_GB2312" w:cs="宋体"/>
          <w:color w:val="333333"/>
          <w:kern w:val="0"/>
          <w:sz w:val="32"/>
          <w:szCs w:val="32"/>
          <w:lang w:eastAsia="zh-CN"/>
        </w:rPr>
        <w:t>02</w:t>
      </w:r>
      <w:r>
        <w:rPr>
          <w:rFonts w:hint="eastAsia" w:ascii="仿宋_GB2312" w:hAnsi="宋体" w:eastAsia="仿宋_GB2312" w:cs="宋体"/>
          <w:color w:val="333333"/>
          <w:kern w:val="0"/>
          <w:sz w:val="32"/>
          <w:szCs w:val="32"/>
          <w:lang w:val="en-US" w:eastAsia="zh-CN"/>
        </w:rPr>
        <w:t>5</w:t>
      </w:r>
      <w:r>
        <w:rPr>
          <w:rFonts w:hint="eastAsia" w:ascii="仿宋_GB2312" w:hAnsi="宋体" w:eastAsia="仿宋_GB2312" w:cs="宋体"/>
          <w:color w:val="333333"/>
          <w:kern w:val="0"/>
          <w:sz w:val="32"/>
          <w:szCs w:val="32"/>
        </w:rPr>
        <w:t>年决算支出</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万元</w:t>
      </w:r>
      <w:r>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t>比</w:t>
      </w:r>
      <w:r>
        <w:rPr>
          <w:rFonts w:hint="default" w:ascii="Times New Roman" w:hAnsi="Times New Roman" w:eastAsia="仿宋_GB2312" w:cs="Times New Roman"/>
          <w:color w:val="000000" w:themeColor="text1"/>
          <w:sz w:val="32"/>
          <w:szCs w:val="32"/>
          <w:shd w:val="clear" w:color="auto" w:fill="auto"/>
          <w:lang w:eastAsia="zh-CN"/>
          <w14:textFill>
            <w14:solidFill>
              <w14:schemeClr w14:val="tx1"/>
            </w14:solidFill>
          </w14:textFill>
        </w:rPr>
        <w:t>2024年</w:t>
      </w:r>
      <w:r>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t>减少</w:t>
      </w:r>
      <w:r>
        <w:rPr>
          <w:rFonts w:hint="eastAsia" w:eastAsia="仿宋_GB2312" w:cs="Times New Roman"/>
          <w:color w:val="000000" w:themeColor="text1"/>
          <w:sz w:val="32"/>
          <w:szCs w:val="32"/>
          <w:shd w:val="clear" w:color="auto" w:fill="auto"/>
          <w:lang w:val="en-US" w:eastAsia="zh-CN"/>
          <w14:textFill>
            <w14:solidFill>
              <w14:schemeClr w14:val="tx1"/>
            </w14:solidFill>
          </w14:textFill>
        </w:rPr>
        <w:t>0.03</w:t>
      </w:r>
      <w:r>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t>万元，下降</w:t>
      </w:r>
      <w:r>
        <w:rPr>
          <w:rFonts w:hint="eastAsia" w:eastAsia="仿宋_GB2312" w:cs="Times New Roman"/>
          <w:color w:val="000000" w:themeColor="text1"/>
          <w:sz w:val="32"/>
          <w:szCs w:val="32"/>
          <w:shd w:val="clear" w:color="auto" w:fill="auto"/>
          <w:lang w:val="en-US" w:eastAsia="zh-CN"/>
          <w14:textFill>
            <w14:solidFill>
              <w14:schemeClr w14:val="tx1"/>
            </w14:solidFill>
          </w14:textFill>
        </w:rPr>
        <w:t>100</w:t>
      </w:r>
      <w:r>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t>%。主要原因是</w:t>
      </w:r>
      <w:r>
        <w:rPr>
          <w:rFonts w:hint="eastAsia" w:ascii="仿宋_GB2312" w:eastAsia="仿宋_GB2312"/>
          <w:color w:val="000000" w:themeColor="text1"/>
          <w:sz w:val="32"/>
          <w:szCs w:val="32"/>
          <w:shd w:val="clear" w:color="auto" w:fill="auto"/>
          <w:lang w:val="en-US" w:eastAsia="zh-CN"/>
          <w14:textFill>
            <w14:solidFill>
              <w14:schemeClr w14:val="tx1"/>
            </w14:solidFill>
          </w14:textFill>
        </w:rPr>
        <w:t>过紧日子，压缩公务接待开支</w:t>
      </w:r>
      <w:r>
        <w:rPr>
          <w:rFonts w:hint="default" w:ascii="Times New Roman" w:hAnsi="Times New Roman" w:eastAsia="仿宋_GB2312" w:cs="Times New Roman"/>
          <w:color w:val="000000" w:themeColor="text1"/>
          <w:sz w:val="32"/>
          <w:szCs w:val="32"/>
          <w:shd w:val="clear" w:color="auto" w:fill="auto"/>
          <w14:textFill>
            <w14:solidFill>
              <w14:schemeClr w14:val="tx1"/>
            </w14:solidFill>
          </w14:textFill>
        </w:rPr>
        <w:t>。</w:t>
      </w:r>
    </w:p>
    <w:p>
      <w:pPr>
        <w:spacing w:line="600" w:lineRule="exact"/>
        <w:ind w:firstLine="640"/>
        <w:rPr>
          <w:rFonts w:ascii="仿宋_GB2312" w:eastAsia="仿宋_GB2312"/>
          <w:b/>
          <w:color w:val="000000" w:themeColor="text1"/>
          <w:sz w:val="32"/>
          <w:szCs w:val="32"/>
          <w:shd w:val="clear" w:color="auto" w:fill="auto"/>
          <w14:textFill>
            <w14:solidFill>
              <w14:schemeClr w14:val="tx1"/>
            </w14:solidFill>
          </w14:textFill>
        </w:rPr>
      </w:pPr>
      <w:r>
        <w:rPr>
          <w:rFonts w:hint="eastAsia" w:ascii="黑体" w:hAnsi="宋体" w:eastAsia="黑体" w:cs="宋体"/>
          <w:color w:val="333333"/>
          <w:kern w:val="0"/>
          <w:sz w:val="32"/>
          <w:szCs w:val="32"/>
        </w:rPr>
        <w:t>三、公务用车购置及运行维护费</w:t>
      </w:r>
      <w:r>
        <w:rPr>
          <w:rFonts w:hint="eastAsia" w:ascii="黑体" w:hAnsi="宋体" w:eastAsia="黑体" w:cs="宋体"/>
          <w:color w:val="333333"/>
          <w:kern w:val="0"/>
          <w:sz w:val="32"/>
          <w:szCs w:val="32"/>
        </w:rPr>
        <w:br w:type="textWrapping"/>
      </w:r>
      <w:r>
        <w:rPr>
          <w:rFonts w:hint="eastAsia" w:ascii="仿宋_GB2312" w:hAnsi="宋体" w:eastAsia="仿宋_GB2312" w:cs="宋体"/>
          <w:color w:val="333333"/>
          <w:kern w:val="0"/>
          <w:sz w:val="32"/>
          <w:szCs w:val="32"/>
        </w:rPr>
        <w:t>　　</w:t>
      </w:r>
      <w:r>
        <w:rPr>
          <w:rFonts w:hint="eastAsia" w:ascii="仿宋_GB2312" w:hAnsi="宋体" w:eastAsia="仿宋_GB2312" w:cs="宋体"/>
          <w:color w:val="333333"/>
          <w:kern w:val="0"/>
          <w:sz w:val="32"/>
          <w:szCs w:val="32"/>
          <w:lang w:eastAsia="zh-CN"/>
        </w:rPr>
        <w:t>20</w:t>
      </w:r>
      <w:r>
        <w:rPr>
          <w:rFonts w:hint="eastAsia" w:ascii="仿宋_GB2312" w:hAnsi="宋体" w:eastAsia="仿宋_GB2312" w:cs="宋体"/>
          <w:color w:val="333333"/>
          <w:kern w:val="0"/>
          <w:sz w:val="32"/>
          <w:szCs w:val="32"/>
          <w:lang w:val="en-US" w:eastAsia="zh-CN"/>
        </w:rPr>
        <w:t>25</w:t>
      </w:r>
      <w:r>
        <w:rPr>
          <w:rFonts w:hint="eastAsia" w:ascii="仿宋_GB2312" w:hAnsi="宋体" w:eastAsia="仿宋_GB2312" w:cs="宋体"/>
          <w:color w:val="333333"/>
          <w:kern w:val="0"/>
          <w:sz w:val="32"/>
          <w:szCs w:val="32"/>
        </w:rPr>
        <w:t>年决算支出</w:t>
      </w:r>
      <w:r>
        <w:rPr>
          <w:rFonts w:hint="eastAsia" w:ascii="仿宋_GB2312" w:hAnsi="宋体" w:eastAsia="仿宋_GB2312" w:cs="宋体"/>
          <w:color w:val="333333"/>
          <w:kern w:val="0"/>
          <w:sz w:val="32"/>
          <w:szCs w:val="32"/>
          <w:lang w:val="en-US" w:eastAsia="zh-CN"/>
        </w:rPr>
        <w:t>4.75</w:t>
      </w:r>
      <w:r>
        <w:rPr>
          <w:rFonts w:hint="eastAsia" w:ascii="仿宋_GB2312" w:hAnsi="宋体" w:eastAsia="仿宋_GB2312" w:cs="宋体"/>
          <w:color w:val="333333"/>
          <w:kern w:val="0"/>
          <w:sz w:val="32"/>
          <w:szCs w:val="32"/>
        </w:rPr>
        <w:t>万元，</w:t>
      </w:r>
      <w:r>
        <w:rPr>
          <w:rFonts w:hint="eastAsia" w:ascii="仿宋_GB2312" w:hAnsi="宋体" w:eastAsia="仿宋_GB2312" w:cs="宋体"/>
          <w:color w:val="333333"/>
          <w:kern w:val="0"/>
          <w:sz w:val="32"/>
          <w:szCs w:val="32"/>
          <w:lang w:eastAsia="zh-CN"/>
        </w:rPr>
        <w:t>完成预算</w:t>
      </w:r>
      <w:r>
        <w:rPr>
          <w:rFonts w:hint="eastAsia" w:ascii="仿宋_GB2312" w:hAnsi="宋体" w:eastAsia="仿宋_GB2312" w:cs="宋体"/>
          <w:color w:val="333333"/>
          <w:kern w:val="0"/>
          <w:sz w:val="32"/>
          <w:szCs w:val="32"/>
          <w:lang w:val="en-US" w:eastAsia="zh-CN"/>
        </w:rPr>
        <w:t>100%，</w:t>
      </w:r>
      <w:r>
        <w:rPr>
          <w:rFonts w:hint="eastAsia" w:eastAsia="仿宋_GB2312" w:cs="Times New Roman"/>
          <w:color w:val="000000" w:themeColor="text1"/>
          <w:sz w:val="32"/>
          <w:szCs w:val="32"/>
          <w:shd w:val="clear" w:color="auto" w:fill="auto"/>
          <w:lang w:val="en-US" w:eastAsia="zh-CN"/>
          <w14:textFill>
            <w14:solidFill>
              <w14:schemeClr w14:val="tx1"/>
            </w14:solidFill>
          </w14:textFill>
        </w:rPr>
        <w:t>与</w:t>
      </w:r>
      <w:r>
        <w:rPr>
          <w:rFonts w:hint="default" w:ascii="Times New Roman" w:hAnsi="Times New Roman" w:eastAsia="仿宋_GB2312" w:cs="Times New Roman"/>
          <w:color w:val="000000" w:themeColor="text1"/>
          <w:sz w:val="32"/>
          <w:szCs w:val="32"/>
          <w:shd w:val="clear" w:color="auto" w:fill="auto"/>
          <w:lang w:eastAsia="zh-CN"/>
          <w14:textFill>
            <w14:solidFill>
              <w14:schemeClr w14:val="tx1"/>
            </w14:solidFill>
          </w14:textFill>
        </w:rPr>
        <w:t>2024年</w:t>
      </w:r>
      <w:r>
        <w:rPr>
          <w:rFonts w:hint="eastAsia" w:eastAsia="仿宋_GB2312" w:cs="Times New Roman"/>
          <w:color w:val="000000" w:themeColor="text1"/>
          <w:sz w:val="32"/>
          <w:szCs w:val="32"/>
          <w:shd w:val="clear" w:color="auto" w:fill="auto"/>
          <w:lang w:val="en-US" w:eastAsia="zh-CN"/>
          <w14:textFill>
            <w14:solidFill>
              <w14:schemeClr w14:val="tx1"/>
            </w14:solidFill>
          </w14:textFill>
        </w:rPr>
        <w:t>持平</w:t>
      </w:r>
      <w:r>
        <w:rPr>
          <w:rFonts w:hint="eastAsia" w:ascii="仿宋_GB2312" w:eastAsia="仿宋_GB2312"/>
          <w:color w:val="000000" w:themeColor="text1"/>
          <w:sz w:val="32"/>
          <w:szCs w:val="32"/>
          <w:shd w:val="clear" w:color="auto" w:fill="auto"/>
          <w14:textFill>
            <w14:solidFill>
              <w14:schemeClr w14:val="tx1"/>
            </w14:solidFill>
          </w14:textFill>
        </w:rPr>
        <w:t>。</w:t>
      </w:r>
    </w:p>
    <w:p>
      <w:pPr>
        <w:widowControl/>
        <w:spacing w:line="480" w:lineRule="atLeast"/>
        <w:ind w:firstLine="60"/>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　 单位共有公务用车</w:t>
      </w:r>
      <w:r>
        <w:rPr>
          <w:rFonts w:hint="eastAsia" w:ascii="仿宋_GB2312" w:hAnsi="宋体" w:eastAsia="仿宋_GB2312" w:cs="宋体"/>
          <w:color w:val="333333"/>
          <w:kern w:val="0"/>
          <w:sz w:val="32"/>
          <w:szCs w:val="32"/>
          <w:lang w:val="en-US" w:eastAsia="zh-CN"/>
        </w:rPr>
        <w:t>1</w:t>
      </w:r>
      <w:r>
        <w:rPr>
          <w:rFonts w:hint="eastAsia" w:ascii="仿宋_GB2312" w:hAnsi="宋体" w:eastAsia="仿宋_GB2312" w:cs="宋体"/>
          <w:color w:val="333333"/>
          <w:kern w:val="0"/>
          <w:sz w:val="32"/>
          <w:szCs w:val="32"/>
        </w:rPr>
        <w:t>辆，其中：越野车</w:t>
      </w:r>
      <w:r>
        <w:rPr>
          <w:rFonts w:hint="eastAsia" w:ascii="仿宋_GB2312" w:hAnsi="宋体" w:eastAsia="仿宋_GB2312" w:cs="宋体"/>
          <w:color w:val="333333"/>
          <w:kern w:val="0"/>
          <w:sz w:val="32"/>
          <w:szCs w:val="32"/>
          <w:lang w:val="en-US" w:eastAsia="zh-CN"/>
        </w:rPr>
        <w:t>1</w:t>
      </w:r>
      <w:r>
        <w:rPr>
          <w:rFonts w:hint="eastAsia" w:ascii="仿宋_GB2312" w:hAnsi="宋体" w:eastAsia="仿宋_GB2312" w:cs="宋体"/>
          <w:color w:val="333333"/>
          <w:kern w:val="0"/>
          <w:sz w:val="32"/>
          <w:szCs w:val="32"/>
        </w:rPr>
        <w:t>辆，轿车</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辆。</w:t>
      </w:r>
    </w:p>
    <w:p>
      <w:pPr>
        <w:widowControl/>
        <w:spacing w:line="480" w:lineRule="atLeast"/>
        <w:ind w:firstLine="640" w:firstLineChars="200"/>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5</w:t>
      </w:r>
      <w:r>
        <w:rPr>
          <w:rFonts w:hint="eastAsia" w:ascii="仿宋_GB2312" w:hAnsi="宋体" w:eastAsia="仿宋_GB2312" w:cs="宋体"/>
          <w:color w:val="333333"/>
          <w:kern w:val="0"/>
          <w:sz w:val="32"/>
          <w:szCs w:val="32"/>
        </w:rPr>
        <w:t>年安排公务用车运行维护费</w:t>
      </w:r>
      <w:r>
        <w:rPr>
          <w:rFonts w:hint="eastAsia" w:ascii="仿宋_GB2312" w:hAnsi="宋体" w:eastAsia="仿宋_GB2312" w:cs="宋体"/>
          <w:color w:val="333333"/>
          <w:kern w:val="0"/>
          <w:sz w:val="32"/>
          <w:szCs w:val="32"/>
          <w:lang w:val="en-US" w:eastAsia="zh-CN"/>
        </w:rPr>
        <w:t>4.75</w:t>
      </w:r>
      <w:r>
        <w:rPr>
          <w:rFonts w:hint="eastAsia" w:ascii="仿宋_GB2312" w:hAnsi="宋体" w:eastAsia="仿宋_GB2312" w:cs="宋体"/>
          <w:color w:val="333333"/>
          <w:kern w:val="0"/>
          <w:sz w:val="32"/>
          <w:szCs w:val="32"/>
        </w:rPr>
        <w:t>万元。主要用于</w:t>
      </w:r>
      <w:r>
        <w:rPr>
          <w:rFonts w:hint="eastAsia" w:ascii="仿宋_GB2312" w:eastAsia="仿宋_GB2312"/>
          <w:b/>
          <w:color w:val="000000" w:themeColor="text1"/>
          <w:sz w:val="32"/>
          <w:szCs w:val="32"/>
          <w14:textFill>
            <w14:solidFill>
              <w14:schemeClr w14:val="tx1"/>
            </w14:solidFill>
          </w14:textFill>
        </w:rPr>
        <w:t>一是</w:t>
      </w:r>
      <w:r>
        <w:rPr>
          <w:rFonts w:hint="eastAsia" w:ascii="仿宋_GB2312" w:eastAsia="仿宋_GB2312"/>
          <w:color w:val="000000" w:themeColor="text1"/>
          <w:sz w:val="32"/>
          <w:szCs w:val="32"/>
          <w14:textFill>
            <w14:solidFill>
              <w14:schemeClr w14:val="tx1"/>
            </w14:solidFill>
          </w14:textFill>
        </w:rPr>
        <w:t>全县各中小学（园）开展教育教学</w:t>
      </w:r>
      <w:r>
        <w:rPr>
          <w:rFonts w:hint="eastAsia" w:ascii="仿宋_GB2312" w:eastAsia="仿宋_GB2312"/>
          <w:color w:val="000000" w:themeColor="text1"/>
          <w:sz w:val="32"/>
          <w:szCs w:val="32"/>
          <w:lang w:val="en-US" w:eastAsia="zh-CN"/>
          <w14:textFill>
            <w14:solidFill>
              <w14:schemeClr w14:val="tx1"/>
            </w14:solidFill>
          </w14:textFill>
        </w:rPr>
        <w:t>督导</w:t>
      </w:r>
      <w:r>
        <w:rPr>
          <w:rFonts w:hint="eastAsia" w:ascii="仿宋_GB2312" w:eastAsia="仿宋_GB2312"/>
          <w:color w:val="000000" w:themeColor="text1"/>
          <w:sz w:val="32"/>
          <w:szCs w:val="32"/>
          <w14:textFill>
            <w14:solidFill>
              <w14:schemeClr w14:val="tx1"/>
            </w14:solidFill>
          </w14:textFill>
        </w:rPr>
        <w:t>工作、</w:t>
      </w:r>
      <w:r>
        <w:rPr>
          <w:rFonts w:hint="eastAsia" w:ascii="仿宋_GB2312" w:eastAsia="仿宋_GB2312"/>
          <w:b/>
          <w:color w:val="000000" w:themeColor="text1"/>
          <w:sz w:val="32"/>
          <w:szCs w:val="32"/>
          <w14:textFill>
            <w14:solidFill>
              <w14:schemeClr w14:val="tx1"/>
            </w14:solidFill>
          </w14:textFill>
        </w:rPr>
        <w:t>二是</w:t>
      </w:r>
      <w:r>
        <w:rPr>
          <w:rFonts w:hint="eastAsia" w:ascii="仿宋_GB2312" w:eastAsia="仿宋_GB2312"/>
          <w:color w:val="000000" w:themeColor="text1"/>
          <w:sz w:val="32"/>
          <w:szCs w:val="32"/>
          <w14:textFill>
            <w14:solidFill>
              <w14:schemeClr w14:val="tx1"/>
            </w14:solidFill>
          </w14:textFill>
        </w:rPr>
        <w:t>指导学校安全生产（校园安全、食品安全、</w:t>
      </w:r>
      <w:r>
        <w:rPr>
          <w:rFonts w:hint="eastAsia" w:ascii="仿宋_GB2312" w:eastAsia="仿宋_GB2312"/>
          <w:color w:val="000000" w:themeColor="text1"/>
          <w:sz w:val="32"/>
          <w:szCs w:val="32"/>
          <w:lang w:val="en-US" w:eastAsia="zh-CN"/>
          <w14:textFill>
            <w14:solidFill>
              <w14:schemeClr w14:val="tx1"/>
            </w14:solidFill>
          </w14:textFill>
        </w:rPr>
        <w:t>灾害</w:t>
      </w:r>
      <w:r>
        <w:rPr>
          <w:rFonts w:hint="eastAsia" w:ascii="仿宋_GB2312" w:eastAsia="仿宋_GB2312"/>
          <w:color w:val="000000" w:themeColor="text1"/>
          <w:sz w:val="32"/>
          <w:szCs w:val="32"/>
          <w14:textFill>
            <w14:solidFill>
              <w14:schemeClr w14:val="tx1"/>
            </w14:solidFill>
          </w14:textFill>
        </w:rPr>
        <w:t>防控等）</w:t>
      </w:r>
      <w:r>
        <w:rPr>
          <w:rFonts w:hint="eastAsia" w:ascii="仿宋_GB2312" w:hAnsi="宋体" w:eastAsia="仿宋_GB2312" w:cs="宋体"/>
          <w:color w:val="333333"/>
          <w:kern w:val="0"/>
          <w:sz w:val="32"/>
          <w:szCs w:val="32"/>
        </w:rPr>
        <w:t>。</w:t>
      </w:r>
    </w:p>
    <w:p>
      <w:pPr>
        <w:widowControl/>
        <w:spacing w:line="480" w:lineRule="atLeast"/>
        <w:ind w:firstLine="640" w:firstLineChars="200"/>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5</w:t>
      </w:r>
      <w:r>
        <w:rPr>
          <w:rFonts w:hint="eastAsia" w:ascii="仿宋_GB2312" w:hAnsi="宋体" w:eastAsia="仿宋_GB2312" w:cs="宋体"/>
          <w:color w:val="333333"/>
          <w:kern w:val="0"/>
          <w:sz w:val="32"/>
          <w:szCs w:val="32"/>
        </w:rPr>
        <w:t>年安排公务用车购置</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辆，购置费</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万元。</w:t>
      </w:r>
    </w:p>
    <w:p>
      <w:pPr>
        <w:widowControl/>
        <w:spacing w:line="240" w:lineRule="atLeast"/>
        <w:rPr>
          <w:rFonts w:ascii="仿宋_GB2312" w:hAnsi="宋体" w:eastAsia="仿宋_GB2312" w:cs="宋体"/>
          <w:color w:val="333333"/>
          <w:kern w:val="0"/>
          <w:sz w:val="32"/>
          <w:szCs w:val="32"/>
        </w:rPr>
      </w:pPr>
    </w:p>
    <w:p>
      <w:pPr>
        <w:widowControl/>
        <w:spacing w:line="240" w:lineRule="atLeast"/>
        <w:ind w:firstLine="60"/>
        <w:jc w:val="center"/>
        <w:rPr>
          <w:rFonts w:ascii="仿宋_GB2312" w:hAnsi="宋体" w:eastAsia="仿宋_GB2312" w:cs="宋体"/>
          <w:color w:val="333333"/>
          <w:kern w:val="0"/>
          <w:sz w:val="32"/>
          <w:szCs w:val="32"/>
        </w:rPr>
      </w:pPr>
    </w:p>
    <w:p>
      <w:pPr>
        <w:widowControl/>
        <w:spacing w:line="240" w:lineRule="atLeast"/>
        <w:ind w:firstLine="60"/>
        <w:jc w:val="center"/>
        <w:rPr>
          <w:rFonts w:ascii="仿宋_GB2312" w:hAnsi="宋体" w:eastAsia="仿宋_GB2312" w:cs="宋体"/>
          <w:color w:val="333333"/>
          <w:kern w:val="0"/>
          <w:sz w:val="32"/>
          <w:szCs w:val="32"/>
        </w:rPr>
      </w:pPr>
    </w:p>
    <w:p>
      <w:pPr>
        <w:widowControl/>
        <w:spacing w:line="240" w:lineRule="atLeast"/>
        <w:ind w:firstLine="60"/>
        <w:jc w:val="center"/>
        <w:rPr>
          <w:rFonts w:ascii="仿宋_GB2312" w:hAnsi="宋体" w:eastAsia="仿宋_GB2312" w:cs="宋体"/>
          <w:color w:val="333333"/>
          <w:kern w:val="0"/>
          <w:sz w:val="32"/>
          <w:szCs w:val="32"/>
        </w:rPr>
      </w:pPr>
    </w:p>
    <w:p>
      <w:pPr>
        <w:widowControl/>
        <w:spacing w:line="240" w:lineRule="atLeast"/>
        <w:ind w:firstLine="60"/>
        <w:jc w:val="center"/>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val="en-US" w:eastAsia="zh-CN"/>
        </w:rPr>
        <w:t>黑水县教育和体育局（本级）</w:t>
      </w:r>
      <w:r>
        <w:rPr>
          <w:rFonts w:hint="eastAsia" w:ascii="仿宋_GB2312" w:hAnsi="宋体" w:eastAsia="仿宋_GB2312" w:cs="宋体"/>
          <w:color w:val="333333"/>
          <w:kern w:val="0"/>
          <w:sz w:val="32"/>
          <w:szCs w:val="32"/>
        </w:rPr>
        <w:t>财政拨款“三公”经费</w:t>
      </w:r>
    </w:p>
    <w:p>
      <w:pPr>
        <w:widowControl/>
        <w:spacing w:line="240" w:lineRule="atLeast"/>
        <w:ind w:firstLine="60"/>
        <w:jc w:val="center"/>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lang w:eastAsia="zh-CN"/>
        </w:rPr>
        <w:t>202</w:t>
      </w:r>
      <w:r>
        <w:rPr>
          <w:rFonts w:hint="eastAsia" w:ascii="仿宋_GB2312" w:hAnsi="宋体" w:eastAsia="仿宋_GB2312" w:cs="宋体"/>
          <w:color w:val="333333"/>
          <w:kern w:val="0"/>
          <w:sz w:val="32"/>
          <w:szCs w:val="32"/>
          <w:lang w:val="en-US" w:eastAsia="zh-CN"/>
        </w:rPr>
        <w:t>5</w:t>
      </w:r>
      <w:r>
        <w:rPr>
          <w:rFonts w:hint="eastAsia" w:ascii="仿宋_GB2312" w:hAnsi="宋体" w:eastAsia="仿宋_GB2312" w:cs="宋体"/>
          <w:color w:val="333333"/>
          <w:kern w:val="0"/>
          <w:sz w:val="32"/>
          <w:szCs w:val="32"/>
        </w:rPr>
        <w:t>年决算情况表</w:t>
      </w:r>
    </w:p>
    <w:p>
      <w:pPr>
        <w:widowControl/>
        <w:spacing w:line="240" w:lineRule="atLeast"/>
        <w:ind w:firstLine="60"/>
        <w:jc w:val="center"/>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 xml:space="preserve">                                         单位：万元</w:t>
      </w:r>
    </w:p>
    <w:tbl>
      <w:tblPr>
        <w:tblStyle w:val="6"/>
        <w:tblW w:w="8424" w:type="dxa"/>
        <w:tblCellSpacing w:w="7"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30" w:type="dxa"/>
          <w:left w:w="30" w:type="dxa"/>
          <w:bottom w:w="30" w:type="dxa"/>
          <w:right w:w="30" w:type="dxa"/>
        </w:tblCellMar>
      </w:tblPr>
      <w:tblGrid>
        <w:gridCol w:w="4582"/>
        <w:gridCol w:w="384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rHeight w:val="697" w:hRule="exact"/>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　　　　　项       目</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ascii="仿宋_GB2312" w:hAnsi="宋体" w:eastAsia="仿宋_GB2312" w:cs="宋体"/>
                <w:kern w:val="0"/>
                <w:sz w:val="28"/>
                <w:szCs w:val="28"/>
              </w:rPr>
            </w:pPr>
            <w:r>
              <w:rPr>
                <w:rFonts w:hint="eastAsia" w:ascii="仿宋_GB2312" w:hAnsi="宋体" w:eastAsia="仿宋_GB2312" w:cs="宋体"/>
                <w:kern w:val="0"/>
                <w:sz w:val="28"/>
                <w:szCs w:val="28"/>
                <w:lang w:eastAsia="zh-CN"/>
              </w:rPr>
              <w:t>202</w:t>
            </w:r>
            <w:r>
              <w:rPr>
                <w:rFonts w:hint="eastAsia" w:ascii="仿宋_GB2312" w:hAnsi="宋体" w:eastAsia="仿宋_GB2312" w:cs="宋体"/>
                <w:kern w:val="0"/>
                <w:sz w:val="28"/>
                <w:szCs w:val="28"/>
                <w:lang w:val="en-US" w:eastAsia="zh-CN"/>
              </w:rPr>
              <w:t>5</w:t>
            </w:r>
            <w:r>
              <w:rPr>
                <w:rFonts w:hint="eastAsia" w:ascii="仿宋_GB2312" w:hAnsi="宋体" w:eastAsia="仿宋_GB2312" w:cs="宋体"/>
                <w:kern w:val="0"/>
                <w:sz w:val="28"/>
                <w:szCs w:val="28"/>
              </w:rPr>
              <w:t>年决算（万元）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因公出国（境）经费</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hint="eastAsia" w:ascii="仿宋_GB2312" w:hAnsi="宋体" w:eastAsia="仿宋_GB2312" w:cs="宋体"/>
                <w:kern w:val="0"/>
                <w:sz w:val="28"/>
                <w:szCs w:val="28"/>
                <w:lang w:val="en-US" w:eastAsia="zh-CN"/>
              </w:rPr>
            </w:pPr>
            <w:r>
              <w:rPr>
                <w:rFonts w:hint="eastAsia" w:ascii="仿宋_GB2312" w:hAnsi="宋体" w:eastAsia="仿宋_GB2312" w:cs="宋体"/>
                <w:kern w:val="0"/>
                <w:sz w:val="28"/>
                <w:szCs w:val="28"/>
                <w:lang w:val="en-US" w:eastAsia="zh-CN"/>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公务接待费</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hint="default" w:ascii="仿宋_GB2312" w:hAnsi="宋体" w:eastAsia="仿宋_GB2312" w:cs="宋体"/>
                <w:kern w:val="0"/>
                <w:sz w:val="28"/>
                <w:szCs w:val="28"/>
                <w:lang w:val="en-US" w:eastAsia="zh-CN"/>
              </w:rPr>
            </w:pPr>
            <w:r>
              <w:rPr>
                <w:rFonts w:hint="eastAsia" w:ascii="仿宋_GB2312" w:hAnsi="宋体" w:eastAsia="仿宋_GB2312" w:cs="宋体"/>
                <w:kern w:val="0"/>
                <w:sz w:val="28"/>
                <w:szCs w:val="28"/>
                <w:lang w:val="en-US" w:eastAsia="zh-CN"/>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公务用车购置及运行维护费</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hint="default" w:ascii="仿宋_GB2312" w:hAnsi="宋体" w:eastAsia="仿宋_GB2312" w:cs="宋体"/>
                <w:kern w:val="0"/>
                <w:sz w:val="28"/>
                <w:szCs w:val="28"/>
                <w:lang w:val="en-US" w:eastAsia="zh-CN"/>
              </w:rPr>
            </w:pPr>
            <w:r>
              <w:rPr>
                <w:rFonts w:hint="eastAsia" w:ascii="仿宋_GB2312" w:hAnsi="宋体" w:eastAsia="仿宋_GB2312" w:cs="宋体"/>
                <w:kern w:val="0"/>
                <w:sz w:val="28"/>
                <w:szCs w:val="28"/>
                <w:lang w:val="en-US" w:eastAsia="zh-CN"/>
              </w:rPr>
              <w:t>4.75</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　　其中：购置经费</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hint="eastAsia" w:ascii="仿宋_GB2312" w:hAnsi="宋体" w:eastAsia="仿宋_GB2312" w:cs="宋体"/>
                <w:kern w:val="0"/>
                <w:sz w:val="28"/>
                <w:szCs w:val="28"/>
                <w:lang w:val="en-US" w:eastAsia="zh-CN"/>
              </w:rPr>
            </w:pPr>
            <w:r>
              <w:rPr>
                <w:rFonts w:hint="eastAsia" w:ascii="仿宋_GB2312" w:hAnsi="宋体" w:eastAsia="仿宋_GB2312" w:cs="宋体"/>
                <w:kern w:val="0"/>
                <w:sz w:val="28"/>
                <w:szCs w:val="28"/>
                <w:lang w:val="en-US" w:eastAsia="zh-CN"/>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trPr>
        <w:tc>
          <w:tcPr>
            <w:tcW w:w="456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left"/>
              <w:rPr>
                <w:rFonts w:ascii="仿宋_GB2312" w:hAnsi="宋体" w:eastAsia="仿宋_GB2312" w:cs="宋体"/>
                <w:kern w:val="0"/>
                <w:sz w:val="28"/>
                <w:szCs w:val="28"/>
              </w:rPr>
            </w:pPr>
            <w:r>
              <w:rPr>
                <w:rFonts w:hint="eastAsia" w:ascii="仿宋_GB2312" w:hAnsi="宋体" w:eastAsia="仿宋_GB2312" w:cs="宋体"/>
                <w:kern w:val="0"/>
                <w:sz w:val="28"/>
                <w:szCs w:val="28"/>
              </w:rPr>
              <w:t>　　　　　运行维护费</w:t>
            </w:r>
          </w:p>
        </w:tc>
        <w:tc>
          <w:tcPr>
            <w:tcW w:w="3821" w:type="dxa"/>
            <w:tcBorders>
              <w:top w:val="outset" w:color="auto" w:sz="6" w:space="0"/>
              <w:left w:val="outset" w:color="auto" w:sz="6" w:space="0"/>
              <w:bottom w:val="outset" w:color="auto" w:sz="6" w:space="0"/>
              <w:right w:val="outset" w:color="auto" w:sz="6" w:space="0"/>
            </w:tcBorders>
            <w:vAlign w:val="center"/>
          </w:tcPr>
          <w:p>
            <w:pPr>
              <w:widowControl/>
              <w:spacing w:line="240" w:lineRule="atLeast"/>
              <w:jc w:val="center"/>
              <w:rPr>
                <w:rFonts w:hint="default" w:ascii="仿宋_GB2312" w:hAnsi="宋体" w:eastAsia="仿宋_GB2312" w:cs="宋体"/>
                <w:kern w:val="0"/>
                <w:sz w:val="28"/>
                <w:szCs w:val="28"/>
                <w:lang w:val="en-US" w:eastAsia="zh-CN"/>
              </w:rPr>
            </w:pPr>
            <w:r>
              <w:rPr>
                <w:rFonts w:hint="eastAsia" w:ascii="仿宋_GB2312" w:hAnsi="宋体" w:eastAsia="仿宋_GB2312" w:cs="宋体"/>
                <w:kern w:val="0"/>
                <w:sz w:val="28"/>
                <w:szCs w:val="28"/>
                <w:lang w:val="en-US" w:eastAsia="zh-CN"/>
              </w:rPr>
              <w:t>4.75</w:t>
            </w:r>
          </w:p>
        </w:tc>
      </w:tr>
    </w:tbl>
    <w:p/>
    <w:p/>
    <w:p/>
    <w:p/>
    <w:p/>
    <w:p/>
    <w:p/>
    <w:p/>
    <w:p/>
    <w:p/>
    <w:p>
      <w:pPr>
        <w:spacing w:line="600" w:lineRule="exact"/>
        <w:jc w:val="left"/>
        <w:outlineLvl w:val="0"/>
        <w:rPr>
          <w:rStyle w:val="13"/>
          <w:rFonts w:ascii="仿宋_GB2312" w:eastAsia="仿宋_GB2312"/>
          <w:sz w:val="32"/>
          <w:szCs w:val="32"/>
        </w:rPr>
      </w:pPr>
    </w:p>
    <w:p>
      <w:pPr>
        <w:spacing w:line="600" w:lineRule="exact"/>
        <w:jc w:val="left"/>
        <w:outlineLvl w:val="0"/>
        <w:rPr>
          <w:rStyle w:val="13"/>
          <w:rFonts w:ascii="仿宋_GB2312" w:eastAsia="仿宋_GB2312"/>
          <w:sz w:val="32"/>
          <w:szCs w:val="32"/>
        </w:rPr>
      </w:pPr>
    </w:p>
    <w:p>
      <w:pPr>
        <w:spacing w:line="600" w:lineRule="exact"/>
        <w:jc w:val="left"/>
        <w:outlineLvl w:val="0"/>
        <w:rPr>
          <w:rStyle w:val="13"/>
          <w:rFonts w:ascii="仿宋_GB2312"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3F1AE8"/>
    <w:rsid w:val="003F1AE8"/>
    <w:rsid w:val="007153A1"/>
    <w:rsid w:val="1D0B2F60"/>
    <w:rsid w:val="225118B9"/>
    <w:rsid w:val="30861092"/>
    <w:rsid w:val="3C477196"/>
    <w:rsid w:val="4E993BEB"/>
    <w:rsid w:val="60366A76"/>
    <w:rsid w:val="66090EF9"/>
    <w:rsid w:val="6D63072C"/>
    <w:rsid w:val="7BFD13CF"/>
    <w:rsid w:val="7EEFB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footer"/>
    <w:basedOn w:val="1"/>
    <w:link w:val="1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8">
    <w:name w:val="Strong"/>
    <w:basedOn w:val="7"/>
    <w:qFormat/>
    <w:uiPriority w:val="99"/>
    <w:rPr>
      <w:b/>
    </w:rPr>
  </w:style>
  <w:style w:type="paragraph" w:customStyle="1" w:styleId="9">
    <w:name w:val="正文-公1"/>
    <w:basedOn w:val="10"/>
    <w:next w:val="1"/>
    <w:qFormat/>
    <w:uiPriority w:val="0"/>
    <w:pPr>
      <w:ind w:firstLine="200" w:firstLineChars="200"/>
    </w:p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9"/>
    <w:qFormat/>
    <w:uiPriority w:val="0"/>
    <w:pPr>
      <w:widowControl w:val="0"/>
      <w:jc w:val="both"/>
    </w:pPr>
    <w:rPr>
      <w:rFonts w:ascii="Times New Roman" w:hAnsi="Times New Roman" w:eastAsia="宋体" w:cs="Times New Roman"/>
      <w:kern w:val="2"/>
      <w:sz w:val="21"/>
      <w:lang w:val="en-US" w:eastAsia="zh-CN"/>
    </w:rPr>
  </w:style>
  <w:style w:type="character" w:customStyle="1" w:styleId="11">
    <w:name w:val="页眉 Char"/>
    <w:basedOn w:val="7"/>
    <w:link w:val="5"/>
    <w:semiHidden/>
    <w:qFormat/>
    <w:uiPriority w:val="99"/>
    <w:rPr>
      <w:sz w:val="18"/>
      <w:szCs w:val="18"/>
    </w:rPr>
  </w:style>
  <w:style w:type="character" w:customStyle="1" w:styleId="12">
    <w:name w:val="页脚 Char"/>
    <w:basedOn w:val="7"/>
    <w:link w:val="4"/>
    <w:semiHidden/>
    <w:qFormat/>
    <w:uiPriority w:val="99"/>
    <w:rPr>
      <w:sz w:val="18"/>
      <w:szCs w:val="18"/>
    </w:rPr>
  </w:style>
  <w:style w:type="character" w:customStyle="1" w:styleId="13">
    <w:name w:val="标题 1 Char"/>
    <w:basedOn w:val="7"/>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453</Words>
  <Characters>516</Characters>
  <Lines>3</Lines>
  <Paragraphs>1</Paragraphs>
  <TotalTime>7</TotalTime>
  <ScaleCrop>false</ScaleCrop>
  <LinksUpToDate>false</LinksUpToDate>
  <CharactersWithSpaces>593</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2026-09-22T17:21:53Z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CD6206FD7CA5494EA3A683B62672B325</vt:lpwstr>
  </property>
</Properties>
</file>