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1927" w:firstLineChars="600"/>
        <w:jc w:val="both"/>
        <w:outlineLvl w:val="0"/>
        <w:rPr>
          <w:rFonts w:hint="eastAsia" w:ascii="仿宋_GB2312" w:hAnsi="黑体" w:eastAsia="仿宋_GB2312" w:cs="方正小标宋简体"/>
          <w:b/>
          <w:sz w:val="32"/>
          <w:szCs w:val="32"/>
          <w:lang w:val="en-US" w:eastAsia="zh-CN"/>
        </w:rPr>
      </w:pPr>
      <w:bookmarkStart w:id="0" w:name="_Toc15396616"/>
      <w:r>
        <w:rPr>
          <w:rFonts w:hint="eastAsia" w:ascii="仿宋_GB2312" w:hAnsi="黑体" w:eastAsia="仿宋_GB2312" w:cs="方正小标宋简体"/>
          <w:b/>
          <w:sz w:val="32"/>
          <w:szCs w:val="32"/>
          <w:lang w:val="en-US" w:eastAsia="zh-CN"/>
        </w:rPr>
        <w:t>黑水县教育和体育局(本级）</w:t>
      </w:r>
    </w:p>
    <w:p>
      <w:pPr>
        <w:spacing w:line="600" w:lineRule="exact"/>
        <w:ind w:firstLine="1285" w:firstLineChars="400"/>
        <w:jc w:val="both"/>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一、部门概况</w:t>
      </w:r>
      <w:bookmarkStart w:id="1" w:name="_GoBack"/>
      <w:bookmarkEnd w:id="1"/>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pStyle w:val="4"/>
        <w:numPr>
          <w:ilvl w:val="0"/>
          <w:numId w:val="0"/>
        </w:numPr>
        <w:adjustRightInd w:val="0"/>
        <w:snapToGrid w:val="0"/>
        <w:spacing w:before="93" w:line="600" w:lineRule="exact"/>
        <w:ind w:left="672" w:leftChars="0" w:firstLine="640" w:firstLineChars="200"/>
        <w:outlineLvl w:val="2"/>
        <w:rPr>
          <w:rFonts w:hint="eastAsia"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黑水县教育和体育局(本级），属教体局一级预算行政单位，内设股室4个，分别为办公室、政工人事股、计财股、县人民政府教育督导室.</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u w:val="none"/>
          <w:lang w:val="en" w:eastAsia="zh-CN"/>
        </w:rPr>
      </w:pPr>
      <w:r>
        <w:rPr>
          <w:rFonts w:hint="eastAsia" w:ascii="Times New Roman" w:hAnsi="Times New Roman" w:eastAsia="方正仿宋_GBK" w:cs="Times New Roman"/>
          <w:b w:val="0"/>
          <w:bCs w:val="0"/>
          <w:color w:val="auto"/>
          <w:sz w:val="32"/>
          <w:szCs w:val="32"/>
          <w:u w:val="none"/>
          <w:lang w:val="en-US" w:eastAsia="zh-CN"/>
        </w:rPr>
        <w:t>1.</w:t>
      </w:r>
      <w:r>
        <w:rPr>
          <w:rFonts w:hint="default" w:ascii="Times New Roman" w:hAnsi="Times New Roman" w:eastAsia="方正仿宋_GBK" w:cs="Times New Roman"/>
          <w:b w:val="0"/>
          <w:bCs w:val="0"/>
          <w:color w:val="auto"/>
          <w:sz w:val="32"/>
          <w:szCs w:val="32"/>
          <w:u w:val="none"/>
        </w:rPr>
        <w:t>坚持以党的政治建设为统领，贯彻执行党和国家的教育</w:t>
      </w:r>
      <w:r>
        <w:rPr>
          <w:rFonts w:hint="default" w:ascii="Times New Roman" w:hAnsi="Times New Roman" w:eastAsia="方正仿宋_GBK" w:cs="Times New Roman"/>
          <w:b w:val="0"/>
          <w:bCs w:val="0"/>
          <w:color w:val="auto"/>
          <w:sz w:val="32"/>
          <w:szCs w:val="32"/>
          <w:u w:val="none"/>
          <w:lang w:eastAsia="zh-CN"/>
        </w:rPr>
        <w:t>和体育事业发展的</w:t>
      </w:r>
      <w:r>
        <w:rPr>
          <w:rFonts w:hint="default" w:ascii="Times New Roman" w:hAnsi="Times New Roman" w:eastAsia="方正仿宋_GBK" w:cs="Times New Roman"/>
          <w:b w:val="0"/>
          <w:bCs w:val="0"/>
          <w:color w:val="auto"/>
          <w:sz w:val="32"/>
          <w:szCs w:val="32"/>
          <w:u w:val="none"/>
        </w:rPr>
        <w:t>方针、政策、法规</w:t>
      </w:r>
      <w:r>
        <w:rPr>
          <w:rFonts w:hint="default" w:ascii="Times New Roman" w:hAnsi="Times New Roman" w:eastAsia="方正仿宋_GBK" w:cs="Times New Roman"/>
          <w:b w:val="0"/>
          <w:bCs w:val="0"/>
          <w:color w:val="auto"/>
          <w:sz w:val="32"/>
          <w:szCs w:val="32"/>
          <w:u w:val="none"/>
          <w:lang w:eastAsia="zh-CN"/>
        </w:rPr>
        <w:t>，</w:t>
      </w:r>
      <w:r>
        <w:rPr>
          <w:rFonts w:hint="default" w:ascii="Times New Roman" w:hAnsi="Times New Roman" w:eastAsia="方正仿宋_GBK" w:cs="Times New Roman"/>
          <w:b w:val="0"/>
          <w:bCs w:val="0"/>
          <w:color w:val="auto"/>
          <w:sz w:val="32"/>
          <w:szCs w:val="32"/>
          <w:u w:val="none"/>
        </w:rPr>
        <w:t>研究、制定</w:t>
      </w:r>
      <w:r>
        <w:rPr>
          <w:rFonts w:hint="default" w:ascii="Times New Roman" w:hAnsi="Times New Roman" w:eastAsia="方正仿宋_GBK" w:cs="Times New Roman"/>
          <w:b w:val="0"/>
          <w:bCs w:val="0"/>
          <w:color w:val="auto"/>
          <w:sz w:val="32"/>
          <w:szCs w:val="32"/>
          <w:u w:val="none"/>
          <w:lang w:val="en" w:eastAsia="zh-CN"/>
        </w:rPr>
        <w:t>教育高质量发展改革和体育改革的地方性政策措施，并组织贯彻实施。</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2.</w:t>
      </w:r>
      <w:r>
        <w:rPr>
          <w:rFonts w:hint="default" w:ascii="Times New Roman" w:hAnsi="Times New Roman" w:eastAsia="方正仿宋_GBK" w:cs="Times New Roman"/>
          <w:b w:val="0"/>
          <w:bCs w:val="0"/>
          <w:color w:val="auto"/>
          <w:sz w:val="32"/>
          <w:szCs w:val="32"/>
          <w:lang w:val="en" w:eastAsia="zh-CN"/>
        </w:rPr>
        <w:t>负责拟订全县教育体育改革配套政策和教育体育事业发展规划，负责全县教育体育工作统筹规划和协调管理，负责推动多元化教育体育服务体系建设，推进教育体育公共服务及体制改革。负责教育体育基本信息统计、分析、发布工作，指导并推进教育体育信息化建设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3.</w:t>
      </w:r>
      <w:r>
        <w:rPr>
          <w:rFonts w:hint="default" w:ascii="Times New Roman" w:hAnsi="Times New Roman" w:eastAsia="方正仿宋_GBK" w:cs="Times New Roman"/>
          <w:b w:val="0"/>
          <w:bCs w:val="0"/>
          <w:color w:val="auto"/>
          <w:sz w:val="32"/>
          <w:szCs w:val="32"/>
          <w:lang w:val="en" w:eastAsia="zh-CN"/>
        </w:rPr>
        <w:t>负责教育体育经费统筹管理，参与拟订筹措经费、拨款、基建投入的政策措施，提出相关收费标准的建议，监督经费、教育基金的筹措和使用情况。牵头落实各项惠民政策、中小学校标准化建设的相关工作。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4.</w:t>
      </w:r>
      <w:r>
        <w:rPr>
          <w:rFonts w:hint="default" w:ascii="Times New Roman" w:hAnsi="Times New Roman" w:eastAsia="方正仿宋_GBK" w:cs="Times New Roman"/>
          <w:b w:val="0"/>
          <w:bCs w:val="0"/>
          <w:color w:val="auto"/>
          <w:sz w:val="32"/>
          <w:szCs w:val="32"/>
          <w:lang w:val="en" w:eastAsia="zh-CN"/>
        </w:rPr>
        <w:t>统筹管理学前教育、义务教育、高中教育、职业教育、成人教育、特殊教育、民办教育，促进各级学校稳步协调发展</w:t>
      </w:r>
      <w:r>
        <w:rPr>
          <w:rFonts w:hint="eastAsia" w:eastAsia="方正仿宋_GBK" w:cs="Times New Roman"/>
          <w:b w:val="0"/>
          <w:bCs w:val="0"/>
          <w:color w:val="auto"/>
          <w:sz w:val="32"/>
          <w:szCs w:val="32"/>
          <w:lang w:val="en" w:eastAsia="zh-CN"/>
        </w:rPr>
        <w:t>。</w:t>
      </w:r>
      <w:r>
        <w:rPr>
          <w:rFonts w:hint="default" w:ascii="Times New Roman" w:hAnsi="Times New Roman" w:eastAsia="方正仿宋_GBK" w:cs="Times New Roman"/>
          <w:b w:val="0"/>
          <w:bCs w:val="0"/>
          <w:color w:val="auto"/>
          <w:sz w:val="32"/>
          <w:szCs w:val="32"/>
          <w:lang w:val="en" w:eastAsia="zh-CN"/>
        </w:rPr>
        <w:t>管理和指导学生控辍保学、学籍、校园餐管理等工作。负责基础教育学校布局调整工作。指导中小学校教育体育教学改革和示范学校创建、学科建设。负责全县民族地区免费中等职业教育计划的组织实施。审批民办学校和教育培训机构，指导管理校外培训机构、教育培训机构的相关工作</w:t>
      </w:r>
      <w:r>
        <w:rPr>
          <w:rFonts w:hint="eastAsia" w:ascii="Times New Roman" w:hAnsi="Times New Roman" w:eastAsia="方正仿宋_GBK" w:cs="Times New Roman"/>
          <w:b w:val="0"/>
          <w:bCs w:val="0"/>
          <w:color w:val="auto"/>
          <w:sz w:val="32"/>
          <w:szCs w:val="32"/>
          <w:lang w:val="en" w:eastAsia="zh-CN"/>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 w:eastAsia="zh-CN"/>
        </w:rPr>
        <w:t>负责组织实施全县教育督导工作，会同县人民政府教育督导机构，负责对各乡（镇）、县级各相关部门、各类学校的督导检查和评估验收，指导全县基础教育质量监测工作。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 w:eastAsia="zh-CN"/>
        </w:rPr>
        <w:t>负责教师业务及相关管理工作。会同有关部门做好教师、校（园）长聘用、体育教练的招聘等工作；组织实施教师继续教育、岗位聘用、职务评聘、培训、调配交流、转岗分流、辞聘解聘、专业技术职务资格评定和教师资格认定等工作；按照干部管理权限和程序，协调相关部门做好校长、中层干部考核任免工作，加强学校领导班子和教职工队伍建设。</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7.</w:t>
      </w:r>
      <w:r>
        <w:rPr>
          <w:rFonts w:hint="default" w:ascii="Times New Roman" w:hAnsi="Times New Roman" w:eastAsia="方正仿宋_GBK" w:cs="Times New Roman"/>
          <w:b w:val="0"/>
          <w:bCs w:val="0"/>
          <w:color w:val="auto"/>
          <w:sz w:val="32"/>
          <w:szCs w:val="32"/>
          <w:lang w:val="en" w:eastAsia="zh-CN"/>
        </w:rPr>
        <w:t>指导各级各类学校思想政治、德育、体育、卫生、艺术、国防教育、安全教育、疾病防控、心理健康教育、职业健康教育等工作。负责教体系统党建、党风廉政建设和反腐败、意识形态、统战、群团、信访和稳定等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 w:eastAsia="zh-CN"/>
        </w:rPr>
        <w:t>负责指导教育教学、教研工作。拟订国家语言文字工作发展规划和年度工作计划，指导普通话推广工作。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9.</w:t>
      </w:r>
      <w:r>
        <w:rPr>
          <w:rFonts w:hint="default" w:ascii="Times New Roman" w:hAnsi="Times New Roman" w:eastAsia="方正仿宋_GBK" w:cs="Times New Roman"/>
          <w:b w:val="0"/>
          <w:bCs w:val="0"/>
          <w:color w:val="auto"/>
          <w:sz w:val="32"/>
          <w:szCs w:val="32"/>
          <w:lang w:val="en" w:eastAsia="zh-CN"/>
        </w:rPr>
        <w:t>制定中小学招生计划并组织实施，统筹管理学历教育招生考试工作，指导成人自学考试工作。协助相关部门做好高校、中等专业学校毕业生就业制度改革和就业指导工作。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10.</w:t>
      </w:r>
      <w:r>
        <w:rPr>
          <w:rFonts w:hint="default" w:ascii="Times New Roman" w:hAnsi="Times New Roman" w:eastAsia="方正仿宋_GBK" w:cs="Times New Roman"/>
          <w:b w:val="0"/>
          <w:bCs w:val="0"/>
          <w:color w:val="auto"/>
          <w:sz w:val="32"/>
          <w:szCs w:val="32"/>
          <w:lang w:val="en" w:eastAsia="zh-CN"/>
        </w:rPr>
        <w:t>负责教体系统干部人事档案、文书档案整理、装订、立卷工作。负责管理、指导学校后勤工作，制定学校后勤管理政策措施。监督、指导学校食堂建设与管理。</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11.</w:t>
      </w:r>
      <w:r>
        <w:rPr>
          <w:rFonts w:hint="default" w:ascii="Times New Roman" w:hAnsi="Times New Roman" w:eastAsia="方正仿宋_GBK" w:cs="Times New Roman"/>
          <w:b w:val="0"/>
          <w:bCs w:val="0"/>
          <w:color w:val="auto"/>
          <w:sz w:val="32"/>
          <w:szCs w:val="32"/>
          <w:lang w:val="en" w:eastAsia="zh-CN"/>
        </w:rPr>
        <w:t>拟订体育发展政策，规范体育服务管理，推动体育标准化建设。协助体育彩票销售的监督管理，指导体育市场发展。参与指导体育基础设施建设和体育场馆管理工作。参与制定体育场馆与设施布局规划，负责对公共体育设施的管理。</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12.</w:t>
      </w:r>
      <w:r>
        <w:rPr>
          <w:rFonts w:hint="default" w:ascii="Times New Roman" w:hAnsi="Times New Roman" w:eastAsia="方正仿宋_GBK" w:cs="Times New Roman"/>
          <w:b w:val="0"/>
          <w:bCs w:val="0"/>
          <w:color w:val="auto"/>
          <w:sz w:val="32"/>
          <w:szCs w:val="32"/>
          <w:lang w:val="en" w:eastAsia="zh-CN"/>
        </w:rPr>
        <w:t>负责推行全民健身计划，监督实施国家体育锻炼标准，组织实施全县国民体质监测和社会体育指导工作。负责社会体育指导员的培训和资格认定工作。组织和指导体育科研、技术攻关、成果推广工作。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13.</w:t>
      </w:r>
      <w:r>
        <w:rPr>
          <w:rFonts w:hint="default" w:ascii="Times New Roman" w:hAnsi="Times New Roman" w:eastAsia="方正仿宋_GBK" w:cs="Times New Roman"/>
          <w:b w:val="0"/>
          <w:bCs w:val="0"/>
          <w:color w:val="auto"/>
          <w:sz w:val="32"/>
          <w:szCs w:val="32"/>
          <w:lang w:val="en" w:eastAsia="zh-CN"/>
        </w:rPr>
        <w:t>指导体育训练、体育竞赛和运动员队伍建设，组织和统筹参加州级及以上综合运动会。承办县级综合性体育竞赛活动，负责组织协调县级综合性运动会的竞赛工作及社会保障工作。负责组织、监督体育运动中的赛风赛纪工作。负责组织、监督体育运动中的</w:t>
      </w:r>
      <w:r>
        <w:rPr>
          <w:rFonts w:hint="eastAsia" w:ascii="Times New Roman" w:hAnsi="Times New Roman" w:eastAsia="方正仿宋_GBK" w:cs="Times New Roman"/>
          <w:b w:val="0"/>
          <w:bCs w:val="0"/>
          <w:color w:val="auto"/>
          <w:sz w:val="32"/>
          <w:szCs w:val="32"/>
          <w:lang w:val="en" w:eastAsia="zh-CN"/>
        </w:rPr>
        <w:t>“</w:t>
      </w:r>
      <w:r>
        <w:rPr>
          <w:rFonts w:hint="default" w:ascii="Times New Roman" w:hAnsi="Times New Roman" w:eastAsia="方正仿宋_GBK" w:cs="Times New Roman"/>
          <w:b w:val="0"/>
          <w:bCs w:val="0"/>
          <w:color w:val="auto"/>
          <w:sz w:val="32"/>
          <w:szCs w:val="32"/>
          <w:lang w:val="en" w:eastAsia="zh-CN"/>
        </w:rPr>
        <w:t>反兴奋剂</w:t>
      </w:r>
      <w:r>
        <w:rPr>
          <w:rFonts w:hint="eastAsia" w:ascii="Times New Roman" w:hAnsi="Times New Roman" w:eastAsia="方正仿宋_GBK" w:cs="Times New Roman"/>
          <w:b w:val="0"/>
          <w:bCs w:val="0"/>
          <w:color w:val="auto"/>
          <w:sz w:val="32"/>
          <w:szCs w:val="32"/>
          <w:lang w:val="en" w:eastAsia="zh-CN"/>
        </w:rPr>
        <w:t>”</w:t>
      </w:r>
      <w:r>
        <w:rPr>
          <w:rFonts w:hint="default" w:ascii="Times New Roman" w:hAnsi="Times New Roman" w:eastAsia="方正仿宋_GBK" w:cs="Times New Roman"/>
          <w:b w:val="0"/>
          <w:bCs w:val="0"/>
          <w:color w:val="auto"/>
          <w:sz w:val="32"/>
          <w:szCs w:val="32"/>
          <w:lang w:val="en" w:eastAsia="zh-CN"/>
        </w:rPr>
        <w:t>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14.</w:t>
      </w:r>
      <w:r>
        <w:rPr>
          <w:rFonts w:hint="default" w:ascii="Times New Roman" w:hAnsi="Times New Roman" w:eastAsia="方正仿宋_GBK" w:cs="Times New Roman"/>
          <w:b w:val="0"/>
          <w:bCs w:val="0"/>
          <w:color w:val="auto"/>
          <w:sz w:val="32"/>
          <w:szCs w:val="32"/>
          <w:lang w:val="en" w:eastAsia="zh-CN"/>
        </w:rPr>
        <w:t>指导、管理教育和体育对外交流合作工作，组织开展与县域外教育与体育机构的交流与合作。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u w:val="none"/>
          <w:lang w:val="en-US" w:eastAsia="zh-CN"/>
        </w:rPr>
      </w:pPr>
      <w:r>
        <w:rPr>
          <w:rFonts w:hint="eastAsia" w:eastAsia="方正仿宋_GBK" w:cs="Times New Roman"/>
          <w:b w:val="0"/>
          <w:bCs w:val="0"/>
          <w:color w:val="auto"/>
          <w:sz w:val="32"/>
          <w:szCs w:val="32"/>
          <w:u w:val="none"/>
          <w:lang w:val="en-US" w:eastAsia="zh-CN"/>
        </w:rPr>
        <w:t>15.负责</w:t>
      </w:r>
      <w:r>
        <w:rPr>
          <w:rFonts w:hint="eastAsia" w:ascii="Times New Roman" w:hAnsi="Times New Roman" w:eastAsia="方正仿宋_GBK" w:cs="Times New Roman"/>
          <w:b w:val="0"/>
          <w:bCs w:val="0"/>
          <w:color w:val="auto"/>
          <w:sz w:val="32"/>
          <w:szCs w:val="32"/>
          <w:u w:val="none"/>
          <w:lang w:val="en-US" w:eastAsia="zh-CN"/>
        </w:rPr>
        <w:t>县委教育工作领导小组</w:t>
      </w:r>
      <w:r>
        <w:rPr>
          <w:rFonts w:hint="eastAsia" w:eastAsia="方正仿宋_GBK" w:cs="Times New Roman"/>
          <w:b w:val="0"/>
          <w:bCs w:val="0"/>
          <w:color w:val="auto"/>
          <w:sz w:val="32"/>
          <w:szCs w:val="32"/>
          <w:u w:val="none"/>
          <w:lang w:val="en-US" w:eastAsia="zh-CN"/>
        </w:rPr>
        <w:t>日常工作。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 w:eastAsia="zh-CN"/>
        </w:rPr>
      </w:pPr>
      <w:r>
        <w:rPr>
          <w:rFonts w:hint="eastAsia" w:ascii="Times New Roman" w:hAnsi="Times New Roman" w:eastAsia="方正仿宋_GBK" w:cs="Times New Roman"/>
          <w:b w:val="0"/>
          <w:bCs w:val="0"/>
          <w:color w:val="auto"/>
          <w:sz w:val="32"/>
          <w:szCs w:val="32"/>
          <w:lang w:val="en-US" w:eastAsia="zh-CN"/>
        </w:rPr>
        <w:t>16.</w:t>
      </w:r>
      <w:r>
        <w:rPr>
          <w:rFonts w:hint="default" w:ascii="Times New Roman" w:hAnsi="Times New Roman" w:eastAsia="方正仿宋_GBK" w:cs="Times New Roman"/>
          <w:b w:val="0"/>
          <w:bCs w:val="0"/>
          <w:color w:val="auto"/>
          <w:sz w:val="32"/>
          <w:szCs w:val="32"/>
          <w:lang w:val="en" w:eastAsia="zh-CN"/>
        </w:rPr>
        <w:t>负责职责范围内生态环境保护、审批服务便民化和行政执法工作。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pPr>
      <w:r>
        <w:rPr>
          <w:rFonts w:hint="eastAsia" w:ascii="Times New Roman" w:hAnsi="Times New Roman" w:eastAsia="方正仿宋_GBK" w:cs="Times New Roman"/>
          <w:b w:val="0"/>
          <w:bCs w:val="0"/>
          <w:color w:val="auto"/>
          <w:sz w:val="32"/>
          <w:szCs w:val="32"/>
          <w:lang w:val="en-US" w:eastAsia="zh-CN"/>
        </w:rPr>
        <w:t>17.</w:t>
      </w:r>
      <w:r>
        <w:rPr>
          <w:rFonts w:hint="default" w:ascii="Times New Roman" w:hAnsi="Times New Roman" w:eastAsia="方正仿宋_GBK" w:cs="Times New Roman"/>
          <w:b w:val="0"/>
          <w:bCs w:val="0"/>
          <w:color w:val="auto"/>
          <w:sz w:val="32"/>
          <w:szCs w:val="32"/>
          <w:lang w:val="en" w:eastAsia="zh-CN"/>
        </w:rPr>
        <w:t>完成县委、县政府交办的其他任务</w:t>
      </w:r>
      <w:r>
        <w:rPr>
          <w:rFonts w:hint="eastAsia" w:ascii="Times New Roman" w:hAnsi="Times New Roman" w:eastAsia="方正仿宋_GBK" w:cs="Times New Roman"/>
          <w:b w:val="0"/>
          <w:bCs w:val="0"/>
          <w:color w:val="auto"/>
          <w:sz w:val="32"/>
          <w:szCs w:val="32"/>
          <w:lang w:val="en" w:eastAsia="zh-CN"/>
        </w:rPr>
        <w:t>。</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lang w:val="en-US"/>
        </w:rPr>
      </w:pPr>
      <w:r>
        <w:rPr>
          <w:rFonts w:hint="eastAsia" w:ascii="仿宋" w:hAnsi="仿宋" w:eastAsia="仿宋" w:cs="仿宋"/>
          <w:color w:val="000000"/>
          <w:kern w:val="0"/>
          <w:sz w:val="30"/>
          <w:szCs w:val="30"/>
          <w:lang w:val="en-US" w:eastAsia="zh-CN" w:bidi="ar-SA"/>
        </w:rPr>
        <w:t>本单位本年度行政职工年末实有人数为9人，其中公务员6人，行政工勤3人，总人数比上年度增加1人，主要原因为本年新招公务员1人。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pPr>
      <w:r>
        <w:rPr>
          <w:rFonts w:hint="eastAsia" w:ascii="仿宋" w:hAnsi="仿宋" w:eastAsia="仿宋" w:cs="仿宋"/>
          <w:color w:val="000000"/>
          <w:kern w:val="0"/>
          <w:sz w:val="32"/>
          <w:szCs w:val="32"/>
          <w:lang w:val="en-US" w:eastAsia="zh-CN" w:bidi="ar-SA"/>
        </w:rPr>
        <w:t>2025年财政资金收入206.19万元，其中，一般公共预算财政拨款收入206.19万元；政府性基金预算拨款收入0万元。</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pPr>
      <w:r>
        <w:rPr>
          <w:rFonts w:hint="eastAsia" w:ascii="仿宋" w:hAnsi="仿宋" w:eastAsia="仿宋" w:cs="仿宋"/>
          <w:color w:val="000000"/>
          <w:kern w:val="0"/>
          <w:sz w:val="32"/>
          <w:szCs w:val="32"/>
          <w:lang w:val="en-US" w:eastAsia="zh-CN" w:bidi="ar-SA"/>
        </w:rPr>
        <w:t>2025年财政资金支出206.19万元，其中：人员经费183.23万元、日常公用经费22.96万元、项目支出0万元。</w:t>
      </w:r>
    </w:p>
    <w:p>
      <w:pPr>
        <w:numPr>
          <w:ilvl w:val="0"/>
          <w:numId w:val="2"/>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部门整体预算绩效管理情况（根据适用指标体系进行调整）</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202</w:t>
      </w:r>
      <w:r>
        <w:rPr>
          <w:rFonts w:hint="eastAsia" w:ascii="仿宋" w:hAnsi="仿宋" w:eastAsia="仿宋" w:cs="仿宋"/>
          <w:color w:val="000000"/>
          <w:kern w:val="0"/>
          <w:sz w:val="32"/>
          <w:szCs w:val="32"/>
          <w:lang w:val="en-US" w:eastAsia="zh-CN" w:bidi="ar-SA"/>
        </w:rPr>
        <w:t>5</w:t>
      </w:r>
      <w:r>
        <w:rPr>
          <w:rFonts w:hint="default" w:ascii="仿宋" w:hAnsi="仿宋" w:eastAsia="仿宋" w:cs="仿宋"/>
          <w:color w:val="000000"/>
          <w:kern w:val="0"/>
          <w:sz w:val="32"/>
          <w:szCs w:val="32"/>
          <w:lang w:val="en-US" w:eastAsia="zh-CN" w:bidi="ar-SA"/>
        </w:rPr>
        <w:t>年，黑水县教育和体育局深入贯彻落实全面预算绩效管理要求，紧紧围绕县委、县政府决策部署和教育事业发展规划，以提升资金使用效益为核心，不断健全绩效管理体系，强化过程监控和结果应用，有效保障了部门职能履行和事业健康发展。</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本部门202</w:t>
      </w:r>
      <w:r>
        <w:rPr>
          <w:rFonts w:hint="eastAsia" w:ascii="仿宋" w:hAnsi="仿宋" w:eastAsia="仿宋" w:cs="仿宋"/>
          <w:sz w:val="30"/>
          <w:szCs w:val="30"/>
          <w:lang w:val="en-US" w:eastAsia="zh-CN"/>
        </w:rPr>
        <w:t>5</w:t>
      </w:r>
      <w:r>
        <w:rPr>
          <w:rFonts w:hint="default" w:ascii="仿宋" w:hAnsi="仿宋" w:eastAsia="仿宋" w:cs="仿宋"/>
          <w:sz w:val="30"/>
          <w:szCs w:val="30"/>
          <w:lang w:val="en-US" w:eastAsia="zh-CN"/>
        </w:rPr>
        <w:t>年度预算管理规范有序，紧紧围绕“保运转、保民生、促发展”的目标，严格执行预算法规，强化内部控制，确保了资金的安全、规范和有效使用。</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部门绩效目标制定：我局在编制202</w:t>
      </w:r>
      <w:r>
        <w:rPr>
          <w:rFonts w:hint="eastAsia" w:ascii="仿宋" w:hAnsi="仿宋" w:eastAsia="仿宋" w:cs="仿宋"/>
          <w:sz w:val="30"/>
          <w:szCs w:val="30"/>
          <w:lang w:val="en-US" w:eastAsia="zh-CN"/>
        </w:rPr>
        <w:t>5</w:t>
      </w:r>
      <w:r>
        <w:rPr>
          <w:rFonts w:hint="default" w:ascii="仿宋" w:hAnsi="仿宋" w:eastAsia="仿宋" w:cs="仿宋"/>
          <w:sz w:val="30"/>
          <w:szCs w:val="30"/>
          <w:lang w:val="en-US" w:eastAsia="zh-CN"/>
        </w:rPr>
        <w:t>年部门预算时，根据“三定”方案职责和年度工作计划，设定了清晰的部门整体绩效目标。目标聚焦于保障</w:t>
      </w:r>
      <w:r>
        <w:rPr>
          <w:rFonts w:hint="eastAsia" w:ascii="仿宋" w:hAnsi="仿宋" w:eastAsia="仿宋" w:cs="仿宋"/>
          <w:sz w:val="30"/>
          <w:szCs w:val="30"/>
          <w:lang w:val="en-US" w:eastAsia="zh-CN"/>
        </w:rPr>
        <w:t>人员经费的按时发放和机关</w:t>
      </w:r>
      <w:r>
        <w:rPr>
          <w:rFonts w:hint="default" w:ascii="仿宋" w:hAnsi="仿宋" w:eastAsia="仿宋" w:cs="仿宋"/>
          <w:sz w:val="30"/>
          <w:szCs w:val="30"/>
          <w:lang w:val="en-US" w:eastAsia="zh-CN"/>
        </w:rPr>
        <w:t>正常运转、</w:t>
      </w:r>
      <w:r>
        <w:rPr>
          <w:rFonts w:hint="eastAsia" w:ascii="仿宋" w:hAnsi="仿宋" w:eastAsia="仿宋" w:cs="仿宋"/>
          <w:sz w:val="30"/>
          <w:szCs w:val="30"/>
          <w:lang w:val="en-US" w:eastAsia="zh-CN"/>
        </w:rPr>
        <w:t>促进</w:t>
      </w:r>
      <w:r>
        <w:rPr>
          <w:rFonts w:hint="default" w:ascii="仿宋" w:hAnsi="仿宋" w:eastAsia="仿宋" w:cs="仿宋"/>
          <w:sz w:val="30"/>
          <w:szCs w:val="30"/>
          <w:lang w:val="en-US" w:eastAsia="zh-CN"/>
        </w:rPr>
        <w:t>落实各项教育惠民政策、维护学校基础设施安全，目标设定具有明确性、可衡量性和相关性。</w:t>
      </w:r>
    </w:p>
    <w:p>
      <w:pPr>
        <w:pStyle w:val="2"/>
        <w:rPr>
          <w:rFonts w:hint="eastAsia"/>
        </w:rPr>
      </w:pP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目标完成：202</w:t>
      </w:r>
      <w:r>
        <w:rPr>
          <w:rFonts w:hint="eastAsia" w:ascii="仿宋" w:hAnsi="仿宋" w:eastAsia="仿宋" w:cs="仿宋"/>
          <w:sz w:val="30"/>
          <w:szCs w:val="30"/>
          <w:lang w:val="en-US" w:eastAsia="zh-CN"/>
        </w:rPr>
        <w:t>5</w:t>
      </w:r>
      <w:r>
        <w:rPr>
          <w:rFonts w:hint="default" w:ascii="仿宋" w:hAnsi="仿宋" w:eastAsia="仿宋" w:cs="仿宋"/>
          <w:sz w:val="30"/>
          <w:szCs w:val="30"/>
          <w:lang w:val="en-US" w:eastAsia="zh-CN"/>
        </w:rPr>
        <w:t>年度，我局</w:t>
      </w:r>
      <w:r>
        <w:rPr>
          <w:rFonts w:hint="eastAsia" w:ascii="仿宋" w:hAnsi="仿宋" w:eastAsia="仿宋" w:cs="仿宋"/>
          <w:sz w:val="30"/>
          <w:szCs w:val="30"/>
          <w:lang w:val="en-US" w:eastAsia="zh-CN"/>
        </w:rPr>
        <w:t>行政</w:t>
      </w:r>
      <w:r>
        <w:rPr>
          <w:rFonts w:hint="default" w:ascii="仿宋" w:hAnsi="仿宋" w:eastAsia="仿宋" w:cs="仿宋"/>
          <w:sz w:val="30"/>
          <w:szCs w:val="30"/>
          <w:lang w:val="en-US" w:eastAsia="zh-CN"/>
        </w:rPr>
        <w:t>顺利完成了年度工作任务。确保了局机关的正常运转，教职工工资福利按时足额发放，公用经费得到有效保障，各项日常教育教学管理活动，部门整体绩效目标完成情况良好。</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预算编制准确：严格按照“零基预算”原则和定额标准，科学编制基本支出预算，人员经费按实有人员和政策标准编实，公用经费按定额核定。预算编制内容全面、依据充分、数据准确，预决算偏差率控制在合理范围内。</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sz w:val="30"/>
          <w:szCs w:val="30"/>
          <w:lang w:val="en-US" w:eastAsia="zh-CN"/>
        </w:rPr>
        <w:t>支出控制：严格执行内控制度、财经法规和经费支出审批程序，严控“三公”经费和一般性支出。资金支付合规，凭证齐全，核算规范。202</w:t>
      </w:r>
      <w:r>
        <w:rPr>
          <w:rFonts w:hint="eastAsia" w:ascii="仿宋" w:hAnsi="仿宋" w:eastAsia="仿宋" w:cs="仿宋"/>
          <w:sz w:val="30"/>
          <w:szCs w:val="30"/>
          <w:lang w:val="en-US" w:eastAsia="zh-CN"/>
        </w:rPr>
        <w:t>5</w:t>
      </w:r>
      <w:r>
        <w:rPr>
          <w:rFonts w:hint="default" w:ascii="仿宋" w:hAnsi="仿宋" w:eastAsia="仿宋" w:cs="仿宋"/>
          <w:sz w:val="30"/>
          <w:szCs w:val="30"/>
          <w:lang w:val="en-US" w:eastAsia="zh-CN"/>
        </w:rPr>
        <w:t>年度基本支出未突破预算，项目支出均用于预定用途，无挤占、挪用现象，支出控制有效。</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预算动态调整：年度预算执行中，我局根据实际情况，对因人员变动、政策调整等因素造成的预算变化，均按规定程序及时向财政局申请预算调整或调剂，确保了预算管理与实际需求的动态匹配，提高了预算的严肃性和灵活性。</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执行进度：我局高度重视预算执行进度，按月进行执行情况分析，加快资金支付效率，尤其在每季度末和年末等重要时间节点，采取有效措施推进支付进度，确保了预算资金及时发挥效益，全年预算执行进度达到财政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预算完成情况：202</w:t>
      </w:r>
      <w:r>
        <w:rPr>
          <w:rFonts w:hint="eastAsia" w:ascii="仿宋" w:hAnsi="仿宋" w:eastAsia="仿宋" w:cs="仿宋"/>
          <w:color w:val="000000"/>
          <w:kern w:val="0"/>
          <w:sz w:val="32"/>
          <w:szCs w:val="32"/>
          <w:lang w:val="en-US" w:eastAsia="zh-CN" w:bidi="ar-SA"/>
        </w:rPr>
        <w:t>5</w:t>
      </w:r>
      <w:r>
        <w:rPr>
          <w:rFonts w:hint="default" w:ascii="仿宋" w:hAnsi="仿宋" w:eastAsia="仿宋" w:cs="仿宋"/>
          <w:color w:val="000000"/>
          <w:kern w:val="0"/>
          <w:sz w:val="32"/>
          <w:szCs w:val="32"/>
          <w:lang w:val="en-US" w:eastAsia="zh-CN" w:bidi="ar-SA"/>
        </w:rPr>
        <w:t>年，部门决算支出总计</w:t>
      </w:r>
      <w:r>
        <w:rPr>
          <w:rFonts w:hint="eastAsia" w:ascii="仿宋" w:hAnsi="仿宋" w:eastAsia="仿宋" w:cs="仿宋"/>
          <w:color w:val="000000"/>
          <w:kern w:val="0"/>
          <w:sz w:val="32"/>
          <w:szCs w:val="32"/>
          <w:lang w:val="en-US" w:eastAsia="zh-CN" w:bidi="ar-SA"/>
        </w:rPr>
        <w:t>206.19</w:t>
      </w:r>
      <w:r>
        <w:rPr>
          <w:rFonts w:hint="default" w:ascii="仿宋" w:hAnsi="仿宋" w:eastAsia="仿宋" w:cs="仿宋"/>
          <w:color w:val="000000"/>
          <w:kern w:val="0"/>
          <w:sz w:val="32"/>
          <w:szCs w:val="32"/>
          <w:lang w:val="en-US" w:eastAsia="zh-CN" w:bidi="ar-SA"/>
        </w:rPr>
        <w:t>万元，其中：基本支出</w:t>
      </w:r>
      <w:r>
        <w:rPr>
          <w:rFonts w:hint="eastAsia" w:ascii="仿宋" w:hAnsi="仿宋" w:eastAsia="仿宋" w:cs="仿宋"/>
          <w:color w:val="000000"/>
          <w:kern w:val="0"/>
          <w:sz w:val="32"/>
          <w:szCs w:val="32"/>
          <w:lang w:val="en-US" w:eastAsia="zh-CN" w:bidi="ar-SA"/>
        </w:rPr>
        <w:t>206.19</w:t>
      </w:r>
      <w:r>
        <w:rPr>
          <w:rFonts w:hint="default" w:ascii="仿宋" w:hAnsi="仿宋" w:eastAsia="仿宋" w:cs="仿宋"/>
          <w:color w:val="000000"/>
          <w:kern w:val="0"/>
          <w:sz w:val="32"/>
          <w:szCs w:val="32"/>
          <w:lang w:val="en-US" w:eastAsia="zh-CN" w:bidi="ar-SA"/>
        </w:rPr>
        <w:t>万元，项目支出</w:t>
      </w:r>
      <w:r>
        <w:rPr>
          <w:rFonts w:hint="eastAsia" w:ascii="仿宋" w:hAnsi="仿宋" w:eastAsia="仿宋" w:cs="仿宋"/>
          <w:color w:val="000000"/>
          <w:kern w:val="0"/>
          <w:sz w:val="32"/>
          <w:szCs w:val="32"/>
          <w:lang w:val="en-US" w:eastAsia="zh-CN" w:bidi="ar-SA"/>
        </w:rPr>
        <w:t>0</w:t>
      </w:r>
      <w:r>
        <w:rPr>
          <w:rFonts w:hint="default" w:ascii="仿宋" w:hAnsi="仿宋" w:eastAsia="仿宋" w:cs="仿宋"/>
          <w:color w:val="000000"/>
          <w:kern w:val="0"/>
          <w:sz w:val="32"/>
          <w:szCs w:val="32"/>
          <w:lang w:val="en-US" w:eastAsia="zh-CN" w:bidi="ar-SA"/>
        </w:rPr>
        <w:t>万元。预算完成率为100%</w:t>
      </w:r>
      <w:r>
        <w:rPr>
          <w:rFonts w:hint="eastAsia" w:ascii="仿宋" w:hAnsi="仿宋" w:eastAsia="仿宋" w:cs="仿宋"/>
          <w:color w:val="000000"/>
          <w:kern w:val="0"/>
          <w:sz w:val="32"/>
          <w:szCs w:val="32"/>
          <w:lang w:val="en-US" w:eastAsia="zh-CN" w:bidi="ar-SA"/>
        </w:rPr>
        <w:t>，</w:t>
      </w:r>
      <w:r>
        <w:rPr>
          <w:rFonts w:hint="default" w:ascii="仿宋" w:hAnsi="仿宋" w:eastAsia="仿宋" w:cs="仿宋"/>
          <w:color w:val="000000"/>
          <w:kern w:val="0"/>
          <w:sz w:val="32"/>
          <w:szCs w:val="32"/>
          <w:lang w:val="en-US" w:eastAsia="zh-CN" w:bidi="ar-SA"/>
        </w:rPr>
        <w:t>预算完成情况良好。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color w:val="000000"/>
          <w:kern w:val="0"/>
          <w:sz w:val="32"/>
          <w:szCs w:val="32"/>
          <w:lang w:val="en-US" w:eastAsia="zh-CN" w:bidi="ar-SA"/>
        </w:rPr>
      </w:pPr>
      <w:r>
        <w:rPr>
          <w:rFonts w:hint="default" w:ascii="仿宋" w:hAnsi="仿宋" w:eastAsia="仿宋" w:cs="仿宋"/>
          <w:color w:val="000000"/>
          <w:kern w:val="0"/>
          <w:sz w:val="32"/>
          <w:szCs w:val="32"/>
          <w:lang w:val="en-US" w:eastAsia="zh-CN" w:bidi="ar-SA"/>
        </w:rPr>
        <w:t>违规记录：202</w:t>
      </w:r>
      <w:r>
        <w:rPr>
          <w:rFonts w:hint="eastAsia" w:ascii="仿宋" w:hAnsi="仿宋" w:eastAsia="仿宋" w:cs="仿宋"/>
          <w:color w:val="000000"/>
          <w:kern w:val="0"/>
          <w:sz w:val="32"/>
          <w:szCs w:val="32"/>
          <w:lang w:val="en-US" w:eastAsia="zh-CN" w:bidi="ar-SA"/>
        </w:rPr>
        <w:t>5</w:t>
      </w:r>
      <w:r>
        <w:rPr>
          <w:rFonts w:hint="default" w:ascii="仿宋" w:hAnsi="仿宋" w:eastAsia="仿宋" w:cs="仿宋"/>
          <w:color w:val="000000"/>
          <w:kern w:val="0"/>
          <w:sz w:val="32"/>
          <w:szCs w:val="32"/>
          <w:lang w:val="en-US" w:eastAsia="zh-CN" w:bidi="ar-SA"/>
        </w:rPr>
        <w:t>年度，在预算管理和资金使用过程中，严格遵守各项财经法规，无任何预算违规违纪行为，未受到财政、审计等部门的处理处罚。</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eastAsia" w:ascii="仿宋_GB2312" w:hAnsi="仿宋" w:eastAsia="仿宋_GB2312" w:cs="仿宋_GB2312"/>
          <w:sz w:val="32"/>
          <w:szCs w:val="32"/>
        </w:rPr>
      </w:pPr>
      <w:r>
        <w:rPr>
          <w:rFonts w:hint="eastAsia" w:ascii="仿宋" w:hAnsi="仿宋" w:eastAsia="仿宋" w:cs="仿宋"/>
          <w:sz w:val="30"/>
          <w:szCs w:val="30"/>
          <w:lang w:val="en-US" w:eastAsia="zh-CN"/>
        </w:rPr>
        <w:t>2025年黑水县教体局（本级）无专项预算项目。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我局高度重视绩效评价结果的运用，将其作为改进预算管理、提升资金效益和提高公共服务质量的重要依据，逐步建立“评价-反馈-应用-提升”的绩效管理良性循环机制。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部门自评质量：本次部门整体支出绩效自评工作，由局财务室牵头，各相关业务股室协同配合，严格依据县财政局规定的评价流程和指标体系开展。自评过程中，我们全面收集了预算批复文件、决算报表、财务凭证、工作总结、业务数据等支撑材料，确保评价过程有理有据、客观公正。</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公开情况：已严格按照预决算信息公开要求，在批复后规定时间内，于黑水县人民政府官方网站同步公开了202</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年度</w:t>
      </w:r>
      <w:r>
        <w:rPr>
          <w:rFonts w:hint="eastAsia" w:ascii="仿宋" w:hAnsi="仿宋" w:eastAsia="仿宋" w:cs="仿宋"/>
          <w:kern w:val="2"/>
          <w:sz w:val="32"/>
          <w:szCs w:val="32"/>
          <w:lang w:val="en-US" w:eastAsia="zh-CN" w:bidi="ar-SA"/>
        </w:rPr>
        <w:t>部门预算</w:t>
      </w:r>
      <w:r>
        <w:rPr>
          <w:rFonts w:hint="default" w:ascii="仿宋" w:hAnsi="仿宋" w:eastAsia="仿宋" w:cs="仿宋"/>
          <w:kern w:val="2"/>
          <w:sz w:val="32"/>
          <w:szCs w:val="32"/>
          <w:lang w:val="en-US" w:eastAsia="zh-CN" w:bidi="ar-SA"/>
        </w:rPr>
        <w:t>。本次决算公开</w:t>
      </w:r>
      <w:r>
        <w:rPr>
          <w:rFonts w:hint="eastAsia" w:ascii="仿宋" w:hAnsi="仿宋" w:eastAsia="仿宋" w:cs="仿宋"/>
          <w:kern w:val="2"/>
          <w:sz w:val="32"/>
          <w:szCs w:val="32"/>
          <w:lang w:val="en-US" w:eastAsia="zh-CN" w:bidi="ar-SA"/>
        </w:rPr>
        <w:t>附</w:t>
      </w:r>
      <w:r>
        <w:rPr>
          <w:rFonts w:hint="default" w:ascii="仿宋" w:hAnsi="仿宋" w:eastAsia="仿宋" w:cs="仿宋"/>
          <w:kern w:val="2"/>
          <w:sz w:val="32"/>
          <w:szCs w:val="32"/>
          <w:lang w:val="en-US" w:eastAsia="zh-CN" w:bidi="ar-SA"/>
        </w:rPr>
        <w:t>《部门整体支出绩效评价报告》，主动接受社会公众监督，提高财政资金使用的透明度和公信力。</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评价结果整改和应用结果反馈：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结果应用：将本次绩效评价结果与2025年预算编制和政策调整紧密结合。对绩效优良的支出方向和项目予以优先保障；对评价反映出的管理薄弱环节，作为优化内控流程、加强资金监管的重要参考。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反馈与整改：</w:t>
      </w:r>
      <w:r>
        <w:rPr>
          <w:rFonts w:hint="default" w:ascii="仿宋" w:hAnsi="仿宋" w:eastAsia="仿宋" w:cs="仿宋"/>
          <w:kern w:val="2"/>
          <w:sz w:val="32"/>
          <w:szCs w:val="32"/>
          <w:lang w:val="en-US" w:eastAsia="zh-CN" w:bidi="ar-SA"/>
        </w:rPr>
        <w:t>虽然本次评价显示我局整体支出绩效目标完成良好，未发现重大问题和违规情况，但我们仍坚持问题导向。对于自评中发现的可以进一步提升的方面</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已向相关股室进行了内部反馈，并要求其制定细微的改进措施，在202</w:t>
      </w:r>
      <w:r>
        <w:rPr>
          <w:rFonts w:hint="eastAsia" w:ascii="仿宋" w:hAnsi="仿宋" w:eastAsia="仿宋" w:cs="仿宋"/>
          <w:kern w:val="2"/>
          <w:sz w:val="32"/>
          <w:szCs w:val="32"/>
          <w:lang w:val="en-US" w:eastAsia="zh-CN" w:bidi="ar-SA"/>
        </w:rPr>
        <w:t>6</w:t>
      </w:r>
      <w:r>
        <w:rPr>
          <w:rFonts w:hint="default" w:ascii="仿宋" w:hAnsi="仿宋" w:eastAsia="仿宋" w:cs="仿宋"/>
          <w:kern w:val="2"/>
          <w:sz w:val="32"/>
          <w:szCs w:val="32"/>
          <w:lang w:val="en-US" w:eastAsia="zh-CN" w:bidi="ar-SA"/>
        </w:rPr>
        <w:t>年预算执行中予以落实，持续提升管理水平和绩效意识。</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综上所述，黑水县</w:t>
      </w:r>
      <w:r>
        <w:rPr>
          <w:rFonts w:hint="eastAsia" w:ascii="仿宋" w:hAnsi="仿宋" w:eastAsia="仿宋" w:cs="仿宋"/>
          <w:kern w:val="2"/>
          <w:sz w:val="32"/>
          <w:szCs w:val="32"/>
          <w:lang w:val="en-US" w:eastAsia="zh-CN" w:bidi="ar-SA"/>
        </w:rPr>
        <w:t>教育和体育局（本级）</w:t>
      </w:r>
      <w:r>
        <w:rPr>
          <w:rFonts w:hint="default" w:ascii="仿宋" w:hAnsi="仿宋" w:eastAsia="仿宋" w:cs="仿宋"/>
          <w:kern w:val="2"/>
          <w:sz w:val="32"/>
          <w:szCs w:val="32"/>
          <w:lang w:val="en-US" w:eastAsia="zh-CN" w:bidi="ar-SA"/>
        </w:rPr>
        <w:t>202</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年度部门整体支出绩效自评</w:t>
      </w:r>
      <w:r>
        <w:rPr>
          <w:rFonts w:hint="eastAsia" w:ascii="仿宋" w:hAnsi="仿宋" w:eastAsia="仿宋" w:cs="仿宋"/>
          <w:kern w:val="2"/>
          <w:sz w:val="32"/>
          <w:szCs w:val="32"/>
          <w:lang w:val="en-US" w:eastAsia="zh-CN" w:bidi="ar-SA"/>
        </w:rPr>
        <w:t>良好，</w:t>
      </w:r>
      <w:r>
        <w:rPr>
          <w:rFonts w:hint="default" w:ascii="仿宋" w:hAnsi="仿宋" w:eastAsia="仿宋" w:cs="仿宋"/>
          <w:kern w:val="2"/>
          <w:sz w:val="32"/>
          <w:szCs w:val="32"/>
          <w:lang w:val="en-US" w:eastAsia="zh-CN" w:bidi="ar-SA"/>
        </w:rPr>
        <w:t>部门整体和专项预算绩效目标明确，管理规范有序，资金使用</w:t>
      </w:r>
      <w:r>
        <w:rPr>
          <w:rFonts w:hint="eastAsia" w:ascii="仿宋" w:hAnsi="仿宋" w:eastAsia="仿宋" w:cs="仿宋"/>
          <w:kern w:val="2"/>
          <w:sz w:val="32"/>
          <w:szCs w:val="32"/>
          <w:lang w:val="en-US" w:eastAsia="zh-CN" w:bidi="ar-SA"/>
        </w:rPr>
        <w:t>有</w:t>
      </w:r>
      <w:r>
        <w:rPr>
          <w:rFonts w:hint="default" w:ascii="仿宋" w:hAnsi="仿宋" w:eastAsia="仿宋" w:cs="仿宋"/>
          <w:kern w:val="2"/>
          <w:sz w:val="32"/>
          <w:szCs w:val="32"/>
          <w:lang w:val="en-US" w:eastAsia="zh-CN" w:bidi="ar-SA"/>
        </w:rPr>
        <w:t>效，全面完成了年度各项任务，财政资金发挥了良好的经济效益和社会效益，有力推动了全县教</w:t>
      </w:r>
      <w:r>
        <w:rPr>
          <w:rFonts w:hint="eastAsia" w:ascii="仿宋" w:hAnsi="仿宋" w:eastAsia="仿宋" w:cs="仿宋"/>
          <w:kern w:val="2"/>
          <w:sz w:val="32"/>
          <w:szCs w:val="32"/>
          <w:lang w:val="en-US" w:eastAsia="zh-CN" w:bidi="ar-SA"/>
        </w:rPr>
        <w:t>体</w:t>
      </w:r>
      <w:r>
        <w:rPr>
          <w:rFonts w:hint="default" w:ascii="仿宋" w:hAnsi="仿宋" w:eastAsia="仿宋" w:cs="仿宋"/>
          <w:kern w:val="2"/>
          <w:sz w:val="32"/>
          <w:szCs w:val="32"/>
          <w:lang w:val="en-US" w:eastAsia="zh-CN" w:bidi="ar-SA"/>
        </w:rPr>
        <w:t>事业</w:t>
      </w:r>
      <w:r>
        <w:rPr>
          <w:rFonts w:hint="eastAsia" w:ascii="仿宋" w:hAnsi="仿宋" w:eastAsia="仿宋" w:cs="仿宋"/>
          <w:kern w:val="2"/>
          <w:sz w:val="32"/>
          <w:szCs w:val="32"/>
          <w:lang w:val="en-US" w:eastAsia="zh-CN" w:bidi="ar-SA"/>
        </w:rPr>
        <w:t>较</w:t>
      </w:r>
      <w:r>
        <w:rPr>
          <w:rFonts w:hint="default" w:ascii="仿宋" w:hAnsi="仿宋" w:eastAsia="仿宋" w:cs="仿宋"/>
          <w:kern w:val="2"/>
          <w:sz w:val="32"/>
          <w:szCs w:val="32"/>
          <w:lang w:val="en-US" w:eastAsia="zh-CN" w:bidi="ar-SA"/>
        </w:rPr>
        <w:t>高质量发展。</w:t>
      </w:r>
    </w:p>
    <w:p>
      <w:pPr>
        <w:numPr>
          <w:ilvl w:val="0"/>
          <w:numId w:val="3"/>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预算编制精细化有待加强：部分项目预算因规划前瞻性不足或年中政策变化，执行中仍需调整，精准度可进一步提升。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绩效指标量化精度需提升：部分效益指标，如“教育质量提升程度”、“社会满意度”等，仍较多依赖定性描述，需探索建立更科学、可量化的测量体系与数据支撑。</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pPr>
      <w:r>
        <w:rPr>
          <w:rFonts w:hint="default" w:ascii="仿宋" w:hAnsi="仿宋" w:eastAsia="仿宋" w:cs="仿宋"/>
          <w:kern w:val="2"/>
          <w:sz w:val="32"/>
          <w:szCs w:val="32"/>
          <w:lang w:val="en-US" w:eastAsia="zh-CN" w:bidi="ar-SA"/>
        </w:rPr>
        <w:t>部分项目资金执行进度不均：受资金下达时间、项目前期工作进度等因素影响，部分项目资金支付存在“前慢后快”现象，均衡性需改善。</w:t>
      </w:r>
    </w:p>
    <w:p>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强化预算精准编制</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加强前瞻研究和政策研判，深化项目库建设，提高项目储备质量和预算编制精准度，减少执行中的调整频次。优化绩效指标体系</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健全事中绩效监控机制</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加快预算执行进度</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硬化评价结果应用</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进一步完善内部管理制度，强化绩效评价结果与预算安排、真正实现“花钱必问效、无效要问责、低效多压减、有效多安排”。</w:t>
      </w: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5ABBE2"/>
    <w:multiLevelType w:val="singleLevel"/>
    <w:tmpl w:val="E75ABBE2"/>
    <w:lvl w:ilvl="0" w:tentative="0">
      <w:start w:val="3"/>
      <w:numFmt w:val="chineseCounting"/>
      <w:suff w:val="nothing"/>
      <w:lvlText w:val="%1、"/>
      <w:lvlJc w:val="left"/>
      <w:rPr>
        <w:rFonts w:hint="eastAsia"/>
      </w:rPr>
    </w:lvl>
  </w:abstractNum>
  <w:abstractNum w:abstractNumId="1">
    <w:nsid w:val="F421EF01"/>
    <w:multiLevelType w:val="singleLevel"/>
    <w:tmpl w:val="F421EF01"/>
    <w:lvl w:ilvl="0" w:tentative="0">
      <w:start w:val="2"/>
      <w:numFmt w:val="chineseCounting"/>
      <w:suff w:val="nothing"/>
      <w:lvlText w:val="（%1）"/>
      <w:lvlJc w:val="left"/>
      <w:rPr>
        <w:rFonts w:hint="eastAsia"/>
      </w:rPr>
    </w:lvl>
  </w:abstractNum>
  <w:abstractNum w:abstractNumId="2">
    <w:nsid w:val="44729348"/>
    <w:multiLevelType w:val="singleLevel"/>
    <w:tmpl w:val="44729348"/>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2235E22"/>
    <w:rsid w:val="093C0D2F"/>
    <w:rsid w:val="09CC799B"/>
    <w:rsid w:val="0AAA78D9"/>
    <w:rsid w:val="0B1A0556"/>
    <w:rsid w:val="0BAE6CC2"/>
    <w:rsid w:val="0C934700"/>
    <w:rsid w:val="0E44020C"/>
    <w:rsid w:val="1400312D"/>
    <w:rsid w:val="14BF01D1"/>
    <w:rsid w:val="15314A7C"/>
    <w:rsid w:val="1779631D"/>
    <w:rsid w:val="19A810F8"/>
    <w:rsid w:val="1A9F41BD"/>
    <w:rsid w:val="1B862B6E"/>
    <w:rsid w:val="1C71203C"/>
    <w:rsid w:val="1D8E1900"/>
    <w:rsid w:val="1FE22F6F"/>
    <w:rsid w:val="23AF5448"/>
    <w:rsid w:val="24C130E0"/>
    <w:rsid w:val="261255E2"/>
    <w:rsid w:val="2683096C"/>
    <w:rsid w:val="26C766AC"/>
    <w:rsid w:val="2AC0652A"/>
    <w:rsid w:val="2B2E4E2E"/>
    <w:rsid w:val="2B3F0CF2"/>
    <w:rsid w:val="2B46386E"/>
    <w:rsid w:val="2D53004A"/>
    <w:rsid w:val="3101455E"/>
    <w:rsid w:val="31194452"/>
    <w:rsid w:val="31DE4F7B"/>
    <w:rsid w:val="34EB1F43"/>
    <w:rsid w:val="36435EC2"/>
    <w:rsid w:val="37297049"/>
    <w:rsid w:val="3DDC59A2"/>
    <w:rsid w:val="3FFF34C8"/>
    <w:rsid w:val="421920A9"/>
    <w:rsid w:val="434C5942"/>
    <w:rsid w:val="43EB7E23"/>
    <w:rsid w:val="46D929DD"/>
    <w:rsid w:val="49031E3E"/>
    <w:rsid w:val="49DC5D89"/>
    <w:rsid w:val="4DD1369A"/>
    <w:rsid w:val="4DD97D2F"/>
    <w:rsid w:val="4F0F480B"/>
    <w:rsid w:val="54A67680"/>
    <w:rsid w:val="58176F99"/>
    <w:rsid w:val="596C6858"/>
    <w:rsid w:val="5BFF0CA3"/>
    <w:rsid w:val="5C53214B"/>
    <w:rsid w:val="600112B5"/>
    <w:rsid w:val="60CD2774"/>
    <w:rsid w:val="60D032A5"/>
    <w:rsid w:val="6116789F"/>
    <w:rsid w:val="618C6D17"/>
    <w:rsid w:val="64627C97"/>
    <w:rsid w:val="64DF2031"/>
    <w:rsid w:val="65EA10F8"/>
    <w:rsid w:val="67B572C0"/>
    <w:rsid w:val="680E28D3"/>
    <w:rsid w:val="68731BB0"/>
    <w:rsid w:val="69853F8E"/>
    <w:rsid w:val="6D0B19EF"/>
    <w:rsid w:val="6D500075"/>
    <w:rsid w:val="70407A17"/>
    <w:rsid w:val="7079109E"/>
    <w:rsid w:val="70CB29DF"/>
    <w:rsid w:val="76DC31E0"/>
    <w:rsid w:val="78280F34"/>
    <w:rsid w:val="7B271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qFormat/>
    <w:uiPriority w:val="99"/>
    <w:pPr>
      <w:spacing w:beforeLines="30"/>
    </w:pPr>
    <w:rPr>
      <w:rFonts w:ascii="仿宋_GB2312" w:eastAsia="仿宋_GB2312"/>
      <w:kern w:val="0"/>
      <w:sz w:val="30"/>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332</Words>
  <Characters>337</Characters>
  <Lines>2</Lines>
  <Paragraphs>1</Paragraphs>
  <TotalTime>0</TotalTime>
  <ScaleCrop>false</ScaleCrop>
  <LinksUpToDate>false</LinksUpToDate>
  <CharactersWithSpaces>337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2026-09-17T17:40:02Z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3115989309D741DA945EE44A488D69E1</vt:lpwstr>
  </property>
</Properties>
</file>