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行政审批局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部门201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部门（单位）概况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（一）履行政治领导责任，做好理论武装和思想政治工作，负责学习、宣传、贯彻执行党的理论和路线方针政策，贯彻落实党中央、省委、州委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、县委和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上级党组织的决策部署，发挥好把方向、管大局、保落实的重要作用。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讨论和决定本单位下列重大问题。党的路线方针政策、国家法律法规和上级党组织重要会议、重要文件、重大决策部署的贯彻落实事项；需要向上级党组织请示报告的重要事项；内部机构设置、职责、人员编制等事项；重大决策、重要人事任免、重大项目安排、大额资金使用等事项；基层党组织和党员队伍建设方面的重要事项；意识形态工作、思想政治工作和精神文明建设方面的重要事项；党风廉政建设和反腐败工作方面的重要事项；其他应由党组讨论和决定的重大问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（三）贯彻党管干部原则，加强干部队伍建设，完善干部培养选拔机制，加强干部教育管理监督；贯彻党管人才原则，加强人才队伍建设；加强对本单位工会、共青团、妇联等群团工作的领导。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（四）履行党要管党、从严治党责任，加强对本单位党的建设的领导，落实党建工作责任制。认真履行党风廉政建设主体责任，支持纪检监察机构履行监督责任。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行政审批局贯彻落实党中央关于行政审批、政务服务、公共资源交易管理等工作的方针政策和省委、州委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、县委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的决策部署，在履行职责过程中坚持和加强党对深化行政审批制度改革、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放管服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改革、行政审批、政务服务、公共资源交易管理等工作的集中统一领导。主要职责是：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负责深化行政审批制度改革和“放管服”改革工作，拟订全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行政审批制度和“放管服”改革相关政策和规范性文件，承担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本级行政权力清单和责任清单的动态调整，指导全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行政权力清单和责任清单工作，建立完善相关工作机制。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本级行政审批工作，承办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直部门划入的涉及投资项目、市场准入、建设工程、交通水利、文教卫生、社会事务、涉农事务等方面的行政审批事项及时通报行政审批事项的实施情况，逐步实行“一枚印章管审批”。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（三）负责协调、指导入驻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政务服务中心的公安、民族宗教、国土资源、生态环境、应急管理和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直部门的行政审批工作。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）负责全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政务服务管理工作，指导全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政务服务体系建设。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）负责公共资源交易管理工作，指导公共资源交易服务体系建设。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）负责对涉及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政务服务中心、公共资源交易中心、行政审批服务机构的投诉举报的承办、转办和督办工作。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政府交办的其他任务。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机构组成。</w:t>
      </w:r>
    </w:p>
    <w:p>
      <w:pPr>
        <w:ind w:left="640"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黑水县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行政审批局</w:t>
      </w:r>
      <w:r>
        <w:rPr>
          <w:rFonts w:hint="eastAsia" w:ascii="仿宋_GB2312" w:hAnsi="仿宋" w:eastAsia="仿宋_GB2312"/>
          <w:sz w:val="32"/>
          <w:szCs w:val="32"/>
        </w:rPr>
        <w:t>为一级行政单位，下属二级单位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个，其中行政单位0个，参照公务员法管理的事业单位</w:t>
      </w:r>
      <w:r>
        <w:rPr>
          <w:rFonts w:hint="eastAsia" w:ascii="仿宋_GB2312" w:hAnsi="仿宋" w:eastAsia="仿宋_GB2312"/>
          <w:bCs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个，其他事业单位0个。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（二）人员概况。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行政审批局行政编制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名。其中，局长1名，副局长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，股级领导职数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关工勤人员事业编制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县政务服务和公共资源交易服务中心事业编5名，其中：主任1名（副科级），副主任1名（股级）。</w:t>
      </w:r>
    </w:p>
    <w:p>
      <w:pPr>
        <w:pStyle w:val="2"/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600" w:lineRule="exact"/>
        <w:ind w:firstLine="640" w:firstLineChars="200"/>
        <w:outlineLvl w:val="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2019年本年收入合计374.65万元，其中：一般公共预算财政拨款收入374.65万元，占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%；政府性基金预算财政拨款收入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%；国有资本经营预算财政拨款收入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%；事业收入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%；经营收入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%；附属单位上缴收入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%；其他收入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pStyle w:val="2"/>
      </w:pP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600" w:lineRule="exact"/>
        <w:ind w:firstLine="640"/>
        <w:rPr>
          <w:rFonts w:ascii="仿宋_GB2312" w:hAnsi="仿宋" w:eastAsia="仿宋_GB2312"/>
          <w:color w:val="000000"/>
          <w:sz w:val="32"/>
          <w:szCs w:val="32"/>
          <w:shd w:val="pct10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2019年本年支出合计437.88万元，其中：基本支出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261.28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%；项目支出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176.61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%；上缴上级支出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%；经营支出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%；对附属单位补助支出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pStyle w:val="2"/>
        <w:numPr>
          <w:ilvl w:val="0"/>
          <w:numId w:val="0"/>
        </w:numPr>
        <w:ind w:leftChars="200"/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ind w:firstLine="6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2019年我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" w:eastAsia="仿宋_GB2312" w:cs="仿宋_GB2312"/>
          <w:sz w:val="32"/>
          <w:szCs w:val="32"/>
        </w:rPr>
        <w:t>严格按照财政局下发的文件要求进行预决算编制工作，并及时进行2018年预算、决算情况政务公开，无违规情况。</w:t>
      </w:r>
    </w:p>
    <w:p>
      <w:pPr>
        <w:ind w:firstLine="6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" w:eastAsia="仿宋_GB2312" w:cs="仿宋_GB2312"/>
          <w:sz w:val="32"/>
          <w:szCs w:val="32"/>
        </w:rPr>
        <w:t>针对财政规范的目的制定了相关制度，根据财政局下发的文件按照要求开展工作，做好财政收支工作，做好预算及决算工作，保证我办财务工作公开透明规范运行。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" w:eastAsia="仿宋_GB2312" w:cs="仿宋_GB2312"/>
          <w:sz w:val="32"/>
          <w:szCs w:val="32"/>
        </w:rPr>
        <w:t>严格按照财政相关文件精神要求对办公室财务工作执行管理，正确把握专项资金的使用范围，财政资金支出和使用完全按照相关规定操作，严格遵守财务内审和监督制度。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2019年一般公共预算财政拨款支出374.65万元，占本年支出合计的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%。与2018年相比，一般公共预算财政拨款增加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161.45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%。主要变动原因是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因机构改革人员增加。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ind w:left="601" w:firstLine="960" w:firstLineChars="300"/>
        <w:rPr>
          <w:rFonts w:ascii="仿宋" w:hAnsi="仿宋" w:eastAsia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 结合评价得分评价结果为良好。2019年的各项目标任务按期完成，财务管理健全规范，未发生违法违规问题。</w:t>
      </w:r>
    </w:p>
    <w:p>
      <w:pPr>
        <w:pStyle w:val="2"/>
      </w:pP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spacing w:line="580" w:lineRule="exact"/>
        <w:ind w:left="640" w:firstLine="960" w:firstLineChars="3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19年对于部门财政整体绩效评价工作，我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" w:eastAsia="仿宋_GB2312" w:cs="仿宋_GB2312"/>
          <w:sz w:val="32"/>
          <w:szCs w:val="32"/>
        </w:rPr>
        <w:t>严格按照财政部门的要求开展相关工作。但还存在一定的问题：一是更合理安排分配资金，进一步加大执行力度。二是内部控制制度和财务管理制度还有待进一步完善。</w:t>
      </w:r>
    </w:p>
    <w:p>
      <w:pPr>
        <w:pStyle w:val="2"/>
        <w:numPr>
          <w:ilvl w:val="0"/>
          <w:numId w:val="0"/>
        </w:numPr>
        <w:ind w:leftChars="200"/>
      </w:pP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</w:t>
      </w:r>
    </w:p>
    <w:p>
      <w:pPr>
        <w:spacing w:line="580" w:lineRule="exact"/>
        <w:ind w:left="640" w:firstLine="960" w:firstLineChars="3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一是加强本单位职工的预算管理意识，并合理合规的使用资金，保证资金有效运转。二是完善单位财务内部控制制度和财务管理制度，按要求进行单位财务管理，保证财务工作的顺利进行。</w:t>
      </w:r>
      <w:r>
        <w:rPr>
          <w:rFonts w:hint="eastAsia" w:ascii="仿宋" w:hAnsi="仿宋" w:eastAsia="仿宋"/>
          <w:sz w:val="32"/>
          <w:szCs w:val="32"/>
        </w:rPr>
        <w:t>第三多举行专业技术培训。</w:t>
      </w:r>
    </w:p>
    <w:p>
      <w:pPr>
        <w:pStyle w:val="2"/>
        <w:numPr>
          <w:ilvl w:val="0"/>
          <w:numId w:val="0"/>
        </w:numPr>
        <w:ind w:leftChars="200"/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310B78"/>
    <w:multiLevelType w:val="singleLevel"/>
    <w:tmpl w:val="F9310B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D68C88"/>
    <w:multiLevelType w:val="singleLevel"/>
    <w:tmpl w:val="7FD68C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2259386A"/>
    <w:rsid w:val="36435EC2"/>
    <w:rsid w:val="78D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Chars="200" w:hanging="200" w:hanging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asd</cp:lastModifiedBy>
  <dcterms:modified xsi:type="dcterms:W3CDTF">2020-09-03T02:47:44Z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