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黑体" w:eastAsia="方正小标宋_GBK" w:cs="方正小标宋简体"/>
          <w:b/>
          <w:sz w:val="44"/>
          <w:szCs w:val="44"/>
        </w:rPr>
      </w:pPr>
      <w:bookmarkStart w:id="0" w:name="_Toc15396616"/>
      <w:r>
        <w:rPr>
          <w:rFonts w:hint="eastAsia" w:ascii="方正小标宋_GBK" w:hAnsi="黑体" w:eastAsia="方正小标宋_GBK" w:cs="方正小标宋简体"/>
          <w:b/>
          <w:sz w:val="44"/>
          <w:szCs w:val="44"/>
        </w:rPr>
        <w:t>黑水县行政审批局202</w:t>
      </w:r>
      <w:r>
        <w:rPr>
          <w:rFonts w:hint="eastAsia" w:ascii="方正小标宋_GBK" w:hAnsi="黑体" w:eastAsia="方正小标宋_GBK" w:cs="方正小标宋简体"/>
          <w:b/>
          <w:sz w:val="44"/>
          <w:szCs w:val="44"/>
          <w:lang w:val="en-US" w:eastAsia="zh-CN"/>
        </w:rPr>
        <w:t>3</w:t>
      </w:r>
      <w:r>
        <w:rPr>
          <w:rFonts w:hint="eastAsia" w:ascii="方正小标宋_GBK" w:hAnsi="黑体" w:eastAsia="方正小标宋_GBK" w:cs="方正小标宋简体"/>
          <w:b/>
          <w:sz w:val="44"/>
          <w:szCs w:val="44"/>
        </w:rPr>
        <w:t>年部门</w:t>
      </w:r>
    </w:p>
    <w:p>
      <w:pPr>
        <w:spacing w:line="600" w:lineRule="exact"/>
        <w:jc w:val="center"/>
        <w:outlineLvl w:val="0"/>
        <w:rPr>
          <w:rFonts w:ascii="方正小标宋_GBK" w:hAnsi="黑体" w:eastAsia="方正小标宋_GBK" w:cs="方正小标宋简体"/>
          <w:b/>
          <w:sz w:val="44"/>
          <w:szCs w:val="44"/>
        </w:rPr>
      </w:pPr>
      <w:r>
        <w:rPr>
          <w:rFonts w:hint="eastAsia" w:ascii="方正小标宋_GBK" w:hAnsi="黑体" w:eastAsia="方正小标宋_GBK" w:cs="方正小标宋简体"/>
          <w:b/>
          <w:sz w:val="44"/>
          <w:szCs w:val="44"/>
        </w:rPr>
        <w:t>整体支出绩效评价报告</w:t>
      </w:r>
      <w:bookmarkEnd w:id="0"/>
    </w:p>
    <w:p>
      <w:pPr>
        <w:spacing w:line="580" w:lineRule="exact"/>
        <w:ind w:firstLine="640" w:firstLineChars="200"/>
        <w:rPr>
          <w:rFonts w:ascii="仿宋_GB2312" w:hAnsi="Arial" w:eastAsia="仿宋_GB2312" w:cs="Arial"/>
          <w:sz w:val="32"/>
          <w:szCs w:val="32"/>
        </w:rPr>
      </w:pPr>
    </w:p>
    <w:p>
      <w:pPr>
        <w:spacing w:line="580" w:lineRule="exact"/>
        <w:ind w:firstLine="640" w:firstLineChars="200"/>
        <w:rPr>
          <w:rFonts w:ascii="仿宋_GB2312" w:hAnsi="黑体" w:eastAsia="仿宋_GB2312" w:cs="黑体"/>
          <w:b/>
          <w:sz w:val="32"/>
          <w:szCs w:val="32"/>
        </w:rPr>
      </w:pPr>
      <w:r>
        <w:rPr>
          <w:rFonts w:hint="eastAsia" w:ascii="仿宋_GB2312" w:hAnsi="Arial" w:eastAsia="仿宋_GB2312" w:cs="Arial"/>
          <w:sz w:val="32"/>
          <w:szCs w:val="32"/>
        </w:rPr>
        <w:t>根据县财政要求，我局高度重视，结合实际情况，开展了202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年财政支出绩效评价工作，现将工作情况总结如下:</w:t>
      </w: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一、部门（单位）概况</w:t>
      </w:r>
    </w:p>
    <w:p>
      <w:pPr>
        <w:pStyle w:val="4"/>
        <w:widowControl/>
        <w:shd w:val="clear" w:color="auto" w:fill="FFFFFF"/>
        <w:spacing w:before="105" w:beforeAutospacing="0" w:after="105" w:afterAutospacing="0" w:line="30" w:lineRule="atLeast"/>
        <w:ind w:firstLine="640" w:firstLineChars="20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县行政审批局贯彻落实党中央关于行政审批、政务服务、公共资源交易管理等工作的方针政策和省委、州委、县委的决策部署,在履行职责过程中坚持和加强党对深化行政审批制度改革、“放管服"”改革、行政审批、政务服务、公共资源交易管理等工作的集中统一领导。主要职责是:</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(1)负责深化行政审批制度改革和“放管服”改革工作,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拟订全县行政审批制度和“放管服”改革相关政策和规范性文件,承担县本级行政权力清单和责任清单的动态调整,指导全县行政权力清单和责任清单工作,建立完善相关工作机制。</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(2)负责县本级行政审批工作,承办县直部门划入的</w:t>
      </w:r>
      <w:r>
        <w:rPr>
          <w:rFonts w:hint="default" w:ascii="仿宋_GB2312" w:hAnsi="仿宋" w:eastAsia="仿宋_GB2312"/>
          <w:color w:val="000000"/>
          <w:kern w:val="2"/>
          <w:sz w:val="32"/>
          <w:szCs w:val="32"/>
        </w:rPr>
        <w:t>涉</w:t>
      </w:r>
      <w:r>
        <w:rPr>
          <w:rFonts w:hint="eastAsia" w:ascii="仿宋_GB2312" w:hAnsi="仿宋" w:eastAsia="仿宋_GB2312"/>
          <w:color w:val="000000"/>
          <w:kern w:val="2"/>
          <w:sz w:val="32"/>
          <w:szCs w:val="32"/>
        </w:rPr>
        <w:t>及投资项目、市场准入、建设工程、交通水利、文教卫生、社会事务、涉农事务等方面的行政审批事项,及时通报行政审批事项的实施情况,逐步实行“一枚印章管审批”。</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(3)负责协调、指导入驻县政务服务中心的公安、民族</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国土资源、生态环境、应急管理和驻县省直、州直部门的</w:t>
      </w:r>
      <w:r>
        <w:rPr>
          <w:rFonts w:hint="default" w:ascii="仿宋_GB2312" w:hAnsi="仿宋" w:eastAsia="仿宋_GB2312"/>
          <w:color w:val="000000"/>
          <w:kern w:val="2"/>
          <w:sz w:val="32"/>
          <w:szCs w:val="32"/>
        </w:rPr>
        <w:t>行</w:t>
      </w:r>
      <w:r>
        <w:rPr>
          <w:rFonts w:hint="eastAsia" w:ascii="仿宋_GB2312" w:hAnsi="仿宋" w:eastAsia="仿宋_GB2312"/>
          <w:color w:val="000000"/>
          <w:kern w:val="2"/>
          <w:sz w:val="32"/>
          <w:szCs w:val="32"/>
        </w:rPr>
        <w:t>政审批工作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(4)负责全县政务服务管理工作,指导全县政务服务体系</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建设。</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(5)负责全县公共资源交易管理工作指导全县公共资源交易服务体系建设。</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(6)负责对涉及县政务服务、公共资源交易、行政审批服务机构的投诉举报的承办、转办和督办工作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(7)完成县委、县政府交办的其他任务。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pStyle w:val="4"/>
        <w:widowControl/>
        <w:shd w:val="clear" w:color="auto" w:fill="FFFFFF"/>
        <w:spacing w:before="105" w:beforeAutospacing="0" w:after="105" w:afterAutospacing="0" w:line="30" w:lineRule="atLeast"/>
        <w:ind w:firstLine="420"/>
        <w:rPr>
          <w:rFonts w:ascii="宋体" w:hAnsi="宋体" w:eastAsia="宋体" w:cs="宋体"/>
          <w:color w:val="333333"/>
        </w:rPr>
      </w:pPr>
      <w:r>
        <w:rPr>
          <w:rFonts w:hint="eastAsia" w:ascii="仿宋_GB2312" w:hAnsi="仿宋" w:eastAsia="仿宋_GB2312"/>
          <w:color w:val="000000"/>
          <w:sz w:val="32"/>
          <w:szCs w:val="32"/>
        </w:rPr>
        <w:t>黑水县行政审批局截止202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年12月31日，行政审批局总编制</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名，其中：行政编制</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名，机关工勤人员1名。在职人员总数</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人，其中：其中：行政</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名，机关工勤人员1名。</w:t>
      </w:r>
    </w:p>
    <w:p>
      <w:pPr>
        <w:spacing w:line="56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hd w:val="clear" w:color="auto" w:fill="FFFFFF"/>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年总收入</w:t>
      </w:r>
      <w:r>
        <w:rPr>
          <w:rFonts w:hint="eastAsia" w:ascii="仿宋_GB2312" w:hAnsi="仿宋" w:eastAsia="仿宋_GB2312"/>
          <w:color w:val="000000"/>
          <w:sz w:val="32"/>
          <w:szCs w:val="32"/>
          <w:lang w:val="en-US" w:eastAsia="zh-CN"/>
        </w:rPr>
        <w:t>241.39</w:t>
      </w:r>
      <w:r>
        <w:rPr>
          <w:rFonts w:hint="eastAsia" w:ascii="仿宋_GB2312" w:hAnsi="仿宋" w:eastAsia="仿宋_GB2312"/>
          <w:color w:val="000000"/>
          <w:sz w:val="32"/>
          <w:szCs w:val="32"/>
        </w:rPr>
        <w:t>万元，其中：财政拨款收入</w:t>
      </w:r>
      <w:r>
        <w:rPr>
          <w:rFonts w:hint="eastAsia" w:ascii="仿宋_GB2312" w:hAnsi="仿宋" w:eastAsia="仿宋_GB2312"/>
          <w:color w:val="000000"/>
          <w:sz w:val="32"/>
          <w:szCs w:val="32"/>
          <w:lang w:val="en-US" w:eastAsia="zh-CN"/>
        </w:rPr>
        <w:t>241.39</w:t>
      </w:r>
      <w:r>
        <w:rPr>
          <w:rFonts w:hint="eastAsia" w:ascii="仿宋_GB2312" w:hAnsi="仿宋" w:eastAsia="仿宋_GB2312"/>
          <w:color w:val="000000"/>
          <w:sz w:val="32"/>
          <w:szCs w:val="32"/>
        </w:rPr>
        <w:t>万元，占总收入100%。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hd w:val="clear" w:color="auto" w:fill="FFFFFF"/>
        <w:spacing w:line="60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年总支出</w:t>
      </w:r>
      <w:r>
        <w:rPr>
          <w:rFonts w:hint="eastAsia" w:ascii="仿宋_GB2312" w:hAnsi="仿宋" w:eastAsia="仿宋_GB2312"/>
          <w:color w:val="000000"/>
          <w:sz w:val="32"/>
          <w:szCs w:val="32"/>
          <w:lang w:val="en-US" w:eastAsia="zh-CN"/>
        </w:rPr>
        <w:t>241.39</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125.51</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51.99</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项目支出115.88万元，占总支出48.01%。</w:t>
      </w:r>
    </w:p>
    <w:p>
      <w:pPr>
        <w:spacing w:line="580" w:lineRule="exact"/>
        <w:ind w:firstLine="642" w:firstLineChars="200"/>
        <w:rPr>
          <w:rFonts w:ascii="仿宋_GB2312" w:hAnsi="仿宋" w:eastAsia="仿宋_GB2312" w:cs="仿宋_GB2312"/>
          <w:b/>
          <w:sz w:val="32"/>
          <w:szCs w:val="32"/>
        </w:rPr>
      </w:pPr>
      <w:r>
        <w:rPr>
          <w:rFonts w:hint="eastAsia" w:ascii="仿宋_GB2312" w:hAnsi="黑体" w:eastAsia="仿宋_GB2312" w:cs="黑体"/>
          <w:b/>
          <w:sz w:val="32"/>
          <w:szCs w:val="32"/>
        </w:rPr>
        <w:t>三、部门整体预算绩效管理情况</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（一）预决算编制情况。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Arial" w:eastAsia="仿宋_GB2312" w:cs="Arial"/>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年年初预算安排收入</w:t>
      </w:r>
      <w:r>
        <w:rPr>
          <w:rFonts w:hint="eastAsia" w:ascii="仿宋_GB2312" w:hAnsi="Arial" w:eastAsia="仿宋_GB2312" w:cs="Arial"/>
          <w:sz w:val="32"/>
          <w:szCs w:val="32"/>
          <w:lang w:val="en-US" w:eastAsia="zh-CN"/>
        </w:rPr>
        <w:t>241.39</w:t>
      </w:r>
      <w:r>
        <w:rPr>
          <w:rFonts w:hint="eastAsia" w:ascii="仿宋_GB2312" w:hAnsi="Arial" w:eastAsia="仿宋_GB2312" w:cs="Arial"/>
          <w:sz w:val="32"/>
          <w:szCs w:val="32"/>
        </w:rPr>
        <w:t>万元, 本年预算支出</w:t>
      </w:r>
      <w:r>
        <w:rPr>
          <w:rFonts w:hint="eastAsia" w:ascii="仿宋_GB2312" w:hAnsi="Arial" w:eastAsia="仿宋_GB2312" w:cs="Arial"/>
          <w:sz w:val="32"/>
          <w:szCs w:val="32"/>
          <w:lang w:val="en-US" w:eastAsia="zh-CN"/>
        </w:rPr>
        <w:t>241.39</w:t>
      </w:r>
      <w:r>
        <w:rPr>
          <w:rFonts w:hint="eastAsia" w:ascii="仿宋_GB2312" w:hAnsi="Arial" w:eastAsia="仿宋_GB2312" w:cs="Arial"/>
          <w:sz w:val="32"/>
          <w:szCs w:val="32"/>
        </w:rPr>
        <w:t>万元。</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（二）执行管理情况。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局严格遵守县行政审批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w:t>
      </w:r>
      <w:r>
        <w:rPr>
          <w:rFonts w:hint="default" w:ascii="仿宋_GB2312" w:hAnsi="仿宋" w:eastAsia="仿宋_GB2312"/>
          <w:color w:val="000000"/>
          <w:sz w:val="32"/>
          <w:szCs w:val="32"/>
        </w:rPr>
        <w:t>结</w:t>
      </w:r>
      <w:r>
        <w:rPr>
          <w:rFonts w:hint="eastAsia" w:ascii="仿宋_GB2312" w:hAnsi="仿宋" w:eastAsia="仿宋_GB2312"/>
          <w:color w:val="000000"/>
          <w:sz w:val="32"/>
          <w:szCs w:val="32"/>
        </w:rPr>
        <w:t>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shd w:val="clear" w:color="auto" w:fill="FFFFFF"/>
        <w:spacing w:line="600" w:lineRule="exact"/>
        <w:ind w:firstLine="640" w:firstLineChars="200"/>
        <w:rPr>
          <w:rFonts w:ascii="仿宋_GB2312" w:hAnsi="仿宋" w:eastAsia="仿宋_GB2312"/>
          <w:color w:val="000000"/>
          <w:sz w:val="32"/>
          <w:szCs w:val="32"/>
        </w:rPr>
      </w:pPr>
      <w:r>
        <w:rPr>
          <w:rFonts w:hint="eastAsia" w:ascii="仿宋_GB2312" w:hAnsi="Arial" w:eastAsia="仿宋_GB2312" w:cs="Arial"/>
          <w:sz w:val="32"/>
          <w:szCs w:val="32"/>
        </w:rPr>
        <w:t>严格执行“厉行节约、反对浪费”的规 定，严格控制“三公”经费支出，加强公务用车管理，努力降低燃修费用，“三公”经费 较上年有所下降。本年支出</w:t>
      </w:r>
      <w:r>
        <w:rPr>
          <w:rFonts w:hint="eastAsia" w:ascii="仿宋_GB2312" w:hAnsi="Arial" w:eastAsia="仿宋_GB2312" w:cs="Arial"/>
          <w:sz w:val="32"/>
          <w:szCs w:val="32"/>
          <w:lang w:val="en-US" w:eastAsia="zh-CN"/>
        </w:rPr>
        <w:t>241.39</w:t>
      </w:r>
      <w:r>
        <w:rPr>
          <w:rFonts w:hint="eastAsia" w:ascii="仿宋_GB2312" w:hAnsi="Arial" w:eastAsia="仿宋_GB2312" w:cs="Arial"/>
          <w:sz w:val="32"/>
          <w:szCs w:val="32"/>
        </w:rPr>
        <w:t>万元，按资金来源分析：其中财政拨款支出</w:t>
      </w:r>
      <w:r>
        <w:rPr>
          <w:rFonts w:hint="eastAsia" w:ascii="仿宋_GB2312" w:hAnsi="Arial" w:eastAsia="仿宋_GB2312" w:cs="Arial"/>
          <w:sz w:val="32"/>
          <w:szCs w:val="32"/>
          <w:lang w:val="en-US" w:eastAsia="zh-CN"/>
        </w:rPr>
        <w:t>241.39</w:t>
      </w:r>
      <w:r>
        <w:rPr>
          <w:rFonts w:hint="eastAsia" w:ascii="仿宋_GB2312" w:hAnsi="Arial" w:eastAsia="仿宋_GB2312" w:cs="Arial"/>
          <w:sz w:val="32"/>
          <w:szCs w:val="32"/>
        </w:rPr>
        <w:t>万元，占本年总支出的100%，按支出性质分析：</w:t>
      </w:r>
      <w:r>
        <w:rPr>
          <w:rFonts w:hint="eastAsia" w:ascii="仿宋_GB2312" w:hAnsi="仿宋" w:eastAsia="仿宋_GB2312"/>
          <w:color w:val="000000"/>
          <w:sz w:val="32"/>
          <w:szCs w:val="32"/>
        </w:rPr>
        <w:t>基本支出</w:t>
      </w:r>
      <w:r>
        <w:rPr>
          <w:rFonts w:hint="eastAsia" w:ascii="仿宋_GB2312" w:hAnsi="仿宋" w:eastAsia="仿宋_GB2312"/>
          <w:color w:val="000000"/>
          <w:sz w:val="32"/>
          <w:szCs w:val="32"/>
          <w:lang w:val="en-US" w:eastAsia="zh-CN"/>
        </w:rPr>
        <w:t>125.51</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51.99</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项目支出115.88万元，占总支出48.01%</w:t>
      </w:r>
      <w:r>
        <w:rPr>
          <w:rFonts w:hint="eastAsia" w:ascii="仿宋_GB2312" w:hAnsi="Arial" w:eastAsia="仿宋_GB2312" w:cs="Arial"/>
          <w:sz w:val="32"/>
          <w:szCs w:val="32"/>
        </w:rPr>
        <w:t>；按支出经济分类：工资福利支出</w:t>
      </w:r>
      <w:r>
        <w:rPr>
          <w:rFonts w:hint="eastAsia" w:ascii="仿宋_GB2312" w:hAnsi="Arial" w:eastAsia="仿宋_GB2312" w:cs="Arial"/>
          <w:sz w:val="32"/>
          <w:szCs w:val="32"/>
          <w:lang w:val="en-US" w:eastAsia="zh-CN"/>
        </w:rPr>
        <w:t>99.61</w:t>
      </w:r>
      <w:r>
        <w:rPr>
          <w:rFonts w:hint="eastAsia" w:ascii="仿宋_GB2312" w:hAnsi="Arial" w:eastAsia="仿宋_GB2312" w:cs="Arial"/>
          <w:sz w:val="32"/>
          <w:szCs w:val="32"/>
        </w:rPr>
        <w:t>万元，占本年支出</w:t>
      </w:r>
      <w:r>
        <w:rPr>
          <w:rFonts w:hint="eastAsia" w:ascii="仿宋_GB2312" w:hAnsi="Arial" w:eastAsia="仿宋_GB2312" w:cs="Arial"/>
          <w:sz w:val="32"/>
          <w:szCs w:val="32"/>
          <w:lang w:val="en-US" w:eastAsia="zh-CN"/>
        </w:rPr>
        <w:t>41.27</w:t>
      </w:r>
      <w:r>
        <w:rPr>
          <w:rFonts w:hint="eastAsia" w:ascii="仿宋_GB2312" w:hAnsi="Arial" w:eastAsia="仿宋_GB2312" w:cs="Arial"/>
          <w:sz w:val="32"/>
          <w:szCs w:val="32"/>
        </w:rPr>
        <w:t>%，商品和服务支出</w:t>
      </w:r>
      <w:r>
        <w:rPr>
          <w:rFonts w:hint="eastAsia" w:ascii="仿宋_GB2312" w:hAnsi="Arial" w:eastAsia="仿宋_GB2312" w:cs="Arial"/>
          <w:sz w:val="32"/>
          <w:szCs w:val="32"/>
          <w:lang w:val="en-US" w:eastAsia="zh-CN"/>
        </w:rPr>
        <w:t>113.11</w:t>
      </w:r>
      <w:r>
        <w:rPr>
          <w:rFonts w:hint="eastAsia" w:ascii="仿宋_GB2312" w:hAnsi="Arial" w:eastAsia="仿宋_GB2312" w:cs="Arial"/>
          <w:sz w:val="32"/>
          <w:szCs w:val="32"/>
        </w:rPr>
        <w:t>万元，占本年支出</w:t>
      </w:r>
      <w:r>
        <w:rPr>
          <w:rFonts w:hint="eastAsia" w:ascii="仿宋_GB2312" w:hAnsi="Arial" w:eastAsia="仿宋_GB2312" w:cs="Arial"/>
          <w:sz w:val="32"/>
          <w:szCs w:val="32"/>
          <w:lang w:val="en-US" w:eastAsia="zh-CN"/>
        </w:rPr>
        <w:t>46.85</w:t>
      </w:r>
      <w:r>
        <w:rPr>
          <w:rFonts w:hint="eastAsia" w:ascii="仿宋_GB2312" w:hAnsi="Arial" w:eastAsia="仿宋_GB2312" w:cs="Arial"/>
          <w:sz w:val="32"/>
          <w:szCs w:val="32"/>
        </w:rPr>
        <w:t>%，对个人和家庭的补助</w:t>
      </w:r>
      <w:r>
        <w:rPr>
          <w:rFonts w:hint="eastAsia" w:ascii="仿宋_GB2312" w:hAnsi="Arial" w:eastAsia="仿宋_GB2312" w:cs="Arial"/>
          <w:sz w:val="32"/>
          <w:szCs w:val="32"/>
          <w:lang w:val="en-US" w:eastAsia="zh-CN"/>
        </w:rPr>
        <w:t>28.67</w:t>
      </w:r>
      <w:r>
        <w:rPr>
          <w:rFonts w:hint="eastAsia" w:ascii="仿宋_GB2312" w:hAnsi="Arial" w:eastAsia="仿宋_GB2312" w:cs="Arial"/>
          <w:sz w:val="32"/>
          <w:szCs w:val="32"/>
        </w:rPr>
        <w:t>万元，占本年支</w:t>
      </w:r>
      <w:r>
        <w:rPr>
          <w:rFonts w:hint="default" w:ascii="仿宋_GB2312" w:hAnsi="Arial" w:eastAsia="仿宋_GB2312" w:cs="Arial"/>
          <w:sz w:val="32"/>
          <w:szCs w:val="32"/>
        </w:rPr>
        <w:t>出</w:t>
      </w:r>
      <w:r>
        <w:rPr>
          <w:rFonts w:hint="eastAsia" w:ascii="仿宋_GB2312" w:hAnsi="Arial" w:eastAsia="仿宋_GB2312" w:cs="Arial"/>
          <w:sz w:val="32"/>
          <w:szCs w:val="32"/>
          <w:lang w:val="en-US" w:eastAsia="zh-CN"/>
        </w:rPr>
        <w:t>11.88</w:t>
      </w:r>
      <w:r>
        <w:rPr>
          <w:rFonts w:hint="eastAsia" w:ascii="仿宋_GB2312" w:hAnsi="Arial" w:eastAsia="仿宋_GB2312" w:cs="Arial"/>
          <w:sz w:val="32"/>
          <w:szCs w:val="32"/>
        </w:rPr>
        <w:t>%。</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（三）综合管理情况。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widowControl/>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widowControl/>
        <w:ind w:firstLine="640" w:firstLineChars="200"/>
        <w:jc w:val="left"/>
        <w:rPr>
          <w:rFonts w:ascii="仿宋_GB2312" w:hAnsi="宋体" w:eastAsia="仿宋_GB2312" w:cs="宋体"/>
          <w:kern w:val="0"/>
          <w:sz w:val="32"/>
          <w:szCs w:val="32"/>
        </w:rPr>
      </w:pPr>
      <w:r>
        <w:rPr>
          <w:rFonts w:hint="eastAsia" w:ascii="仿宋_GB2312" w:hAnsi="Arial" w:eastAsia="仿宋_GB2312" w:cs="Arial"/>
          <w:kern w:val="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（四）整体绩效。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1、部门支出绩效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hint="eastAsia" w:ascii="仿宋_GB2312" w:hAnsi="仿宋" w:eastAsia="仿宋_GB2312"/>
          <w:color w:val="000000"/>
          <w:sz w:val="32"/>
          <w:szCs w:val="32"/>
          <w:lang w:val="en-US" w:eastAsia="zh-CN"/>
        </w:rPr>
        <w:t>100.75</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hint="eastAsia" w:ascii="仿宋_GB2312" w:hAnsi="仿宋" w:eastAsia="仿宋_GB2312"/>
          <w:color w:val="000000"/>
          <w:sz w:val="32"/>
          <w:szCs w:val="32"/>
          <w:lang w:val="en-US" w:eastAsia="zh-CN"/>
        </w:rPr>
        <w:t>24.77</w:t>
      </w:r>
      <w:r>
        <w:rPr>
          <w:rFonts w:hint="eastAsia" w:ascii="仿宋_GB2312" w:hAnsi="仿宋" w:eastAsia="仿宋_GB2312"/>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2、机关厉行节约。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我局202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年无因公出国（境）经费预算；本单位202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年“三公</w:t>
      </w:r>
      <w:bookmarkStart w:id="1" w:name="_GoBack"/>
      <w:r>
        <w:rPr>
          <w:rFonts w:hint="eastAsia" w:ascii="仿宋_GB2312" w:hAnsi="仿宋" w:eastAsia="仿宋_GB2312"/>
          <w:color w:val="000000"/>
          <w:sz w:val="32"/>
          <w:szCs w:val="32"/>
        </w:rPr>
        <w:t>”</w:t>
      </w:r>
      <w:bookmarkEnd w:id="1"/>
      <w:r>
        <w:rPr>
          <w:rFonts w:hint="eastAsia" w:ascii="仿宋_GB2312" w:hAnsi="仿宋" w:eastAsia="仿宋_GB2312"/>
          <w:color w:val="000000"/>
          <w:sz w:val="32"/>
          <w:szCs w:val="32"/>
        </w:rPr>
        <w:t>经费支出</w:t>
      </w:r>
      <w:r>
        <w:rPr>
          <w:rFonts w:hint="eastAsia" w:ascii="仿宋_GB2312" w:hAnsi="仿宋" w:eastAsia="仿宋_GB2312"/>
          <w:color w:val="000000"/>
          <w:sz w:val="32"/>
          <w:szCs w:val="32"/>
          <w:lang w:val="en-US" w:eastAsia="zh-CN"/>
        </w:rPr>
        <w:t>5.64</w:t>
      </w:r>
      <w:r>
        <w:rPr>
          <w:rFonts w:hint="eastAsia" w:ascii="仿宋_GB2312" w:hAnsi="仿宋" w:eastAsia="仿宋_GB2312"/>
          <w:color w:val="000000"/>
          <w:sz w:val="32"/>
          <w:szCs w:val="32"/>
        </w:rPr>
        <w:t>万元，其中公务用车运行维护费支出</w:t>
      </w:r>
      <w:r>
        <w:rPr>
          <w:rFonts w:hint="eastAsia" w:ascii="仿宋_GB2312" w:hAnsi="仿宋" w:eastAsia="仿宋_GB2312"/>
          <w:color w:val="000000"/>
          <w:sz w:val="32"/>
          <w:szCs w:val="32"/>
          <w:lang w:val="en-US" w:eastAsia="zh-CN"/>
        </w:rPr>
        <w:t>4.72</w:t>
      </w:r>
      <w:r>
        <w:rPr>
          <w:rFonts w:hint="eastAsia" w:ascii="仿宋_GB2312" w:hAnsi="仿宋" w:eastAsia="仿宋_GB2312"/>
          <w:color w:val="000000"/>
          <w:sz w:val="32"/>
          <w:szCs w:val="32"/>
        </w:rPr>
        <w:t>万元，国内接待费支出0万元。与202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年公务用车运行维护费支出</w:t>
      </w:r>
      <w:r>
        <w:rPr>
          <w:rFonts w:hint="eastAsia" w:ascii="仿宋_GB2312" w:hAnsi="仿宋" w:eastAsia="仿宋_GB2312"/>
          <w:color w:val="000000"/>
          <w:sz w:val="32"/>
          <w:szCs w:val="32"/>
          <w:lang w:val="en-US" w:eastAsia="zh-CN"/>
        </w:rPr>
        <w:t>4.68</w:t>
      </w:r>
      <w:r>
        <w:rPr>
          <w:rFonts w:hint="eastAsia" w:ascii="仿宋_GB2312" w:hAnsi="仿宋" w:eastAsia="仿宋_GB2312"/>
          <w:color w:val="000000"/>
          <w:sz w:val="32"/>
          <w:szCs w:val="32"/>
        </w:rPr>
        <w:t>万元，公务用车运行维护费支出增加</w:t>
      </w:r>
      <w:r>
        <w:rPr>
          <w:rFonts w:hint="eastAsia" w:ascii="仿宋_GB2312" w:hAnsi="仿宋" w:eastAsia="仿宋_GB2312"/>
          <w:color w:val="000000"/>
          <w:sz w:val="32"/>
          <w:szCs w:val="32"/>
          <w:lang w:val="en-US" w:eastAsia="zh-CN"/>
        </w:rPr>
        <w:t>0.04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国内接待费支出</w:t>
      </w:r>
      <w:r>
        <w:rPr>
          <w:rFonts w:hint="eastAsia" w:ascii="仿宋_GB2312" w:hAnsi="仿宋" w:eastAsia="仿宋_GB2312"/>
          <w:color w:val="000000"/>
          <w:sz w:val="32"/>
          <w:szCs w:val="32"/>
          <w:lang w:val="en-US" w:eastAsia="zh-CN"/>
        </w:rPr>
        <w:t>0.92</w:t>
      </w:r>
      <w:r>
        <w:rPr>
          <w:rFonts w:hint="eastAsia" w:ascii="仿宋_GB2312" w:hAnsi="仿宋" w:eastAsia="仿宋_GB2312"/>
          <w:color w:val="000000"/>
          <w:sz w:val="32"/>
          <w:szCs w:val="32"/>
        </w:rPr>
        <w:t>万元相比国内接待费支出</w:t>
      </w:r>
      <w:r>
        <w:rPr>
          <w:rFonts w:hint="eastAsia" w:ascii="仿宋_GB2312" w:hAnsi="仿宋" w:eastAsia="仿宋_GB2312"/>
          <w:color w:val="000000"/>
          <w:sz w:val="32"/>
          <w:szCs w:val="32"/>
          <w:lang w:val="en-US" w:eastAsia="zh-CN"/>
        </w:rPr>
        <w:t>增加0.92</w:t>
      </w:r>
      <w:r>
        <w:rPr>
          <w:rFonts w:hint="eastAsia" w:ascii="仿宋_GB2312" w:hAnsi="仿宋" w:eastAsia="仿宋_GB2312"/>
          <w:color w:val="000000"/>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3、其他重要事项的情况说明。</w:t>
      </w:r>
    </w:p>
    <w:p>
      <w:pPr>
        <w:spacing w:line="60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（1）机关运行经费：</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年，行政审批局机关运行经费支出</w:t>
      </w:r>
      <w:r>
        <w:rPr>
          <w:rFonts w:hint="eastAsia" w:ascii="仿宋_GB2312" w:eastAsia="仿宋_GB2312"/>
          <w:color w:val="000000"/>
          <w:sz w:val="32"/>
          <w:szCs w:val="32"/>
          <w:lang w:val="en-US" w:eastAsia="zh-CN"/>
        </w:rPr>
        <w:t>125.51</w:t>
      </w:r>
      <w:r>
        <w:rPr>
          <w:rFonts w:hint="eastAsia" w:ascii="仿宋_GB2312" w:eastAsia="仿宋_GB2312"/>
          <w:color w:val="000000"/>
          <w:sz w:val="32"/>
          <w:szCs w:val="32"/>
        </w:rPr>
        <w:t>万元，较202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129.53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减少4.02</w:t>
      </w:r>
      <w:r>
        <w:rPr>
          <w:rFonts w:hint="eastAsia" w:ascii="仿宋_GB2312" w:eastAsia="仿宋_GB2312"/>
          <w:color w:val="000000"/>
          <w:sz w:val="32"/>
          <w:szCs w:val="32"/>
        </w:rPr>
        <w:t>万元，</w:t>
      </w:r>
      <w:r>
        <w:rPr>
          <w:rFonts w:hint="eastAsia" w:ascii="仿宋_GB2312" w:hAnsi="仿宋" w:eastAsia="仿宋_GB2312"/>
          <w:color w:val="000000"/>
          <w:sz w:val="32"/>
          <w:szCs w:val="32"/>
          <w:lang w:val="en-US" w:eastAsia="zh-CN"/>
        </w:rPr>
        <w:t>减少3.1</w:t>
      </w:r>
      <w:r>
        <w:rPr>
          <w:rFonts w:hint="eastAsia" w:ascii="仿宋_GB2312" w:hAnsi="仿宋" w:eastAsia="仿宋_GB2312"/>
          <w:color w:val="000000"/>
          <w:sz w:val="32"/>
          <w:szCs w:val="32"/>
        </w:rPr>
        <w:t>%，原因是</w:t>
      </w:r>
      <w:r>
        <w:rPr>
          <w:rFonts w:hint="eastAsia" w:ascii="仿宋_GB2312" w:hAnsi="仿宋" w:eastAsia="仿宋_GB2312"/>
          <w:color w:val="000000"/>
          <w:sz w:val="32"/>
          <w:szCs w:val="32"/>
          <w:lang w:val="en-US" w:eastAsia="zh-CN"/>
        </w:rPr>
        <w:t>厉行节约。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s="仿宋_GB2312"/>
          <w:sz w:val="32"/>
          <w:szCs w:val="32"/>
        </w:rPr>
        <w:t>2.政府采购情况：2</w:t>
      </w:r>
      <w:r>
        <w:rPr>
          <w:rFonts w:hint="eastAsia" w:ascii="仿宋_GB2312" w:hAnsi="仿宋" w:eastAsia="仿宋_GB2312"/>
          <w:color w:val="000000"/>
          <w:sz w:val="32"/>
          <w:szCs w:val="32"/>
        </w:rPr>
        <w:t>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年安排政府采购预算0万元。</w:t>
      </w:r>
    </w:p>
    <w:p>
      <w:pPr>
        <w:widowControl/>
        <w:adjustRightInd w:val="0"/>
        <w:snapToGrid w:val="0"/>
        <w:spacing w:line="540" w:lineRule="exact"/>
        <w:ind w:firstLine="720"/>
        <w:jc w:val="left"/>
        <w:rPr>
          <w:rFonts w:ascii="仿宋_GB2312" w:hAnsi="宋体" w:cs="仿宋_GB2312"/>
          <w:color w:val="000000"/>
          <w:sz w:val="31"/>
          <w:szCs w:val="31"/>
        </w:rPr>
      </w:pPr>
      <w:r>
        <w:rPr>
          <w:rFonts w:hint="eastAsia" w:ascii="仿宋_GB2312" w:hAnsi="仿宋" w:eastAsia="仿宋_GB2312" w:cs="仿宋_GB2312"/>
          <w:sz w:val="32"/>
          <w:szCs w:val="32"/>
        </w:rPr>
        <w:t>3.国有资产占有使用情况：截至202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年底，行政审批局共有车辆1辆，单位价值200万元以上大型设备0台（套）。</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我局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Pr>
          <w:rFonts w:hint="eastAsia" w:ascii="仿宋_GB2312" w:hAnsi="仿宋" w:eastAsia="仿宋_GB2312" w:cs="仿宋_GB2312"/>
          <w:sz w:val="32"/>
          <w:szCs w:val="32"/>
        </w:rPr>
        <w:t>圆满完成了州、县下达的各项目标任务，为全县经济社会发展创造良好的社会环境做出了突出贡献。</w:t>
      </w:r>
    </w:p>
    <w:p>
      <w:pPr>
        <w:spacing w:line="560" w:lineRule="exact"/>
        <w:ind w:firstLine="640" w:firstLineChars="200"/>
        <w:rPr>
          <w:rFonts w:ascii="仿宋_GB2312" w:hAnsi="仿宋" w:eastAsia="仿宋_GB2312" w:cs="仿宋_GB2312"/>
          <w:sz w:val="32"/>
          <w:szCs w:val="32"/>
        </w:rPr>
      </w:pPr>
      <w:r>
        <w:rPr>
          <w:rFonts w:hint="eastAsia" w:ascii="仿宋_GB2312" w:hAnsi="Arial" w:eastAsia="仿宋_GB2312" w:cs="Arial"/>
          <w:sz w:val="32"/>
          <w:szCs w:val="32"/>
        </w:rPr>
        <w:t>行政审批局2022年度整体绩效评价得分为95分</w:t>
      </w:r>
      <w:r>
        <w:rPr>
          <w:rFonts w:hint="eastAsia" w:ascii="Arial" w:hAnsi="Arial" w:cs="Arial"/>
          <w:sz w:val="40"/>
          <w:szCs w:val="40"/>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黑水县行政审批局</w:t>
      </w:r>
    </w:p>
    <w:p>
      <w:pPr>
        <w:widowControl/>
        <w:ind w:firstLine="4800" w:firstLine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OTQyODBlNjQ4ZmEzNDNmMjYzNmE1NWExZmRmZjMifQ=="/>
  </w:docVars>
  <w:rsids>
    <w:rsidRoot w:val="00491B22"/>
    <w:rsid w:val="0002652F"/>
    <w:rsid w:val="000B1DF7"/>
    <w:rsid w:val="000D7FB1"/>
    <w:rsid w:val="000E6ACF"/>
    <w:rsid w:val="00116FAC"/>
    <w:rsid w:val="0016733D"/>
    <w:rsid w:val="002812B5"/>
    <w:rsid w:val="00291808"/>
    <w:rsid w:val="002F197D"/>
    <w:rsid w:val="00316487"/>
    <w:rsid w:val="003240FE"/>
    <w:rsid w:val="003622EA"/>
    <w:rsid w:val="003626C6"/>
    <w:rsid w:val="00414D90"/>
    <w:rsid w:val="00422E02"/>
    <w:rsid w:val="00423F43"/>
    <w:rsid w:val="00461024"/>
    <w:rsid w:val="004617A4"/>
    <w:rsid w:val="00491B22"/>
    <w:rsid w:val="004C7F64"/>
    <w:rsid w:val="0051675F"/>
    <w:rsid w:val="0052390C"/>
    <w:rsid w:val="00577F42"/>
    <w:rsid w:val="00587729"/>
    <w:rsid w:val="005D6215"/>
    <w:rsid w:val="006134F3"/>
    <w:rsid w:val="00653A32"/>
    <w:rsid w:val="00681255"/>
    <w:rsid w:val="00684AD9"/>
    <w:rsid w:val="00690431"/>
    <w:rsid w:val="006B05F6"/>
    <w:rsid w:val="006C536D"/>
    <w:rsid w:val="006D7950"/>
    <w:rsid w:val="007A4769"/>
    <w:rsid w:val="008050FE"/>
    <w:rsid w:val="00841EED"/>
    <w:rsid w:val="0086627C"/>
    <w:rsid w:val="008775A6"/>
    <w:rsid w:val="009612B0"/>
    <w:rsid w:val="0097639B"/>
    <w:rsid w:val="00984ADD"/>
    <w:rsid w:val="009A6982"/>
    <w:rsid w:val="009E53B1"/>
    <w:rsid w:val="00A037E7"/>
    <w:rsid w:val="00A11946"/>
    <w:rsid w:val="00A60227"/>
    <w:rsid w:val="00AB1975"/>
    <w:rsid w:val="00AB6B33"/>
    <w:rsid w:val="00AE2760"/>
    <w:rsid w:val="00B82244"/>
    <w:rsid w:val="00BD1EFA"/>
    <w:rsid w:val="00BF0655"/>
    <w:rsid w:val="00C167AB"/>
    <w:rsid w:val="00C33889"/>
    <w:rsid w:val="00C760FC"/>
    <w:rsid w:val="00C816A7"/>
    <w:rsid w:val="00CA38E0"/>
    <w:rsid w:val="00D06FD2"/>
    <w:rsid w:val="00D2307B"/>
    <w:rsid w:val="00D319D9"/>
    <w:rsid w:val="00D65B75"/>
    <w:rsid w:val="00DC6F6D"/>
    <w:rsid w:val="00DC7217"/>
    <w:rsid w:val="00E03941"/>
    <w:rsid w:val="00E72C95"/>
    <w:rsid w:val="00E9009E"/>
    <w:rsid w:val="00F729F2"/>
    <w:rsid w:val="1FEF824E"/>
    <w:rsid w:val="36435EC2"/>
    <w:rsid w:val="60D032A5"/>
    <w:rsid w:val="614C035A"/>
    <w:rsid w:val="6DFF6939"/>
    <w:rsid w:val="7BBF4A0C"/>
    <w:rsid w:val="FFEF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2910</Words>
  <Characters>3099</Characters>
  <Lines>22</Lines>
  <Paragraphs>6</Paragraphs>
  <TotalTime>1</TotalTime>
  <ScaleCrop>false</ScaleCrop>
  <LinksUpToDate>false</LinksUpToDate>
  <CharactersWithSpaces>3102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2024-12-17T15:28:24Z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FD7465E3E62C492AA96D29B446D11B5A_13</vt:lpwstr>
  </property>
</Properties>
</file>