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_GBK" w:hAnsi="黑体" w:eastAsia="方正小标宋_GBK" w:cs="方正小标宋简体"/>
          <w:b/>
          <w:sz w:val="44"/>
          <w:szCs w:val="44"/>
        </w:rPr>
      </w:pPr>
      <w:bookmarkStart w:id="0" w:name="_Toc15396616"/>
      <w:r>
        <w:rPr>
          <w:rFonts w:hint="eastAsia" w:ascii="方正小标宋_GBK" w:hAnsi="黑体" w:eastAsia="方正小标宋_GBK" w:cs="方正小标宋简体"/>
          <w:b/>
          <w:sz w:val="44"/>
          <w:szCs w:val="44"/>
        </w:rPr>
        <w:t>黑水县政务服务和公共资源交易中心202</w:t>
      </w:r>
      <w:r>
        <w:rPr>
          <w:rFonts w:hint="eastAsia" w:ascii="方正小标宋_GBK" w:hAnsi="黑体" w:eastAsia="方正小标宋_GBK" w:cs="方正小标宋简体"/>
          <w:b/>
          <w:sz w:val="44"/>
          <w:szCs w:val="44"/>
          <w:lang w:val="en-US" w:eastAsia="zh-CN"/>
        </w:rPr>
        <w:t>3</w:t>
      </w:r>
      <w:r>
        <w:rPr>
          <w:rFonts w:hint="eastAsia" w:ascii="方正小标宋_GBK" w:hAnsi="黑体" w:eastAsia="方正小标宋_GBK" w:cs="方正小标宋简体"/>
          <w:b/>
          <w:sz w:val="44"/>
          <w:szCs w:val="44"/>
        </w:rPr>
        <w:t>年部门整体支出绩效评价报告</w:t>
      </w:r>
      <w:bookmarkEnd w:id="0"/>
    </w:p>
    <w:p>
      <w:pPr>
        <w:spacing w:line="580" w:lineRule="exact"/>
        <w:ind w:firstLine="640" w:firstLineChars="200"/>
        <w:rPr>
          <w:rFonts w:ascii="仿宋_GB2312" w:hAnsi="Arial" w:eastAsia="仿宋_GB2312" w:cs="Arial"/>
          <w:sz w:val="32"/>
          <w:szCs w:val="32"/>
        </w:rPr>
      </w:pPr>
    </w:p>
    <w:p>
      <w:pPr>
        <w:spacing w:line="580" w:lineRule="exact"/>
        <w:ind w:firstLine="640" w:firstLineChars="200"/>
        <w:rPr>
          <w:rFonts w:ascii="仿宋_GB2312" w:hAnsi="黑体" w:eastAsia="仿宋_GB2312" w:cs="黑体"/>
          <w:b/>
          <w:sz w:val="32"/>
          <w:szCs w:val="32"/>
        </w:rPr>
      </w:pPr>
      <w:r>
        <w:rPr>
          <w:rFonts w:hint="eastAsia" w:ascii="仿宋_GB2312" w:hAnsi="Arial" w:eastAsia="仿宋_GB2312" w:cs="Arial"/>
          <w:sz w:val="32"/>
          <w:szCs w:val="32"/>
        </w:rPr>
        <w:t>根据县财政要求，我中心高度重视，结合实际情况，开展了202</w:t>
      </w:r>
      <w:r>
        <w:rPr>
          <w:rFonts w:hint="eastAsia" w:ascii="仿宋_GB2312" w:hAnsi="Arial" w:eastAsia="仿宋_GB2312" w:cs="Arial"/>
          <w:sz w:val="32"/>
          <w:szCs w:val="32"/>
          <w:lang w:val="en-US" w:eastAsia="zh-CN"/>
        </w:rPr>
        <w:t>3</w:t>
      </w:r>
      <w:r>
        <w:rPr>
          <w:rFonts w:hint="eastAsia" w:ascii="仿宋_GB2312" w:hAnsi="Arial" w:eastAsia="仿宋_GB2312" w:cs="Arial"/>
          <w:sz w:val="32"/>
          <w:szCs w:val="32"/>
        </w:rPr>
        <w:t>年财政支出绩效评价工作，现将工作情况总结如下:</w:t>
      </w:r>
    </w:p>
    <w:p>
      <w:pPr>
        <w:spacing w:line="580" w:lineRule="exact"/>
        <w:ind w:firstLine="642" w:firstLineChars="200"/>
        <w:rPr>
          <w:rFonts w:ascii="仿宋_GB2312" w:hAnsi="黑体" w:eastAsia="仿宋_GB2312" w:cs="黑体"/>
          <w:b/>
          <w:sz w:val="32"/>
          <w:szCs w:val="32"/>
        </w:rPr>
      </w:pPr>
      <w:r>
        <w:rPr>
          <w:rFonts w:hint="eastAsia" w:ascii="仿宋_GB2312" w:hAnsi="黑体" w:eastAsia="仿宋_GB2312" w:cs="黑体"/>
          <w:b/>
          <w:sz w:val="32"/>
          <w:szCs w:val="32"/>
        </w:rPr>
        <w:t>一、部门（单位）概况</w:t>
      </w:r>
    </w:p>
    <w:p>
      <w:pPr>
        <w:pStyle w:val="4"/>
        <w:widowControl/>
        <w:shd w:val="clear" w:color="auto" w:fill="FFFFFF"/>
        <w:spacing w:beforeAutospacing="0" w:afterAutospacing="0" w:line="560" w:lineRule="exact"/>
        <w:ind w:left="-105" w:leftChars="-50" w:right="-105" w:rightChars="-50" w:firstLine="640" w:firstLineChars="200"/>
        <w:jc w:val="both"/>
        <w:rPr>
          <w:rFonts w:ascii="仿宋_GB2312" w:hAnsi="Calibri" w:eastAsia="仿宋_GB2312" w:cs="华文仿宋"/>
          <w:sz w:val="32"/>
          <w:szCs w:val="32"/>
          <w:shd w:val="clear" w:color="auto" w:fill="FFFFFF"/>
        </w:rPr>
      </w:pPr>
      <w:r>
        <w:rPr>
          <w:rFonts w:hint="eastAsia" w:ascii="仿宋_GB2312" w:eastAsia="仿宋_GB2312" w:cs="华文仿宋"/>
          <w:sz w:val="32"/>
          <w:szCs w:val="32"/>
          <w:shd w:val="clear" w:color="auto" w:fill="FFFFFF"/>
        </w:rPr>
        <w:t>黑水</w:t>
      </w:r>
      <w:r>
        <w:rPr>
          <w:rFonts w:hint="eastAsia" w:ascii="仿宋_GB2312" w:hAnsi="Calibri" w:eastAsia="仿宋_GB2312" w:cs="华文仿宋"/>
          <w:sz w:val="32"/>
          <w:szCs w:val="32"/>
          <w:shd w:val="clear" w:color="auto" w:fill="FFFFFF"/>
        </w:rPr>
        <w:t>县政务服务</w:t>
      </w:r>
      <w:r>
        <w:rPr>
          <w:rFonts w:hint="eastAsia" w:ascii="仿宋_GB2312" w:eastAsia="仿宋_GB2312" w:cs="华文仿宋"/>
          <w:sz w:val="32"/>
          <w:szCs w:val="32"/>
          <w:shd w:val="clear" w:color="auto" w:fill="FFFFFF"/>
        </w:rPr>
        <w:t>和</w:t>
      </w:r>
      <w:r>
        <w:rPr>
          <w:rFonts w:hint="eastAsia" w:ascii="仿宋_GB2312" w:hAnsi="Calibri" w:eastAsia="仿宋_GB2312" w:cs="华文仿宋"/>
          <w:sz w:val="32"/>
          <w:szCs w:val="32"/>
          <w:shd w:val="clear" w:color="auto" w:fill="FFFFFF"/>
        </w:rPr>
        <w:t>公共资源交易服务中心紧紧围绕县委县政府中心工作，主动担当、认真履职。全面贯彻落实“放管服”改革和在“一网通办”</w:t>
      </w:r>
      <w:r>
        <w:rPr>
          <w:rFonts w:hint="default" w:ascii="仿宋_GB2312" w:hAnsi="Calibri" w:eastAsia="仿宋_GB2312" w:cs="华文仿宋"/>
          <w:sz w:val="32"/>
          <w:szCs w:val="32"/>
          <w:shd w:val="clear" w:color="auto" w:fill="FFFFFF"/>
        </w:rPr>
        <w:t>前提</w:t>
      </w:r>
      <w:r>
        <w:rPr>
          <w:rFonts w:hint="eastAsia" w:ascii="仿宋_GB2312" w:hAnsi="Calibri" w:eastAsia="仿宋_GB2312" w:cs="华文仿宋"/>
          <w:sz w:val="32"/>
          <w:szCs w:val="32"/>
          <w:shd w:val="clear" w:color="auto" w:fill="FFFFFF"/>
        </w:rPr>
        <w:t>下的“最多跑一次”改革，以“一网通办”为切入点，狠抓以政务服务大厅规范管理、12345政务服务热线、“互联网+政务服务”、“一网通办”四个方面为主的政务服务工作。</w:t>
      </w:r>
    </w:p>
    <w:p>
      <w:pPr>
        <w:pStyle w:val="4"/>
        <w:widowControl/>
        <w:shd w:val="clear" w:color="auto" w:fill="FFFFFF"/>
        <w:spacing w:beforeAutospacing="0" w:afterAutospacing="0" w:line="560" w:lineRule="exact"/>
        <w:ind w:left="-105" w:leftChars="-50" w:right="-105" w:rightChars="-50" w:firstLine="640" w:firstLineChars="200"/>
        <w:jc w:val="both"/>
        <w:rPr>
          <w:rFonts w:ascii="仿宋_GB2312" w:hAnsi="Calibri" w:eastAsia="仿宋_GB2312" w:cs="华文仿宋"/>
          <w:sz w:val="32"/>
          <w:szCs w:val="32"/>
          <w:shd w:val="clear" w:color="auto" w:fill="FFFFFF"/>
        </w:rPr>
      </w:pPr>
      <w:r>
        <w:rPr>
          <w:rFonts w:hint="eastAsia" w:ascii="仿宋_GB2312" w:hAnsi="Calibri" w:eastAsia="仿宋_GB2312" w:cs="华文仿宋"/>
          <w:sz w:val="32"/>
          <w:szCs w:val="32"/>
          <w:shd w:val="clear" w:color="auto" w:fill="FFFFFF"/>
        </w:rPr>
        <w:t>（一）负责全县政务服务标准化建设；</w:t>
      </w:r>
      <w:r>
        <w:rPr>
          <w:rFonts w:ascii="仿宋_GB2312" w:hAnsi="Calibri" w:eastAsia="仿宋_GB2312" w:cs="华文仿宋"/>
          <w:sz w:val="32"/>
          <w:szCs w:val="32"/>
          <w:shd w:val="clear" w:color="auto" w:fill="FFFFFF"/>
        </w:rPr>
        <w:t>负责全县单位</w:t>
      </w:r>
      <w:r>
        <w:rPr>
          <w:rFonts w:hint="eastAsia" w:ascii="仿宋_GB2312" w:hAnsi="Calibri" w:eastAsia="仿宋_GB2312" w:cs="华文仿宋"/>
          <w:sz w:val="32"/>
          <w:szCs w:val="32"/>
          <w:shd w:val="clear" w:color="auto" w:fill="FFFFFF"/>
        </w:rPr>
        <w:t>使用政务服务一体化平台的</w:t>
      </w:r>
      <w:r>
        <w:rPr>
          <w:rFonts w:ascii="仿宋_GB2312" w:hAnsi="Calibri" w:eastAsia="仿宋_GB2312" w:cs="华文仿宋"/>
          <w:sz w:val="32"/>
          <w:szCs w:val="32"/>
          <w:shd w:val="clear" w:color="auto" w:fill="FFFFFF"/>
        </w:rPr>
        <w:t>相关工作</w:t>
      </w:r>
      <w:r>
        <w:rPr>
          <w:rFonts w:hint="eastAsia" w:ascii="仿宋_GB2312" w:hAnsi="Calibri" w:eastAsia="仿宋_GB2312" w:cs="华文仿宋"/>
          <w:sz w:val="32"/>
          <w:szCs w:val="32"/>
          <w:shd w:val="clear" w:color="auto" w:fill="FFFFFF"/>
        </w:rPr>
        <w:t>；负责全县政务服务体系建设，指导乡镇、村便民服务相关工作；负责行政审批服务的组织工作；负责研究、制定县级行政审批服务运行机制和流程等工作。负责全县具有行政审批职能的部门进驻大厅窗口及窗口工作人员标准化</w:t>
      </w:r>
      <w:r>
        <w:rPr>
          <w:rFonts w:ascii="仿宋_GB2312" w:hAnsi="Calibri" w:eastAsia="仿宋_GB2312" w:cs="华文仿宋"/>
          <w:sz w:val="32"/>
          <w:szCs w:val="32"/>
          <w:shd w:val="clear" w:color="auto" w:fill="FFFFFF"/>
        </w:rPr>
        <w:t>工作</w:t>
      </w:r>
      <w:r>
        <w:rPr>
          <w:rFonts w:hint="eastAsia" w:ascii="仿宋_GB2312" w:hAnsi="Calibri" w:eastAsia="仿宋_GB2312" w:cs="华文仿宋"/>
          <w:sz w:val="32"/>
          <w:szCs w:val="32"/>
          <w:shd w:val="clear" w:color="auto" w:fill="FFFFFF"/>
        </w:rPr>
        <w:t>；对窗口工作人员进行教育、培训</w:t>
      </w:r>
      <w:r>
        <w:rPr>
          <w:rFonts w:ascii="仿宋_GB2312" w:hAnsi="Calibri" w:eastAsia="仿宋_GB2312" w:cs="华文仿宋"/>
          <w:sz w:val="32"/>
          <w:szCs w:val="32"/>
          <w:shd w:val="clear" w:color="auto" w:fill="FFFFFF"/>
        </w:rPr>
        <w:t>等</w:t>
      </w:r>
      <w:r>
        <w:rPr>
          <w:rFonts w:hint="eastAsia" w:ascii="仿宋_GB2312" w:hAnsi="Calibri" w:eastAsia="仿宋_GB2312" w:cs="华文仿宋"/>
          <w:sz w:val="32"/>
          <w:szCs w:val="32"/>
          <w:shd w:val="clear" w:color="auto" w:fill="FFFFFF"/>
        </w:rPr>
        <w:t>；对政务大厅工作人员的服务态度、服务质量、工作纪律和规范化服务等进行检查督促；对服务对象进行走访回访和窗口服务满意度调查、处理窗口投诉等工作。</w:t>
      </w:r>
    </w:p>
    <w:p>
      <w:pPr>
        <w:pStyle w:val="4"/>
        <w:widowControl/>
        <w:shd w:val="clear" w:color="auto" w:fill="FFFFFF"/>
        <w:spacing w:before="105" w:beforeAutospacing="0" w:after="105" w:afterAutospacing="0" w:line="560" w:lineRule="exact"/>
        <w:ind w:firstLine="640" w:firstLineChars="200"/>
        <w:jc w:val="both"/>
        <w:rPr>
          <w:rFonts w:ascii="仿宋_GB2312" w:hAnsi="宋体" w:eastAsia="仿宋_GB2312" w:cs="宋体"/>
          <w:color w:val="333333"/>
          <w:sz w:val="32"/>
          <w:szCs w:val="32"/>
          <w:shd w:val="clear" w:color="auto" w:fill="FFFFFF"/>
        </w:rPr>
      </w:pPr>
      <w:r>
        <w:rPr>
          <w:rFonts w:hint="eastAsia" w:ascii="仿宋_GB2312" w:hAnsi="Calibri" w:eastAsia="仿宋_GB2312" w:cs="华文仿宋"/>
          <w:sz w:val="32"/>
          <w:szCs w:val="32"/>
          <w:shd w:val="clear" w:color="auto" w:fill="FFFFFF"/>
        </w:rPr>
        <w:t>（二）贯彻执行有关法律法规和政策；受委托负责组织和承办集采目录内的政府采购业务及工程服务项目；负责拟定政府采购工作业务制度；负责政府采购的技术咨询服务；负责政府采购市场信息收集和整理归档；负责与政府采购监督部门的联系；负责县级政府采购，负责全县公共资源绩效考评工作。负责领导交办的其他工作。</w:t>
      </w:r>
    </w:p>
    <w:p>
      <w:pPr>
        <w:pStyle w:val="4"/>
        <w:widowControl/>
        <w:shd w:val="clear" w:color="auto" w:fill="FFFFFF"/>
        <w:spacing w:before="105" w:beforeAutospacing="0" w:after="105" w:afterAutospacing="0" w:line="30" w:lineRule="atLeast"/>
        <w:ind w:firstLine="420"/>
        <w:jc w:val="both"/>
        <w:rPr>
          <w:rFonts w:ascii="仿宋_GB2312" w:hAnsi="仿宋" w:eastAsia="仿宋_GB2312"/>
          <w:color w:val="000000"/>
          <w:kern w:val="2"/>
          <w:sz w:val="32"/>
          <w:szCs w:val="32"/>
        </w:rPr>
      </w:pPr>
      <w:r>
        <w:rPr>
          <w:rFonts w:hint="eastAsia" w:ascii="仿宋_GB2312" w:hAnsi="仿宋" w:eastAsia="仿宋_GB2312"/>
          <w:color w:val="000000"/>
          <w:kern w:val="2"/>
          <w:sz w:val="32"/>
          <w:szCs w:val="32"/>
        </w:rPr>
        <w:t xml:space="preserve"> (7)完成县委、县政府交办的其他任务。</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（三）人员概况。</w:t>
      </w:r>
    </w:p>
    <w:p>
      <w:pPr>
        <w:pStyle w:val="4"/>
        <w:widowControl/>
        <w:shd w:val="clear" w:color="auto" w:fill="FFFFFF"/>
        <w:spacing w:before="105" w:beforeAutospacing="0" w:after="105" w:afterAutospacing="0" w:line="30" w:lineRule="atLeast"/>
        <w:ind w:firstLine="420"/>
        <w:rPr>
          <w:rFonts w:ascii="宋体" w:hAnsi="宋体" w:eastAsia="宋体" w:cs="宋体"/>
          <w:color w:val="333333"/>
        </w:rPr>
      </w:pPr>
      <w:r>
        <w:rPr>
          <w:rFonts w:hint="eastAsia" w:ascii="仿宋_GB2312" w:hAnsi="仿宋" w:eastAsia="仿宋_GB2312"/>
          <w:color w:val="000000"/>
          <w:sz w:val="32"/>
          <w:szCs w:val="32"/>
        </w:rPr>
        <w:t>截止202</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年12月31日，黑水县政务服务和公共资源交易中心总编制</w:t>
      </w:r>
      <w:r>
        <w:rPr>
          <w:rFonts w:hint="eastAsia" w:ascii="仿宋_GB2312" w:hAnsi="仿宋" w:eastAsia="仿宋_GB2312"/>
          <w:color w:val="000000"/>
          <w:sz w:val="32"/>
          <w:szCs w:val="32"/>
          <w:lang w:val="en-US" w:eastAsia="zh-CN"/>
        </w:rPr>
        <w:t>8</w:t>
      </w:r>
      <w:r>
        <w:rPr>
          <w:rFonts w:hint="eastAsia" w:ascii="仿宋_GB2312" w:hAnsi="仿宋" w:eastAsia="仿宋_GB2312"/>
          <w:color w:val="000000"/>
          <w:sz w:val="32"/>
          <w:szCs w:val="32"/>
        </w:rPr>
        <w:t>名，其中：事业编制</w:t>
      </w:r>
      <w:r>
        <w:rPr>
          <w:rFonts w:hint="eastAsia" w:ascii="仿宋_GB2312" w:hAnsi="仿宋" w:eastAsia="仿宋_GB2312"/>
          <w:color w:val="000000"/>
          <w:sz w:val="32"/>
          <w:szCs w:val="32"/>
          <w:lang w:val="en-US" w:eastAsia="zh-CN"/>
        </w:rPr>
        <w:t>8</w:t>
      </w:r>
      <w:r>
        <w:rPr>
          <w:rFonts w:hint="eastAsia" w:ascii="仿宋_GB2312" w:hAnsi="仿宋" w:eastAsia="仿宋_GB2312"/>
          <w:color w:val="000000"/>
          <w:sz w:val="32"/>
          <w:szCs w:val="32"/>
        </w:rPr>
        <w:t>名。在职人员总数</w:t>
      </w:r>
      <w:r>
        <w:rPr>
          <w:rFonts w:hint="eastAsia" w:ascii="仿宋_GB2312" w:hAnsi="仿宋" w:eastAsia="仿宋_GB2312"/>
          <w:color w:val="000000"/>
          <w:sz w:val="32"/>
          <w:szCs w:val="32"/>
          <w:lang w:val="en-US" w:eastAsia="zh-CN"/>
        </w:rPr>
        <w:t>7</w:t>
      </w:r>
      <w:r>
        <w:rPr>
          <w:rFonts w:hint="eastAsia" w:ascii="仿宋_GB2312" w:hAnsi="仿宋" w:eastAsia="仿宋_GB2312"/>
          <w:color w:val="000000"/>
          <w:sz w:val="32"/>
          <w:szCs w:val="32"/>
        </w:rPr>
        <w:t>人，其中：事业</w:t>
      </w:r>
      <w:r>
        <w:rPr>
          <w:rFonts w:hint="eastAsia" w:ascii="仿宋_GB2312" w:hAnsi="仿宋" w:eastAsia="仿宋_GB2312"/>
          <w:color w:val="000000"/>
          <w:sz w:val="32"/>
          <w:szCs w:val="32"/>
          <w:lang w:val="en-US" w:eastAsia="zh-CN"/>
        </w:rPr>
        <w:t>7</w:t>
      </w:r>
      <w:r>
        <w:rPr>
          <w:rFonts w:hint="eastAsia" w:ascii="仿宋_GB2312" w:hAnsi="仿宋" w:eastAsia="仿宋_GB2312"/>
          <w:color w:val="000000"/>
          <w:sz w:val="32"/>
          <w:szCs w:val="32"/>
        </w:rPr>
        <w:t>人。</w:t>
      </w:r>
    </w:p>
    <w:p>
      <w:pPr>
        <w:spacing w:line="560" w:lineRule="exact"/>
        <w:ind w:firstLine="642" w:firstLineChars="200"/>
        <w:rPr>
          <w:rFonts w:ascii="仿宋_GB2312" w:hAnsi="黑体" w:eastAsia="仿宋_GB2312" w:cs="黑体"/>
          <w:b/>
          <w:sz w:val="32"/>
          <w:szCs w:val="32"/>
        </w:rPr>
      </w:pPr>
      <w:r>
        <w:rPr>
          <w:rFonts w:hint="eastAsia" w:ascii="仿宋_GB2312" w:hAnsi="黑体" w:eastAsia="仿宋_GB2312" w:cs="黑体"/>
          <w:b/>
          <w:sz w:val="32"/>
          <w:szCs w:val="32"/>
        </w:rPr>
        <w:t>二、部门财政资金收支情况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hd w:val="clear" w:color="auto" w:fill="FFFFFF"/>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年总收入</w:t>
      </w:r>
      <w:r>
        <w:rPr>
          <w:rFonts w:hint="eastAsia" w:ascii="仿宋_GB2312" w:hAnsi="仿宋" w:eastAsia="仿宋_GB2312"/>
          <w:color w:val="000000"/>
          <w:sz w:val="32"/>
          <w:szCs w:val="32"/>
          <w:lang w:val="en-US" w:eastAsia="zh-CN"/>
        </w:rPr>
        <w:t>138.89</w:t>
      </w:r>
      <w:r>
        <w:rPr>
          <w:rFonts w:hint="eastAsia" w:ascii="仿宋_GB2312" w:hAnsi="仿宋" w:eastAsia="仿宋_GB2312"/>
          <w:color w:val="000000"/>
          <w:sz w:val="32"/>
          <w:szCs w:val="32"/>
        </w:rPr>
        <w:t>万元，其中：财政拨款收入</w:t>
      </w:r>
      <w:r>
        <w:rPr>
          <w:rFonts w:hint="eastAsia" w:ascii="仿宋_GB2312" w:hAnsi="仿宋" w:eastAsia="仿宋_GB2312"/>
          <w:color w:val="000000"/>
          <w:sz w:val="32"/>
          <w:szCs w:val="32"/>
          <w:lang w:val="en-US" w:eastAsia="zh-CN"/>
        </w:rPr>
        <w:t>138.89</w:t>
      </w:r>
      <w:r>
        <w:rPr>
          <w:rFonts w:hint="eastAsia" w:ascii="仿宋_GB2312" w:hAnsi="仿宋" w:eastAsia="仿宋_GB2312"/>
          <w:color w:val="000000"/>
          <w:sz w:val="32"/>
          <w:szCs w:val="32"/>
        </w:rPr>
        <w:t>万元，占总收入100%。</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shd w:val="clear" w:color="auto" w:fill="FFFFFF"/>
        <w:spacing w:line="600" w:lineRule="exact"/>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年总支出</w:t>
      </w:r>
      <w:r>
        <w:rPr>
          <w:rFonts w:hint="eastAsia" w:ascii="仿宋_GB2312" w:hAnsi="仿宋" w:eastAsia="仿宋_GB2312"/>
          <w:color w:val="000000"/>
          <w:sz w:val="32"/>
          <w:szCs w:val="32"/>
          <w:lang w:val="en-US" w:eastAsia="zh-CN"/>
        </w:rPr>
        <w:t>138.89</w:t>
      </w:r>
      <w:r>
        <w:rPr>
          <w:rFonts w:hint="eastAsia" w:ascii="仿宋_GB2312" w:hAnsi="仿宋" w:eastAsia="仿宋_GB2312"/>
          <w:color w:val="000000"/>
          <w:sz w:val="32"/>
          <w:szCs w:val="32"/>
        </w:rPr>
        <w:t>万元。其中：基本支出</w:t>
      </w:r>
      <w:r>
        <w:rPr>
          <w:rFonts w:hint="eastAsia" w:ascii="仿宋_GB2312" w:hAnsi="仿宋" w:eastAsia="仿宋_GB2312"/>
          <w:color w:val="000000"/>
          <w:sz w:val="32"/>
          <w:szCs w:val="32"/>
          <w:lang w:val="en-US" w:eastAsia="zh-CN"/>
        </w:rPr>
        <w:t>136.63</w:t>
      </w:r>
      <w:r>
        <w:rPr>
          <w:rFonts w:hint="eastAsia" w:ascii="仿宋_GB2312" w:hAnsi="仿宋" w:eastAsia="仿宋_GB2312"/>
          <w:color w:val="000000"/>
          <w:sz w:val="32"/>
          <w:szCs w:val="32"/>
        </w:rPr>
        <w:t>万元，占总支出</w:t>
      </w:r>
      <w:r>
        <w:rPr>
          <w:rFonts w:hint="eastAsia" w:ascii="仿宋_GB2312" w:hAnsi="仿宋" w:eastAsia="仿宋_GB2312"/>
          <w:color w:val="000000"/>
          <w:sz w:val="32"/>
          <w:szCs w:val="32"/>
          <w:lang w:val="en-US" w:eastAsia="zh-CN"/>
        </w:rPr>
        <w:t>98.27</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项目支出2.26万元，占总支出1.73</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w:t>
      </w:r>
    </w:p>
    <w:p>
      <w:pPr>
        <w:spacing w:line="580" w:lineRule="exact"/>
        <w:ind w:firstLine="642" w:firstLineChars="200"/>
        <w:rPr>
          <w:rFonts w:ascii="仿宋_GB2312" w:hAnsi="仿宋" w:eastAsia="仿宋_GB2312" w:cs="仿宋_GB2312"/>
          <w:b/>
          <w:sz w:val="32"/>
          <w:szCs w:val="32"/>
        </w:rPr>
      </w:pPr>
      <w:r>
        <w:rPr>
          <w:rFonts w:hint="eastAsia" w:ascii="仿宋_GB2312" w:hAnsi="黑体" w:eastAsia="仿宋_GB2312" w:cs="黑体"/>
          <w:b/>
          <w:sz w:val="32"/>
          <w:szCs w:val="32"/>
        </w:rPr>
        <w:t>三、部门整体预算绩效管理情况</w:t>
      </w:r>
    </w:p>
    <w:p>
      <w:pPr>
        <w:widowControl/>
        <w:adjustRightInd w:val="0"/>
        <w:snapToGrid w:val="0"/>
        <w:spacing w:line="540" w:lineRule="exact"/>
        <w:ind w:firstLine="720"/>
        <w:jc w:val="left"/>
        <w:rPr>
          <w:rFonts w:ascii="仿宋_GB2312" w:hAnsi="仿宋" w:eastAsia="仿宋_GB2312" w:cs="仿宋_GB2312"/>
          <w:sz w:val="32"/>
          <w:szCs w:val="32"/>
        </w:rPr>
      </w:pPr>
      <w:r>
        <w:rPr>
          <w:rFonts w:hint="eastAsia" w:ascii="仿宋_GB2312" w:hAnsi="仿宋" w:eastAsia="仿宋_GB2312" w:cs="仿宋_GB2312"/>
          <w:sz w:val="32"/>
          <w:szCs w:val="32"/>
        </w:rPr>
        <w:t>（一）预决算编制情况。</w:t>
      </w:r>
    </w:p>
    <w:p>
      <w:pPr>
        <w:widowControl/>
        <w:adjustRightInd w:val="0"/>
        <w:snapToGrid w:val="0"/>
        <w:spacing w:line="540" w:lineRule="exact"/>
        <w:ind w:firstLine="720"/>
        <w:jc w:val="left"/>
        <w:rPr>
          <w:rFonts w:ascii="仿宋_GB2312" w:hAnsi="仿宋" w:eastAsia="仿宋_GB2312"/>
          <w:color w:val="000000"/>
          <w:sz w:val="32"/>
          <w:szCs w:val="32"/>
        </w:rPr>
      </w:pPr>
      <w:r>
        <w:rPr>
          <w:rFonts w:hint="eastAsia" w:ascii="仿宋_GB2312" w:hAnsi="Arial" w:eastAsia="仿宋_GB2312" w:cs="Arial"/>
          <w:sz w:val="32"/>
          <w:szCs w:val="32"/>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本单位202</w:t>
      </w:r>
      <w:r>
        <w:rPr>
          <w:rFonts w:hint="eastAsia" w:ascii="仿宋_GB2312" w:hAnsi="Arial" w:eastAsia="仿宋_GB2312" w:cs="Arial"/>
          <w:sz w:val="32"/>
          <w:szCs w:val="32"/>
          <w:lang w:val="en-US" w:eastAsia="zh-CN"/>
        </w:rPr>
        <w:t>3</w:t>
      </w:r>
      <w:r>
        <w:rPr>
          <w:rFonts w:hint="eastAsia" w:ascii="仿宋_GB2312" w:hAnsi="Arial" w:eastAsia="仿宋_GB2312" w:cs="Arial"/>
          <w:sz w:val="32"/>
          <w:szCs w:val="32"/>
        </w:rPr>
        <w:t>年年初预算安排收入</w:t>
      </w:r>
      <w:r>
        <w:rPr>
          <w:rFonts w:hint="eastAsia" w:ascii="仿宋_GB2312" w:hAnsi="Arial" w:eastAsia="仿宋_GB2312" w:cs="Arial"/>
          <w:sz w:val="32"/>
          <w:szCs w:val="32"/>
          <w:lang w:val="en-US" w:eastAsia="zh-CN"/>
        </w:rPr>
        <w:t>138.89</w:t>
      </w:r>
      <w:r>
        <w:rPr>
          <w:rFonts w:hint="eastAsia" w:ascii="仿宋_GB2312" w:hAnsi="Arial" w:eastAsia="仿宋_GB2312" w:cs="Arial"/>
          <w:sz w:val="32"/>
          <w:szCs w:val="32"/>
        </w:rPr>
        <w:t>万元, 本年预算支出</w:t>
      </w:r>
      <w:r>
        <w:rPr>
          <w:rFonts w:hint="eastAsia" w:ascii="仿宋_GB2312" w:hAnsi="Arial" w:eastAsia="仿宋_GB2312" w:cs="Arial"/>
          <w:sz w:val="32"/>
          <w:szCs w:val="32"/>
          <w:lang w:val="en-US" w:eastAsia="zh-CN"/>
        </w:rPr>
        <w:t>138.89</w:t>
      </w:r>
      <w:r>
        <w:rPr>
          <w:rFonts w:hint="eastAsia" w:ascii="仿宋_GB2312" w:hAnsi="Arial" w:eastAsia="仿宋_GB2312" w:cs="Arial"/>
          <w:sz w:val="32"/>
          <w:szCs w:val="32"/>
        </w:rPr>
        <w:t>万元。</w:t>
      </w:r>
    </w:p>
    <w:p>
      <w:pPr>
        <w:widowControl/>
        <w:adjustRightInd w:val="0"/>
        <w:snapToGrid w:val="0"/>
        <w:spacing w:line="540" w:lineRule="exact"/>
        <w:ind w:firstLine="720"/>
        <w:jc w:val="left"/>
        <w:rPr>
          <w:rFonts w:ascii="仿宋_GB2312" w:hAnsi="仿宋" w:eastAsia="仿宋_GB2312" w:cs="仿宋_GB2312"/>
          <w:sz w:val="32"/>
          <w:szCs w:val="32"/>
        </w:rPr>
      </w:pPr>
      <w:r>
        <w:rPr>
          <w:rFonts w:hint="eastAsia" w:ascii="仿宋_GB2312" w:hAnsi="仿宋" w:eastAsia="仿宋_GB2312" w:cs="仿宋_GB2312"/>
          <w:sz w:val="32"/>
          <w:szCs w:val="32"/>
        </w:rPr>
        <w:t>（二）执行管理情况。</w:t>
      </w:r>
    </w:p>
    <w:p>
      <w:pPr>
        <w:widowControl/>
        <w:adjustRightInd w:val="0"/>
        <w:snapToGrid w:val="0"/>
        <w:spacing w:line="540" w:lineRule="exact"/>
        <w:ind w:firstLine="720"/>
        <w:jc w:val="left"/>
        <w:rPr>
          <w:rFonts w:ascii="仿宋_GB2312" w:hAnsi="仿宋" w:eastAsia="仿宋_GB2312"/>
          <w:color w:val="000000"/>
          <w:sz w:val="32"/>
          <w:szCs w:val="32"/>
        </w:rPr>
      </w:pPr>
      <w:r>
        <w:rPr>
          <w:rFonts w:hint="eastAsia" w:ascii="仿宋_GB2312" w:hAnsi="仿宋" w:eastAsia="仿宋_GB2312"/>
          <w:color w:val="000000"/>
          <w:sz w:val="32"/>
          <w:szCs w:val="32"/>
        </w:rPr>
        <w:t>严格遵守县行政审批局经费来源和分配、管理、使用原则。一是规范账户管理。单位允许设立一个银行账户。严禁公款私存、私设小金库和账外账，所有资金收支必须在一个银行账户中反映。二是严格遵守支出审批制度。按照“量力而行、量入为出”的原则，合理安排经费。所有票据由经办人、科室负责人签署意见，送财务室对票据的合法性、支出的真实性进行审核，报分管财务领导审核。单项支出金额无论大小，均由分管财务的领导审核后，报主要领导审批。公务支出一律使用公务卡支付。无划卡条件的，原则上采取银行转账方式支付。</w:t>
      </w:r>
    </w:p>
    <w:p>
      <w:pPr>
        <w:widowControl/>
        <w:adjustRightInd w:val="0"/>
        <w:snapToGrid w:val="0"/>
        <w:spacing w:line="540" w:lineRule="exact"/>
        <w:ind w:firstLine="720"/>
        <w:jc w:val="left"/>
        <w:rPr>
          <w:rFonts w:ascii="仿宋_GB2312" w:hAnsi="仿宋" w:eastAsia="仿宋_GB2312"/>
          <w:color w:val="000000"/>
          <w:sz w:val="32"/>
          <w:szCs w:val="32"/>
        </w:rPr>
      </w:pPr>
      <w:r>
        <w:rPr>
          <w:rFonts w:hint="eastAsia" w:ascii="仿宋_GB2312" w:hAnsi="Arial" w:eastAsia="仿宋_GB2312" w:cs="Arial"/>
          <w:sz w:val="32"/>
          <w:szCs w:val="32"/>
        </w:rPr>
        <w:t>严格执行“厉行节约、反对浪费”的规 定，严格控制“三公”经费支出，加强公务用车管理，努力降低燃修费用，“三公”经费 较上年有所下降。本年支出</w:t>
      </w:r>
      <w:r>
        <w:rPr>
          <w:rFonts w:hint="eastAsia" w:ascii="仿宋_GB2312" w:hAnsi="Arial" w:eastAsia="仿宋_GB2312" w:cs="Arial"/>
          <w:sz w:val="32"/>
          <w:szCs w:val="32"/>
          <w:lang w:val="en-US" w:eastAsia="zh-CN"/>
        </w:rPr>
        <w:t>138.89</w:t>
      </w:r>
      <w:r>
        <w:rPr>
          <w:rFonts w:hint="eastAsia" w:ascii="仿宋_GB2312" w:hAnsi="Arial" w:eastAsia="仿宋_GB2312" w:cs="Arial"/>
          <w:sz w:val="32"/>
          <w:szCs w:val="32"/>
        </w:rPr>
        <w:t>万元，按资金来源分析：其中财政拨款支出</w:t>
      </w:r>
      <w:r>
        <w:rPr>
          <w:rFonts w:hint="eastAsia" w:ascii="仿宋_GB2312" w:hAnsi="Arial" w:eastAsia="仿宋_GB2312" w:cs="Arial"/>
          <w:sz w:val="32"/>
          <w:szCs w:val="32"/>
          <w:lang w:val="en-US" w:eastAsia="zh-CN"/>
        </w:rPr>
        <w:t>138.89</w:t>
      </w:r>
      <w:r>
        <w:rPr>
          <w:rFonts w:hint="eastAsia" w:ascii="仿宋_GB2312" w:hAnsi="Arial" w:eastAsia="仿宋_GB2312" w:cs="Arial"/>
          <w:sz w:val="32"/>
          <w:szCs w:val="32"/>
        </w:rPr>
        <w:t>万元，占本年总支出的100%，按支出性质分析：基本支出</w:t>
      </w:r>
      <w:r>
        <w:rPr>
          <w:rFonts w:hint="eastAsia" w:ascii="仿宋_GB2312" w:hAnsi="Arial" w:eastAsia="仿宋_GB2312" w:cs="Arial"/>
          <w:sz w:val="32"/>
          <w:szCs w:val="32"/>
          <w:lang w:val="en-US" w:eastAsia="zh-CN"/>
        </w:rPr>
        <w:t>136.63</w:t>
      </w:r>
      <w:r>
        <w:rPr>
          <w:rFonts w:hint="eastAsia" w:ascii="仿宋_GB2312" w:hAnsi="Arial" w:eastAsia="仿宋_GB2312" w:cs="Arial"/>
          <w:sz w:val="32"/>
          <w:szCs w:val="32"/>
        </w:rPr>
        <w:t>万元，占本年总支出</w:t>
      </w:r>
      <w:r>
        <w:rPr>
          <w:rFonts w:hint="eastAsia" w:ascii="仿宋_GB2312" w:hAnsi="Arial" w:eastAsia="仿宋_GB2312" w:cs="Arial"/>
          <w:sz w:val="32"/>
          <w:szCs w:val="32"/>
          <w:lang w:val="en-US" w:eastAsia="zh-CN"/>
        </w:rPr>
        <w:t>98.27</w:t>
      </w:r>
      <w:r>
        <w:rPr>
          <w:rFonts w:hint="eastAsia" w:ascii="仿宋_GB2312" w:hAnsi="Arial" w:eastAsia="仿宋_GB2312" w:cs="Arial"/>
          <w:sz w:val="32"/>
          <w:szCs w:val="32"/>
        </w:rPr>
        <w:t>%</w:t>
      </w:r>
      <w:r>
        <w:rPr>
          <w:rFonts w:hint="eastAsia" w:ascii="仿宋_GB2312" w:hAnsi="Arial" w:eastAsia="仿宋_GB2312" w:cs="Arial"/>
          <w:sz w:val="32"/>
          <w:szCs w:val="32"/>
          <w:lang w:eastAsia="zh-CN"/>
        </w:rPr>
        <w:t>，</w:t>
      </w:r>
      <w:r>
        <w:rPr>
          <w:rFonts w:hint="eastAsia" w:ascii="仿宋_GB2312" w:hAnsi="仿宋" w:eastAsia="仿宋_GB2312"/>
          <w:color w:val="000000"/>
          <w:sz w:val="32"/>
          <w:szCs w:val="32"/>
          <w:lang w:val="en-US" w:eastAsia="zh-CN"/>
        </w:rPr>
        <w:t>项目支出2.26万元，占总支出1.73</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w:t>
      </w:r>
      <w:r>
        <w:rPr>
          <w:rFonts w:hint="eastAsia" w:ascii="仿宋_GB2312" w:hAnsi="Arial" w:eastAsia="仿宋_GB2312" w:cs="Arial"/>
          <w:sz w:val="32"/>
          <w:szCs w:val="32"/>
        </w:rPr>
        <w:t>按支出经济分类：工资福利支出</w:t>
      </w:r>
      <w:r>
        <w:rPr>
          <w:rFonts w:hint="eastAsia" w:ascii="仿宋_GB2312" w:hAnsi="Arial" w:eastAsia="仿宋_GB2312" w:cs="Arial"/>
          <w:sz w:val="32"/>
          <w:szCs w:val="32"/>
          <w:lang w:val="en-US" w:eastAsia="zh-CN"/>
        </w:rPr>
        <w:t>121.95</w:t>
      </w:r>
      <w:r>
        <w:rPr>
          <w:rFonts w:hint="eastAsia" w:ascii="仿宋_GB2312" w:hAnsi="Arial" w:eastAsia="仿宋_GB2312" w:cs="Arial"/>
          <w:sz w:val="32"/>
          <w:szCs w:val="32"/>
        </w:rPr>
        <w:t>万元，占本年支出</w:t>
      </w:r>
      <w:r>
        <w:rPr>
          <w:rFonts w:hint="eastAsia" w:ascii="仿宋_GB2312" w:hAnsi="Arial" w:eastAsia="仿宋_GB2312" w:cs="Arial"/>
          <w:sz w:val="32"/>
          <w:szCs w:val="32"/>
          <w:lang w:val="en-US" w:eastAsia="zh-CN"/>
        </w:rPr>
        <w:t>87.8</w:t>
      </w:r>
      <w:r>
        <w:rPr>
          <w:rFonts w:hint="eastAsia" w:ascii="仿宋_GB2312" w:hAnsi="Arial" w:eastAsia="仿宋_GB2312" w:cs="Arial"/>
          <w:sz w:val="32"/>
          <w:szCs w:val="32"/>
        </w:rPr>
        <w:t>%，商品和服务支出</w:t>
      </w:r>
      <w:r>
        <w:rPr>
          <w:rFonts w:hint="eastAsia" w:ascii="仿宋_GB2312" w:hAnsi="Arial" w:eastAsia="仿宋_GB2312" w:cs="Arial"/>
          <w:sz w:val="32"/>
          <w:szCs w:val="32"/>
          <w:lang w:val="en-US" w:eastAsia="zh-CN"/>
        </w:rPr>
        <w:t>16.5</w:t>
      </w:r>
      <w:r>
        <w:rPr>
          <w:rFonts w:hint="eastAsia" w:ascii="仿宋_GB2312" w:hAnsi="Arial" w:eastAsia="仿宋_GB2312" w:cs="Arial"/>
          <w:sz w:val="32"/>
          <w:szCs w:val="32"/>
        </w:rPr>
        <w:t>万元，占本年支出</w:t>
      </w:r>
      <w:r>
        <w:rPr>
          <w:rFonts w:hint="eastAsia" w:ascii="仿宋_GB2312" w:hAnsi="Arial" w:eastAsia="仿宋_GB2312" w:cs="Arial"/>
          <w:sz w:val="32"/>
          <w:szCs w:val="32"/>
          <w:lang w:val="en-US" w:eastAsia="zh-CN"/>
        </w:rPr>
        <w:t>11.87</w:t>
      </w:r>
      <w:r>
        <w:rPr>
          <w:rFonts w:hint="eastAsia" w:ascii="仿宋_GB2312" w:hAnsi="Arial" w:eastAsia="仿宋_GB2312" w:cs="Arial"/>
          <w:sz w:val="32"/>
          <w:szCs w:val="32"/>
        </w:rPr>
        <w:t>%。</w:t>
      </w:r>
    </w:p>
    <w:p>
      <w:pPr>
        <w:widowControl/>
        <w:adjustRightInd w:val="0"/>
        <w:snapToGrid w:val="0"/>
        <w:spacing w:line="540" w:lineRule="exact"/>
        <w:ind w:firstLine="720"/>
        <w:jc w:val="left"/>
        <w:rPr>
          <w:rFonts w:ascii="仿宋_GB2312" w:hAnsi="仿宋" w:eastAsia="仿宋_GB2312" w:cs="仿宋_GB2312"/>
          <w:sz w:val="32"/>
          <w:szCs w:val="32"/>
        </w:rPr>
      </w:pPr>
      <w:r>
        <w:rPr>
          <w:rFonts w:hint="eastAsia" w:ascii="仿宋_GB2312" w:hAnsi="仿宋" w:eastAsia="仿宋_GB2312" w:cs="仿宋_GB2312"/>
          <w:sz w:val="32"/>
          <w:szCs w:val="32"/>
        </w:rPr>
        <w:t>（三）综合管理情况。</w:t>
      </w:r>
    </w:p>
    <w:p>
      <w:pPr>
        <w:widowControl/>
        <w:adjustRightInd w:val="0"/>
        <w:snapToGrid w:val="0"/>
        <w:spacing w:line="540" w:lineRule="exact"/>
        <w:ind w:firstLine="720"/>
        <w:jc w:val="left"/>
        <w:rPr>
          <w:rFonts w:ascii="仿宋_GB2312" w:hAnsi="仿宋" w:eastAsia="仿宋_GB2312"/>
          <w:color w:val="000000"/>
          <w:sz w:val="32"/>
          <w:szCs w:val="32"/>
        </w:rPr>
      </w:pPr>
      <w:r>
        <w:rPr>
          <w:rFonts w:hint="eastAsia" w:ascii="仿宋_GB2312" w:hAnsi="仿宋" w:eastAsia="仿宋_GB2312"/>
          <w:color w:val="000000"/>
          <w:sz w:val="32"/>
          <w:szCs w:val="32"/>
        </w:rPr>
        <w:t>我单位依据财政编审要求,在年度终了后,结合本单位当年全部预算收入、财政拨款收入及支出等,对全口径的资金收入、支出和预算管理、资产管理等工作进行的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pPr>
        <w:widowControl/>
        <w:ind w:firstLine="640" w:firstLineChars="200"/>
        <w:jc w:val="left"/>
        <w:rPr>
          <w:rFonts w:ascii="仿宋_GB2312" w:hAnsi="Arial" w:eastAsia="仿宋_GB2312" w:cs="Arial"/>
          <w:kern w:val="0"/>
          <w:sz w:val="32"/>
          <w:szCs w:val="32"/>
        </w:rPr>
      </w:pPr>
      <w:r>
        <w:rPr>
          <w:rFonts w:hint="eastAsia" w:ascii="仿宋_GB2312" w:hAnsi="Arial" w:eastAsia="仿宋_GB2312" w:cs="Arial"/>
          <w:kern w:val="0"/>
          <w:sz w:val="32"/>
          <w:szCs w:val="32"/>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（四）整体绩效。</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1、部门支出绩效</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（1）基本支出</w:t>
      </w:r>
    </w:p>
    <w:p>
      <w:pPr>
        <w:widowControl/>
        <w:adjustRightInd w:val="0"/>
        <w:snapToGrid w:val="0"/>
        <w:spacing w:line="540" w:lineRule="exact"/>
        <w:ind w:firstLine="720"/>
        <w:jc w:val="left"/>
        <w:rPr>
          <w:rFonts w:ascii="仿宋_GB2312" w:hAnsi="仿宋" w:eastAsia="仿宋_GB2312"/>
          <w:color w:val="000000"/>
          <w:sz w:val="32"/>
          <w:szCs w:val="32"/>
        </w:rPr>
      </w:pPr>
      <w:r>
        <w:rPr>
          <w:rFonts w:hint="eastAsia" w:ascii="仿宋_GB2312" w:hAnsi="仿宋" w:eastAsia="仿宋_GB2312"/>
          <w:color w:val="000000"/>
          <w:sz w:val="32"/>
          <w:szCs w:val="32"/>
        </w:rPr>
        <w:t>本年度基本支出人员经费</w:t>
      </w:r>
      <w:r>
        <w:rPr>
          <w:rFonts w:hint="eastAsia" w:ascii="仿宋_GB2312" w:hAnsi="仿宋" w:eastAsia="仿宋_GB2312"/>
          <w:color w:val="000000"/>
          <w:sz w:val="32"/>
          <w:szCs w:val="32"/>
          <w:lang w:val="en-US" w:eastAsia="zh-CN"/>
        </w:rPr>
        <w:t>122.39</w:t>
      </w:r>
      <w:r>
        <w:rPr>
          <w:rFonts w:hint="eastAsia" w:ascii="仿宋_GB2312" w:hAnsi="仿宋" w:eastAsia="仿宋_GB2312"/>
          <w:color w:val="000000"/>
          <w:sz w:val="32"/>
          <w:szCs w:val="32"/>
        </w:rPr>
        <w:t>万元，主要用于基本工资、津贴补贴、奖金、其他社会保障缴费、绩效工资、机关事业单位基本养老保险缴费、职业年金缴费、职工基本医疗保险缴费、退休费、生活补助、奖励金、住房公积金。</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（2）公用支出</w:t>
      </w:r>
    </w:p>
    <w:p>
      <w:pPr>
        <w:widowControl/>
        <w:adjustRightInd w:val="0"/>
        <w:snapToGrid w:val="0"/>
        <w:spacing w:line="540" w:lineRule="exact"/>
        <w:ind w:firstLine="720"/>
        <w:jc w:val="left"/>
        <w:rPr>
          <w:rFonts w:ascii="仿宋_GB2312" w:hAnsi="仿宋" w:eastAsia="仿宋_GB2312"/>
          <w:color w:val="000000"/>
          <w:sz w:val="32"/>
          <w:szCs w:val="32"/>
        </w:rPr>
      </w:pPr>
      <w:r>
        <w:rPr>
          <w:rFonts w:hint="eastAsia" w:ascii="仿宋_GB2312" w:hAnsi="仿宋" w:eastAsia="仿宋_GB2312"/>
          <w:color w:val="000000"/>
          <w:sz w:val="32"/>
          <w:szCs w:val="32"/>
        </w:rPr>
        <w:t>本年度基本支出公用经费支出</w:t>
      </w:r>
      <w:r>
        <w:rPr>
          <w:rFonts w:hint="eastAsia" w:ascii="仿宋_GB2312" w:hAnsi="仿宋" w:eastAsia="仿宋_GB2312"/>
          <w:color w:val="000000"/>
          <w:sz w:val="32"/>
          <w:szCs w:val="32"/>
          <w:lang w:val="en-US" w:eastAsia="zh-CN"/>
        </w:rPr>
        <w:t>14.24</w:t>
      </w:r>
      <w:r>
        <w:rPr>
          <w:rFonts w:hint="eastAsia" w:ascii="仿宋_GB2312" w:hAnsi="仿宋" w:eastAsia="仿宋_GB2312"/>
          <w:color w:val="000000"/>
          <w:sz w:val="32"/>
          <w:szCs w:val="32"/>
        </w:rPr>
        <w:t>万元，主要用于办公费、印刷费、水费、电费、邮电费、差旅费、维修（护）费、会议费、培训费、公务接待费、工会经费、福利费、其他交通费用、其他商品和服务支出、办公设备购置、信息网络及软件购置更新。</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2、机关厉行节约。</w:t>
      </w:r>
    </w:p>
    <w:p>
      <w:pPr>
        <w:widowControl/>
        <w:adjustRightInd w:val="0"/>
        <w:snapToGrid w:val="0"/>
        <w:spacing w:line="540" w:lineRule="exact"/>
        <w:ind w:firstLine="720"/>
        <w:jc w:val="left"/>
        <w:rPr>
          <w:rFonts w:ascii="仿宋_GB2312" w:hAnsi="仿宋" w:eastAsia="仿宋_GB2312"/>
          <w:color w:val="000000"/>
          <w:sz w:val="32"/>
          <w:szCs w:val="32"/>
        </w:rPr>
      </w:pPr>
      <w:r>
        <w:rPr>
          <w:rFonts w:hint="eastAsia" w:ascii="仿宋_GB2312" w:hAnsi="仿宋" w:eastAsia="仿宋_GB2312" w:cs="仿宋_GB2312"/>
          <w:sz w:val="32"/>
          <w:szCs w:val="32"/>
        </w:rPr>
        <w:t>黑水县政务服务和公共资源交易中心</w:t>
      </w: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年无因公出国（境）经费预算；本单位202</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年“三公”经费支出0万元，其中公务用车运行维护费支出0万元，国内接待费支出0万元。与202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年持平。</w:t>
      </w:r>
      <w:bookmarkStart w:id="1" w:name="_GoBack"/>
      <w:bookmarkEnd w:id="1"/>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3、其他重要事项的情况说明。</w:t>
      </w:r>
    </w:p>
    <w:p>
      <w:pPr>
        <w:spacing w:line="600" w:lineRule="exact"/>
        <w:ind w:firstLine="640" w:firstLineChars="200"/>
        <w:rPr>
          <w:rFonts w:ascii="仿宋_GB2312" w:eastAsia="仿宋_GB2312"/>
          <w:color w:val="000000"/>
          <w:sz w:val="32"/>
          <w:szCs w:val="32"/>
        </w:rPr>
      </w:pPr>
      <w:r>
        <w:rPr>
          <w:rFonts w:hint="eastAsia" w:ascii="仿宋_GB2312" w:hAnsi="仿宋" w:eastAsia="仿宋_GB2312" w:cs="仿宋_GB2312"/>
          <w:sz w:val="32"/>
          <w:szCs w:val="32"/>
        </w:rPr>
        <w:t>（1）机关运行经费：</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年，行政审批局机关运行经费支出0万元，较202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年持平。</w:t>
      </w:r>
    </w:p>
    <w:p>
      <w:pPr>
        <w:widowControl/>
        <w:adjustRightInd w:val="0"/>
        <w:snapToGrid w:val="0"/>
        <w:spacing w:line="540" w:lineRule="exact"/>
        <w:ind w:firstLine="720"/>
        <w:jc w:val="left"/>
        <w:rPr>
          <w:rFonts w:ascii="仿宋_GB2312" w:hAnsi="仿宋" w:eastAsia="仿宋_GB2312"/>
          <w:color w:val="000000"/>
          <w:sz w:val="32"/>
          <w:szCs w:val="32"/>
        </w:rPr>
      </w:pPr>
      <w:r>
        <w:rPr>
          <w:rFonts w:hint="eastAsia" w:ascii="仿宋_GB2312" w:hAnsi="仿宋" w:eastAsia="仿宋_GB2312" w:cs="仿宋_GB2312"/>
          <w:sz w:val="32"/>
          <w:szCs w:val="32"/>
        </w:rPr>
        <w:t>2.政府采购情况：2</w:t>
      </w:r>
      <w:r>
        <w:rPr>
          <w:rFonts w:hint="eastAsia" w:ascii="仿宋_GB2312" w:hAnsi="仿宋" w:eastAsia="仿宋_GB2312"/>
          <w:color w:val="000000"/>
          <w:sz w:val="32"/>
          <w:szCs w:val="32"/>
        </w:rPr>
        <w:t>02</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年安排政府采购预算0万元。</w:t>
      </w:r>
    </w:p>
    <w:p>
      <w:pPr>
        <w:widowControl/>
        <w:adjustRightInd w:val="0"/>
        <w:snapToGrid w:val="0"/>
        <w:spacing w:line="540" w:lineRule="exact"/>
        <w:ind w:firstLine="720"/>
        <w:jc w:val="left"/>
        <w:rPr>
          <w:rFonts w:ascii="仿宋_GB2312" w:hAnsi="宋体" w:cs="仿宋_GB2312"/>
          <w:color w:val="000000"/>
          <w:sz w:val="31"/>
          <w:szCs w:val="31"/>
        </w:rPr>
      </w:pPr>
      <w:r>
        <w:rPr>
          <w:rFonts w:hint="eastAsia" w:ascii="仿宋_GB2312" w:hAnsi="仿宋" w:eastAsia="仿宋_GB2312" w:cs="仿宋_GB2312"/>
          <w:sz w:val="32"/>
          <w:szCs w:val="32"/>
        </w:rPr>
        <w:t>3.国有资产占有使用情况：截至202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2年底，黑水县政务服务和公共资源交易中心共有车辆0辆，单位价值200万元以上大型设备0台（套）。</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黑水县政务服务和公共资源交易中心</w:t>
      </w:r>
      <w:r>
        <w:rPr>
          <w:rFonts w:hint="eastAsia" w:ascii="仿宋_GB2312" w:hAnsi="仿宋_GB2312" w:eastAsia="仿宋_GB2312" w:cs="仿宋_GB2312"/>
          <w:sz w:val="32"/>
          <w:szCs w:val="32"/>
        </w:rPr>
        <w:t>坚持以“转变政府职能、优化发展环境、构建服务政府”为要务，以“公正透明、规范高效、廉洁务实、便民利民”为目标，通过全县政务服务工作者的共同努力，在压减承诺时限、“互联网+政务服务”、县乡村三级政务服务体系、政府采购等方面取得了一定成效，</w:t>
      </w:r>
      <w:r>
        <w:rPr>
          <w:rFonts w:hint="eastAsia" w:ascii="仿宋_GB2312" w:hAnsi="仿宋" w:eastAsia="仿宋_GB2312" w:cs="仿宋_GB2312"/>
          <w:sz w:val="32"/>
          <w:szCs w:val="32"/>
        </w:rPr>
        <w:t>圆满完成了州、县下达的各项目标任务，为全县经济社会发展创造良好的社会环境做出了突出贡献。</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A00002BF" w:usb1="38CF7CFA" w:usb2="00082016" w:usb3="00000000" w:csb0="00040001" w:csb1="00000000"/>
  </w:font>
  <w:font w:name="方正小标宋简体">
    <w:altName w:val="方正小标宋_GBK"/>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方正仿宋_GBK"/>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OTQyODBlNjQ4ZmEzNDNmMjYzNmE1NWExZmRmZjMifQ=="/>
  </w:docVars>
  <w:rsids>
    <w:rsidRoot w:val="00491B22"/>
    <w:rsid w:val="0002652F"/>
    <w:rsid w:val="00044832"/>
    <w:rsid w:val="000B1DF7"/>
    <w:rsid w:val="000D7FB1"/>
    <w:rsid w:val="000E6ACF"/>
    <w:rsid w:val="00116FAC"/>
    <w:rsid w:val="0016733D"/>
    <w:rsid w:val="002812B5"/>
    <w:rsid w:val="00291808"/>
    <w:rsid w:val="002F197D"/>
    <w:rsid w:val="00316487"/>
    <w:rsid w:val="003240FE"/>
    <w:rsid w:val="003622EA"/>
    <w:rsid w:val="003626C6"/>
    <w:rsid w:val="00414D90"/>
    <w:rsid w:val="00422E02"/>
    <w:rsid w:val="00423F43"/>
    <w:rsid w:val="00461024"/>
    <w:rsid w:val="004617A4"/>
    <w:rsid w:val="00491B22"/>
    <w:rsid w:val="004C7F64"/>
    <w:rsid w:val="0051675F"/>
    <w:rsid w:val="0052390C"/>
    <w:rsid w:val="00577F42"/>
    <w:rsid w:val="00587729"/>
    <w:rsid w:val="005D6215"/>
    <w:rsid w:val="005F6473"/>
    <w:rsid w:val="006134F3"/>
    <w:rsid w:val="00653A32"/>
    <w:rsid w:val="00681255"/>
    <w:rsid w:val="00684AD9"/>
    <w:rsid w:val="00690431"/>
    <w:rsid w:val="006B05F6"/>
    <w:rsid w:val="006C536D"/>
    <w:rsid w:val="006D7950"/>
    <w:rsid w:val="007A4769"/>
    <w:rsid w:val="008050FE"/>
    <w:rsid w:val="00841EED"/>
    <w:rsid w:val="0086627C"/>
    <w:rsid w:val="008775A6"/>
    <w:rsid w:val="00893525"/>
    <w:rsid w:val="008D2AB1"/>
    <w:rsid w:val="009612B0"/>
    <w:rsid w:val="0097639B"/>
    <w:rsid w:val="00984ADD"/>
    <w:rsid w:val="009A6982"/>
    <w:rsid w:val="009E53B1"/>
    <w:rsid w:val="00A037E7"/>
    <w:rsid w:val="00A11946"/>
    <w:rsid w:val="00A60227"/>
    <w:rsid w:val="00AB1975"/>
    <w:rsid w:val="00AB6B33"/>
    <w:rsid w:val="00AE2760"/>
    <w:rsid w:val="00AE769B"/>
    <w:rsid w:val="00B82244"/>
    <w:rsid w:val="00BD1EFA"/>
    <w:rsid w:val="00BF0655"/>
    <w:rsid w:val="00C167AB"/>
    <w:rsid w:val="00C22B27"/>
    <w:rsid w:val="00C33889"/>
    <w:rsid w:val="00C760FC"/>
    <w:rsid w:val="00C816A7"/>
    <w:rsid w:val="00CA38E0"/>
    <w:rsid w:val="00D06FD2"/>
    <w:rsid w:val="00D2307B"/>
    <w:rsid w:val="00D319D9"/>
    <w:rsid w:val="00D65B75"/>
    <w:rsid w:val="00DC6F6D"/>
    <w:rsid w:val="00DC7217"/>
    <w:rsid w:val="00E03941"/>
    <w:rsid w:val="00E72C95"/>
    <w:rsid w:val="00E9009E"/>
    <w:rsid w:val="00EB023A"/>
    <w:rsid w:val="00F729F2"/>
    <w:rsid w:val="36435EC2"/>
    <w:rsid w:val="4C43700B"/>
    <w:rsid w:val="4EBD0AFD"/>
    <w:rsid w:val="58FF1F4E"/>
    <w:rsid w:val="60D032A5"/>
    <w:rsid w:val="DFB79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Autospacing="1" w:afterAutospacing="1"/>
      <w:jc w:val="left"/>
    </w:pPr>
    <w:rPr>
      <w:rFonts w:asciiTheme="minorHAnsi" w:hAnsiTheme="minorHAnsi" w:eastAsiaTheme="minorEastAsia"/>
      <w:kern w:val="0"/>
      <w:sz w:val="24"/>
    </w:rPr>
  </w:style>
  <w:style w:type="character" w:customStyle="1" w:styleId="7">
    <w:name w:val="页眉 Char"/>
    <w:basedOn w:val="6"/>
    <w:link w:val="3"/>
    <w:qFormat/>
    <w:uiPriority w:val="0"/>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2419</Words>
  <Characters>2542</Characters>
  <Lines>18</Lines>
  <Paragraphs>5</Paragraphs>
  <TotalTime>0</TotalTime>
  <ScaleCrop>false</ScaleCrop>
  <LinksUpToDate>false</LinksUpToDate>
  <CharactersWithSpaces>2546</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2024-12-16T16:50:06Z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C84645572D0E4F008473D47EA71278CF_13</vt:lpwstr>
  </property>
</Properties>
</file>