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财政局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关于“三公”经费201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9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年决算支出4.95万元，较201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2.63万元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：厉行节约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4.95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210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spacing w:line="600" w:lineRule="exact"/>
        <w:ind w:firstLine="64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 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16.22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5.4万元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eastAsia="仿宋_GB2312"/>
          <w:color w:val="000000"/>
          <w:sz w:val="32"/>
          <w:szCs w:val="32"/>
        </w:rPr>
        <w:t>主要原因是2019年工作任务重，公车使用频率增加。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16.22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用于公务用车公务用车燃油、过路（桥）、维修、保险等方面支出，主要保障办理公务、处理突发事件等公务活动的工作开展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黑水县财政局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16.22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16.22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14850927"/>
    <w:rsid w:val="16AF39FE"/>
    <w:rsid w:val="1D0B2F60"/>
    <w:rsid w:val="3AD334C0"/>
    <w:rsid w:val="4CC46879"/>
    <w:rsid w:val="53151EF4"/>
    <w:rsid w:val="7C4A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3</TotalTime>
  <ScaleCrop>false</ScaleCrop>
  <LinksUpToDate>false</LinksUpToDate>
  <CharactersWithSpaces>529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2020-09-09T00:59:53Z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