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jc w:val="center"/>
        <w:textAlignment w:val="baseline"/>
        <w:rPr>
          <w:rStyle w:val="27"/>
          <w:rFonts w:ascii="方正小标宋_GBK" w:hAnsi="方正小标宋_GBK" w:eastAsia="方正小标宋_GBK" w:cs="方正小标宋_GBK"/>
          <w:w w:val="95"/>
          <w:sz w:val="44"/>
          <w:szCs w:val="44"/>
        </w:rPr>
      </w:pPr>
      <w:r>
        <w:rPr>
          <w:rFonts w:hint="eastAsia" w:ascii="方正小标宋_GBK" w:hAnsi="方正小标宋_GBK" w:eastAsia="方正小标宋_GBK" w:cs="方正小标宋_GBK"/>
          <w:szCs w:val="32"/>
        </w:rPr>
        <w:drawing>
          <wp:anchor distT="0" distB="0" distL="114300" distR="114300" simplePos="0" relativeHeight="251660288" behindDoc="0" locked="0" layoutInCell="1" allowOverlap="1">
            <wp:simplePos x="0" y="0"/>
            <wp:positionH relativeFrom="column">
              <wp:posOffset>41275</wp:posOffset>
            </wp:positionH>
            <wp:positionV relativeFrom="paragraph">
              <wp:posOffset>71120</wp:posOffset>
            </wp:positionV>
            <wp:extent cx="5615940" cy="1407160"/>
            <wp:effectExtent l="19050" t="0" r="3810" b="0"/>
            <wp:wrapTopAndBottom/>
            <wp:docPr id="2" name="图片 2" descr="局文件红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局文件红头"/>
                    <pic:cNvPicPr>
                      <a:picLocks noChangeAspect="1" noChangeArrowheads="1"/>
                    </pic:cNvPicPr>
                  </pic:nvPicPr>
                  <pic:blipFill>
                    <a:blip r:embed="rId6" cstate="print"/>
                    <a:srcRect/>
                    <a:stretch>
                      <a:fillRect/>
                    </a:stretch>
                  </pic:blipFill>
                  <pic:spPr>
                    <a:xfrm>
                      <a:off x="0" y="0"/>
                      <a:ext cx="5615940" cy="1407160"/>
                    </a:xfrm>
                    <a:prstGeom prst="rect">
                      <a:avLst/>
                    </a:prstGeom>
                    <a:noFill/>
                    <a:ln w="9525">
                      <a:noFill/>
                      <a:miter lim="800000"/>
                      <a:headEnd/>
                      <a:tailEnd/>
                    </a:ln>
                  </pic:spPr>
                </pic:pic>
              </a:graphicData>
            </a:graphic>
          </wp:anchor>
        </w:drawing>
      </w:r>
    </w:p>
    <w:p>
      <w:pPr>
        <w:spacing w:line="560" w:lineRule="exact"/>
        <w:ind w:left="640" w:hanging="640" w:hangingChars="200"/>
        <w:jc w:val="center"/>
        <w:rPr>
          <w:rFonts w:ascii="方正小标宋_GBK" w:hAnsi="方正小标宋_GBK" w:eastAsia="方正小标宋_GBK" w:cs="方正小标宋_GBK"/>
          <w:szCs w:val="32"/>
        </w:rPr>
      </w:pPr>
    </w:p>
    <w:p>
      <w:pPr>
        <w:spacing w:line="560" w:lineRule="exact"/>
      </w:pPr>
      <w:r>
        <w:rPr>
          <w:rFonts w:ascii="仿宋_GB2312"/>
          <w:w w:val="95"/>
          <w:sz w:val="66"/>
          <w:szCs w:val="72"/>
        </w:rPr>
        <w:pict>
          <v:line id="直接连接符 3" o:spid="_x0000_s2051" o:spt="20" style="position:absolute;left:0pt;margin-left:8.35pt;margin-top:15.45pt;height:0.95pt;width:435.85pt;z-index:251661312;mso-width-relative:page;mso-height-relative:page;" stroked="t" coordsize="21600,21600" o:gfxdata="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">
            <v:path arrowok="t"/>
            <v:fill focussize="0,0"/>
            <v:stroke weight="2.25pt" color="#FF0000"/>
            <v:imagedata o:title=""/>
            <o:lock v:ext="edit"/>
          </v:line>
        </w:pict>
      </w:r>
    </w:p>
    <w:p>
      <w:pPr>
        <w:spacing w:line="560" w:lineRule="exact"/>
        <w:rPr>
          <w:rFonts w:ascii="方正小标宋_GBK" w:eastAsia="方正小标宋_GBK" w:cs="方正小标宋_GBK"/>
          <w:sz w:val="44"/>
          <w:szCs w:val="44"/>
        </w:rPr>
      </w:pPr>
      <w:r>
        <w:rPr>
          <w:rFonts w:hint="eastAsia" w:ascii="仿宋_GB2312" w:hAnsi="仿宋_GB2312" w:cs="仿宋_GB2312"/>
          <w:szCs w:val="32"/>
        </w:rPr>
        <w:t xml:space="preserve">                          </w:t>
      </w:r>
    </w:p>
    <w:p>
      <w:pPr>
        <w:spacing w:line="560" w:lineRule="exact"/>
        <w:jc w:val="center"/>
        <w:rPr>
          <w:rFonts w:ascii="方正小标宋_GBK" w:eastAsia="方正小标宋_GBK"/>
          <w:sz w:val="44"/>
          <w:szCs w:val="44"/>
        </w:rPr>
      </w:pPr>
      <w:r>
        <w:rPr>
          <w:rFonts w:hint="eastAsia" w:ascii="方正小标宋_GBK" w:eastAsia="方正小标宋_GBK" w:cs="方正小标宋_GBK"/>
          <w:sz w:val="44"/>
          <w:szCs w:val="44"/>
        </w:rPr>
        <w:t>黑水县财政局</w:t>
      </w:r>
    </w:p>
    <w:p>
      <w:pPr>
        <w:spacing w:line="560" w:lineRule="exact"/>
        <w:jc w:val="center"/>
        <w:textAlignment w:val="baseline"/>
        <w:rPr>
          <w:rStyle w:val="27"/>
          <w:rFonts w:ascii="方正小标宋_GBK" w:hAnsi="方正小标宋_GBK" w:eastAsia="方正小标宋_GBK" w:cs="方正小标宋_GBK"/>
          <w:w w:val="95"/>
          <w:sz w:val="44"/>
          <w:szCs w:val="44"/>
        </w:rPr>
      </w:pPr>
      <w:r>
        <w:rPr>
          <w:rStyle w:val="27"/>
          <w:rFonts w:hint="eastAsia" w:ascii="方正小标宋_GBK" w:hAnsi="方正小标宋_GBK" w:eastAsia="方正小标宋_GBK" w:cs="方正小标宋_GBK"/>
          <w:w w:val="95"/>
          <w:sz w:val="44"/>
          <w:szCs w:val="44"/>
        </w:rPr>
        <w:t>2023年部门预算整体支出绩效自评报告</w:t>
      </w:r>
    </w:p>
    <w:p>
      <w:pPr>
        <w:pStyle w:val="2"/>
        <w:spacing w:before="0" w:after="0" w:line="560" w:lineRule="exact"/>
      </w:pPr>
    </w:p>
    <w:p>
      <w:pPr>
        <w:pStyle w:val="12"/>
        <w:shd w:val="clear" w:color="auto" w:fill="FFFFFF"/>
        <w:spacing w:before="0" w:beforeAutospacing="0" w:after="0" w:afterAutospacing="0" w:line="560" w:lineRule="exact"/>
        <w:ind w:firstLine="640" w:firstLineChars="200"/>
        <w:jc w:val="both"/>
        <w:rPr>
          <w:rFonts w:ascii="仿宋_GB2312" w:hAnsi="仿宋" w:eastAsia="仿宋_GB2312" w:cs="宋体"/>
          <w:color w:val="333333"/>
          <w:sz w:val="32"/>
          <w:szCs w:val="32"/>
        </w:rPr>
      </w:pPr>
      <w:r>
        <w:rPr>
          <w:rFonts w:hint="eastAsia" w:ascii="仿宋_GB2312" w:hAnsi="仿宋" w:eastAsia="仿宋_GB2312" w:cs="宋体"/>
          <w:color w:val="333333"/>
          <w:kern w:val="2"/>
          <w:sz w:val="32"/>
          <w:szCs w:val="32"/>
        </w:rPr>
        <w:t>为强化预算绩效管理，提高财政资金使用效益，根据《</w:t>
      </w:r>
      <w:r>
        <w:rPr>
          <w:rFonts w:hint="eastAsia" w:ascii="仿宋_GB2312" w:hAnsi="仿宋" w:eastAsia="仿宋_GB2312" w:cs="宋体"/>
          <w:color w:val="333333"/>
          <w:sz w:val="32"/>
          <w:szCs w:val="32"/>
        </w:rPr>
        <w:t>黑水县财政局关于开展2024年县级部门绩效自评工作的通知</w:t>
      </w:r>
      <w:r>
        <w:rPr>
          <w:rFonts w:hint="eastAsia" w:ascii="仿宋_GB2312" w:hAnsi="仿宋" w:eastAsia="仿宋_GB2312" w:cs="宋体"/>
          <w:color w:val="333333"/>
          <w:kern w:val="2"/>
          <w:sz w:val="32"/>
          <w:szCs w:val="32"/>
        </w:rPr>
        <w:t>》（黑财〔2023〕107号）等文件要求，我局高度重视，对2023年度单位整体支出的管理、使用及绩效目标实现情况等内容开展绩效自评工作。现将评价情况报告以下：</w:t>
      </w:r>
    </w:p>
    <w:p>
      <w:pPr>
        <w:adjustRightInd w:val="0"/>
        <w:snapToGrid w:val="0"/>
        <w:spacing w:line="560" w:lineRule="exact"/>
        <w:ind w:firstLine="642" w:firstLineChars="200"/>
        <w:contextualSpacing/>
        <w:jc w:val="left"/>
        <w:rPr>
          <w:rFonts w:eastAsia="楷体_GB2312"/>
          <w:b/>
          <w:bCs/>
          <w:color w:val="000000"/>
          <w:kern w:val="0"/>
          <w:szCs w:val="32"/>
          <w:shd w:val="clear" w:color="auto" w:fill="FFFFFF"/>
          <w:lang w:val="zh-CN"/>
        </w:rPr>
      </w:pPr>
      <w:r>
        <w:rPr>
          <w:rFonts w:hint="eastAsia" w:eastAsia="楷体_GB2312"/>
          <w:b/>
          <w:bCs/>
          <w:color w:val="000000"/>
          <w:kern w:val="0"/>
          <w:szCs w:val="32"/>
          <w:shd w:val="clear" w:color="auto" w:fill="FFFFFF"/>
          <w:lang w:val="zh-CN"/>
        </w:rPr>
        <w:t>（一）</w:t>
      </w:r>
      <w:r>
        <w:rPr>
          <w:rFonts w:eastAsia="楷体_GB2312"/>
          <w:b/>
          <w:bCs/>
          <w:color w:val="000000"/>
          <w:kern w:val="0"/>
          <w:szCs w:val="32"/>
          <w:shd w:val="clear" w:color="auto" w:fill="FFFFFF"/>
          <w:lang w:val="zh-CN"/>
        </w:rPr>
        <w:t>机构组成。</w:t>
      </w:r>
    </w:p>
    <w:p>
      <w:pPr>
        <w:adjustRightInd w:val="0"/>
        <w:snapToGrid w:val="0"/>
        <w:spacing w:line="560" w:lineRule="exact"/>
        <w:ind w:firstLine="640" w:firstLineChars="200"/>
        <w:contextualSpacing/>
        <w:jc w:val="left"/>
        <w:rPr>
          <w:rFonts w:ascii="仿宋_GB2312" w:hAnsi="仿宋" w:cs="宋体"/>
          <w:color w:val="333333"/>
          <w:szCs w:val="32"/>
        </w:rPr>
      </w:pPr>
      <w:r>
        <w:rPr>
          <w:rFonts w:hint="eastAsia" w:ascii="仿宋_GB2312" w:hAnsi="仿宋" w:cs="宋体"/>
          <w:color w:val="333333"/>
          <w:szCs w:val="32"/>
        </w:rPr>
        <w:t>黑水县财政局属行政机构独立核算一级预算单位，局机关内设办公室等11个股室，分别为：办公室、综合股（行政审批股）、预算股、国库股、资产管理和政府采购监督管理股、经济建设股、行政政法及教育文化股、社会保障股、农业农村股（基层财政股）、自然资源与生态环境股、财政监督与绩效管理股。事业机构4个(参公机构1个)分别为：国库集中支付中心、财政投资评审中心、乡镇财政管理中心、国有资产经营管理中心）。</w:t>
      </w:r>
    </w:p>
    <w:p>
      <w:pPr>
        <w:adjustRightInd w:val="0"/>
        <w:snapToGrid w:val="0"/>
        <w:spacing w:line="560" w:lineRule="exact"/>
        <w:ind w:firstLine="642" w:firstLineChars="200"/>
        <w:contextualSpacing/>
        <w:jc w:val="left"/>
        <w:rPr>
          <w:rFonts w:eastAsia="楷体_GB2312"/>
          <w:b/>
          <w:bCs/>
          <w:color w:val="000000"/>
          <w:kern w:val="0"/>
          <w:szCs w:val="32"/>
          <w:shd w:val="clear" w:color="auto" w:fill="FFFFFF"/>
          <w:lang w:val="zh-CN"/>
        </w:rPr>
      </w:pPr>
      <w:r>
        <w:rPr>
          <w:rFonts w:eastAsia="楷体_GB2312"/>
          <w:b/>
          <w:bCs/>
          <w:color w:val="000000"/>
          <w:kern w:val="0"/>
          <w:szCs w:val="32"/>
          <w:shd w:val="clear" w:color="auto" w:fill="FFFFFF"/>
          <w:lang w:val="zh-CN"/>
        </w:rPr>
        <w:t>（二）机构职能</w:t>
      </w:r>
      <w:r>
        <w:rPr>
          <w:rFonts w:hint="eastAsia" w:eastAsia="楷体_GB2312"/>
          <w:b/>
          <w:bCs/>
          <w:color w:val="000000"/>
          <w:kern w:val="0"/>
          <w:szCs w:val="32"/>
          <w:shd w:val="clear" w:color="auto" w:fill="FFFFFF"/>
          <w:lang w:val="zh-CN"/>
        </w:rPr>
        <w:t>。</w:t>
      </w:r>
    </w:p>
    <w:p>
      <w:pPr>
        <w:spacing w:line="560" w:lineRule="exact"/>
        <w:ind w:firstLine="640" w:firstLineChars="200"/>
        <w:rPr>
          <w:rFonts w:ascii="仿宋_GB2312" w:hAnsi="仿宋_GB2312" w:cs="仿宋_GB2312"/>
          <w:color w:val="000000"/>
          <w:kern w:val="0"/>
          <w:szCs w:val="32"/>
        </w:rPr>
      </w:pPr>
      <w:r>
        <w:rPr>
          <w:rFonts w:hint="eastAsia" w:ascii="仿宋_GB2312" w:hAnsi="仿宋_GB2312" w:cs="仿宋_GB2312"/>
          <w:color w:val="000000"/>
          <w:kern w:val="0"/>
          <w:szCs w:val="32"/>
        </w:rPr>
        <w:t>根据黑编办发〔2019﹞38号文件规定，本部门的主要职责是：</w:t>
      </w:r>
    </w:p>
    <w:p>
      <w:pPr>
        <w:spacing w:line="560" w:lineRule="exact"/>
        <w:ind w:firstLine="640" w:firstLineChars="200"/>
        <w:rPr>
          <w:rFonts w:ascii="仿宋_GB2312" w:hAnsi="仿宋_GB2312" w:cs="仿宋_GB2312"/>
          <w:szCs w:val="32"/>
        </w:rPr>
      </w:pPr>
      <w:r>
        <w:rPr>
          <w:rFonts w:hint="eastAsia" w:ascii="仿宋_GB2312" w:hAnsi="仿宋_GB2312" w:cs="仿宋_GB2312"/>
          <w:color w:val="000000"/>
          <w:kern w:val="0"/>
          <w:szCs w:val="32"/>
        </w:rPr>
        <w:t xml:space="preserve">1、拟订全县财税发展战略、规划、政策和改革方案并组织实施。分析预测宏观经济形势，参与制定宏观经济政策，提出运用财税政策实施宏观调控和综合平衡社会财力的建议。拟定国家与企业的分配政策，完善鼓励公益事业发展的财税政策。 </w:t>
      </w:r>
    </w:p>
    <w:p>
      <w:pPr>
        <w:spacing w:line="560" w:lineRule="exact"/>
        <w:ind w:firstLine="640" w:firstLineChars="200"/>
        <w:rPr>
          <w:rFonts w:ascii="仿宋_GB2312" w:hAnsi="仿宋_GB2312" w:cs="仿宋_GB2312"/>
          <w:szCs w:val="32"/>
        </w:rPr>
      </w:pPr>
      <w:r>
        <w:rPr>
          <w:rFonts w:hint="eastAsia" w:ascii="仿宋_GB2312" w:hAnsi="仿宋_GB2312" w:cs="仿宋_GB2312"/>
          <w:color w:val="000000"/>
          <w:kern w:val="0"/>
          <w:szCs w:val="32"/>
        </w:rPr>
        <w:t xml:space="preserve">2、贯彻执行财政、税收、财务、会计管理的法律法规和规章。按照管理权限管理全县税政事项。 </w:t>
      </w:r>
    </w:p>
    <w:p>
      <w:pPr>
        <w:spacing w:line="560" w:lineRule="exact"/>
        <w:ind w:firstLine="640" w:firstLineChars="200"/>
        <w:rPr>
          <w:rFonts w:ascii="仿宋_GB2312" w:hAnsi="仿宋_GB2312" w:cs="仿宋_GB2312"/>
          <w:szCs w:val="32"/>
        </w:rPr>
      </w:pPr>
      <w:r>
        <w:rPr>
          <w:rFonts w:hint="eastAsia" w:ascii="仿宋_GB2312" w:hAnsi="仿宋_GB2312" w:cs="仿宋_GB2312"/>
          <w:color w:val="000000"/>
          <w:kern w:val="0"/>
          <w:szCs w:val="32"/>
        </w:rPr>
        <w:t xml:space="preserve">3、负责管理各项财政收支。编制年度县级预决算草案并组织执行。组织制定经费开支标准、定额，审核批复部门（单位）年度预决算。受县政府委托，向县人大及其常委会报告财政预算、执行和决算等情况。负责政府投资基金县级财政出资的资产管理。负责县级预决算公开。负责全面实施预算绩效管理。 </w:t>
      </w:r>
    </w:p>
    <w:p>
      <w:pPr>
        <w:spacing w:line="560" w:lineRule="exact"/>
        <w:ind w:firstLine="640" w:firstLineChars="200"/>
        <w:rPr>
          <w:rFonts w:ascii="仿宋_GB2312" w:hAnsi="仿宋_GB2312" w:cs="仿宋_GB2312"/>
          <w:szCs w:val="32"/>
        </w:rPr>
      </w:pPr>
      <w:r>
        <w:rPr>
          <w:rFonts w:hint="eastAsia" w:ascii="仿宋_GB2312" w:hAnsi="仿宋_GB2312" w:cs="仿宋_GB2312"/>
          <w:color w:val="000000"/>
          <w:kern w:val="0"/>
          <w:szCs w:val="32"/>
        </w:rPr>
        <w:t xml:space="preserve">4、按分工负责政府非税收入管理。负责政府性基金管理，按规定管理行政事业性收费等其他非税收入。管理财政票据。制定彩票管理政策和有关办法，监管彩票市场，按规定管理彩票资金。 </w:t>
      </w:r>
    </w:p>
    <w:p>
      <w:pPr>
        <w:spacing w:line="560" w:lineRule="exact"/>
        <w:ind w:firstLine="640" w:firstLineChars="200"/>
        <w:rPr>
          <w:rFonts w:ascii="仿宋_GB2312" w:hAnsi="仿宋_GB2312" w:cs="仿宋_GB2312"/>
          <w:szCs w:val="32"/>
        </w:rPr>
      </w:pPr>
      <w:r>
        <w:rPr>
          <w:rFonts w:hint="eastAsia" w:ascii="仿宋_GB2312" w:hAnsi="仿宋_GB2312" w:cs="仿宋_GB2312"/>
          <w:color w:val="000000"/>
          <w:kern w:val="0"/>
          <w:szCs w:val="32"/>
        </w:rPr>
        <w:t xml:space="preserve">5、组织制定全县国库管理制度、国库集中收付制度，指导和监督国库业务，开展国库现金管理工作。贯彻执行政府财务报告编制办法并组织实施。负责制定政府采购制度并监督管理。 </w:t>
      </w:r>
    </w:p>
    <w:p>
      <w:pPr>
        <w:spacing w:line="560" w:lineRule="exact"/>
        <w:ind w:firstLine="640" w:firstLineChars="200"/>
        <w:rPr>
          <w:rFonts w:ascii="仿宋_GB2312" w:hAnsi="仿宋_GB2312" w:cs="仿宋_GB2312"/>
          <w:szCs w:val="32"/>
        </w:rPr>
      </w:pPr>
      <w:r>
        <w:rPr>
          <w:rFonts w:hint="eastAsia" w:ascii="仿宋_GB2312" w:hAnsi="仿宋_GB2312" w:cs="仿宋_GB2312"/>
          <w:color w:val="000000"/>
          <w:kern w:val="0"/>
          <w:szCs w:val="32"/>
        </w:rPr>
        <w:t xml:space="preserve">6、贯彻执行地方政府债务管理制度和政策，制定具体管理办法，编制地方政府债余额限额计划，统一管理政府外债，防范财政风险。 </w:t>
      </w:r>
    </w:p>
    <w:p>
      <w:pPr>
        <w:spacing w:line="560" w:lineRule="exact"/>
        <w:ind w:firstLine="640" w:firstLineChars="200"/>
        <w:rPr>
          <w:rFonts w:ascii="仿宋_GB2312" w:hAnsi="仿宋_GB2312" w:cs="仿宋_GB2312"/>
          <w:szCs w:val="32"/>
        </w:rPr>
      </w:pPr>
      <w:r>
        <w:rPr>
          <w:rFonts w:hint="eastAsia" w:ascii="仿宋_GB2312" w:hAnsi="仿宋_GB2312" w:cs="仿宋_GB2312"/>
          <w:color w:val="000000"/>
          <w:kern w:val="0"/>
          <w:szCs w:val="32"/>
        </w:rPr>
        <w:t xml:space="preserve">7、牵头编制全县国有资产管理情况报告。根据县政府授权，集中统一履行县级国有金融资本出资人职责。制定县级国有金融资本管理制度。拟订全县行政事业单位国有资产管理制度并组织实施。制定需要全县统一规定的开支标准和支出政策。 </w:t>
      </w:r>
    </w:p>
    <w:p>
      <w:pPr>
        <w:spacing w:line="560" w:lineRule="exact"/>
        <w:ind w:firstLine="640" w:firstLineChars="200"/>
        <w:rPr>
          <w:rFonts w:ascii="仿宋_GB2312" w:hAnsi="仿宋_GB2312" w:cs="仿宋_GB2312"/>
          <w:szCs w:val="32"/>
        </w:rPr>
      </w:pPr>
      <w:r>
        <w:rPr>
          <w:rFonts w:hint="eastAsia" w:ascii="仿宋_GB2312" w:hAnsi="仿宋_GB2312" w:cs="仿宋_GB2312"/>
          <w:color w:val="000000"/>
          <w:kern w:val="0"/>
          <w:szCs w:val="32"/>
        </w:rPr>
        <w:t>8、负责审核并汇总编制全县国有资本经营预决算草案。制定国有资本经营预算制度和办法，收取县本级企业国有资本收益。组织实施企业财务制度，负责财政预算内行政事业单位和社会团体的非贸易外汇和财政预算内的国际收支管理。</w:t>
      </w:r>
    </w:p>
    <w:p>
      <w:pPr>
        <w:spacing w:line="560" w:lineRule="exact"/>
        <w:ind w:firstLine="640" w:firstLineChars="200"/>
        <w:rPr>
          <w:rFonts w:ascii="仿宋_GB2312" w:hAnsi="仿宋_GB2312" w:cs="仿宋_GB2312"/>
          <w:szCs w:val="32"/>
        </w:rPr>
      </w:pPr>
      <w:r>
        <w:rPr>
          <w:rFonts w:hint="eastAsia" w:ascii="仿宋_GB2312" w:hAnsi="仿宋_GB2312" w:cs="仿宋_GB2312"/>
          <w:color w:val="000000"/>
          <w:kern w:val="0"/>
          <w:szCs w:val="32"/>
        </w:rPr>
        <w:t xml:space="preserve">9、负责审核并汇总编制全县社会保险基金预决算草案，会同有关部门拟订有关资金（基金）财务管理制度，承担社会保险基金财政监管工作。 </w:t>
      </w:r>
    </w:p>
    <w:p>
      <w:pPr>
        <w:spacing w:line="560" w:lineRule="exact"/>
        <w:ind w:firstLine="640" w:firstLineChars="200"/>
        <w:rPr>
          <w:rFonts w:ascii="仿宋_GB2312" w:hAnsi="仿宋_GB2312" w:cs="仿宋_GB2312"/>
          <w:szCs w:val="32"/>
        </w:rPr>
      </w:pPr>
      <w:r>
        <w:rPr>
          <w:rFonts w:hint="eastAsia" w:ascii="仿宋_GB2312" w:hAnsi="仿宋_GB2312" w:cs="仿宋_GB2312"/>
          <w:color w:val="000000"/>
          <w:kern w:val="0"/>
          <w:szCs w:val="32"/>
        </w:rPr>
        <w:t xml:space="preserve">10、负责办理和监督县级财政的经济发展支出、县级政府性投资项目的财政拨款，负责投资评审管理工作，参与拟订县级基建投资有关政策，制定基建财务管理制度。 </w:t>
      </w:r>
    </w:p>
    <w:p>
      <w:pPr>
        <w:spacing w:line="560" w:lineRule="exact"/>
        <w:ind w:firstLine="640" w:firstLineChars="200"/>
        <w:rPr>
          <w:rFonts w:ascii="仿宋_GB2312" w:hAnsi="仿宋_GB2312" w:cs="仿宋_GB2312"/>
          <w:szCs w:val="32"/>
        </w:rPr>
      </w:pPr>
      <w:r>
        <w:rPr>
          <w:rFonts w:hint="eastAsia" w:ascii="仿宋_GB2312" w:hAnsi="仿宋_GB2312" w:cs="仿宋_GB2312"/>
          <w:color w:val="000000"/>
          <w:kern w:val="0"/>
          <w:szCs w:val="32"/>
        </w:rPr>
        <w:t xml:space="preserve">11、管理外国政府和国际金融机构贷（赠）款项目的有关业务，参与财经领域的国际交流与合作。 </w:t>
      </w:r>
    </w:p>
    <w:p>
      <w:pPr>
        <w:spacing w:line="560" w:lineRule="exact"/>
        <w:ind w:firstLine="640" w:firstLineChars="200"/>
        <w:rPr>
          <w:rFonts w:ascii="仿宋_GB2312" w:hAnsi="仿宋_GB2312" w:cs="仿宋_GB2312"/>
          <w:szCs w:val="32"/>
        </w:rPr>
      </w:pPr>
      <w:r>
        <w:rPr>
          <w:rFonts w:hint="eastAsia" w:ascii="仿宋_GB2312" w:hAnsi="仿宋_GB2312" w:cs="仿宋_GB2312"/>
          <w:color w:val="000000"/>
          <w:kern w:val="0"/>
          <w:szCs w:val="32"/>
        </w:rPr>
        <w:t xml:space="preserve">12、负责管理全县会计工作，监督和规范会计行为， 组织实施国家统一的会计制度，指导和监督注册会计师和会 计师事务所的业务，指导和管理社会审计。依法管理资产评估有关工作。 </w:t>
      </w:r>
    </w:p>
    <w:p>
      <w:pPr>
        <w:spacing w:line="560" w:lineRule="exact"/>
        <w:ind w:firstLine="640" w:firstLineChars="200"/>
        <w:rPr>
          <w:rFonts w:ascii="仿宋_GB2312" w:hAnsi="仿宋_GB2312" w:cs="仿宋_GB2312"/>
          <w:szCs w:val="32"/>
        </w:rPr>
      </w:pPr>
      <w:r>
        <w:rPr>
          <w:rFonts w:hint="eastAsia" w:ascii="仿宋_GB2312" w:hAnsi="仿宋_GB2312" w:cs="仿宋_GB2312"/>
          <w:color w:val="000000"/>
          <w:kern w:val="0"/>
          <w:szCs w:val="32"/>
        </w:rPr>
        <w:t xml:space="preserve">13、负责职责范围内的安全生产和职业健康、生态环境保护、审批服务便民化等工作。 </w:t>
      </w:r>
    </w:p>
    <w:p>
      <w:pPr>
        <w:pStyle w:val="12"/>
        <w:spacing w:before="0" w:beforeAutospacing="0" w:after="0" w:afterAutospacing="0" w:line="560" w:lineRule="exact"/>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14、完成县委、县政府和州财政局交办的其他任务。</w:t>
      </w:r>
    </w:p>
    <w:p>
      <w:pPr>
        <w:spacing w:line="560" w:lineRule="exact"/>
        <w:ind w:firstLine="640" w:firstLineChars="200"/>
        <w:jc w:val="left"/>
        <w:rPr>
          <w:rFonts w:ascii="仿宋_GB2312" w:hAnsi="宋体"/>
          <w:szCs w:val="32"/>
        </w:rPr>
      </w:pPr>
      <w:r>
        <w:rPr>
          <w:rFonts w:hint="eastAsia" w:ascii="仿宋_GB2312" w:hAnsi="宋体"/>
          <w:szCs w:val="32"/>
        </w:rPr>
        <w:t>15、职能转变。</w:t>
      </w:r>
    </w:p>
    <w:p>
      <w:pPr>
        <w:spacing w:line="560" w:lineRule="exact"/>
        <w:ind w:firstLine="640" w:firstLineChars="200"/>
        <w:jc w:val="left"/>
        <w:rPr>
          <w:rFonts w:ascii="仿宋_GB2312" w:hAnsi="宋体"/>
          <w:szCs w:val="32"/>
        </w:rPr>
      </w:pPr>
      <w:r>
        <w:rPr>
          <w:rFonts w:hint="eastAsia" w:ascii="仿宋_GB2312" w:hAnsi="宋体"/>
          <w:szCs w:val="32"/>
        </w:rPr>
        <w:t>一是完善宏观调控体系。二是深化财税体制改革。三是防范化解地方政府债务风险。</w:t>
      </w:r>
    </w:p>
    <w:p>
      <w:pPr>
        <w:spacing w:line="560" w:lineRule="exact"/>
        <w:ind w:firstLine="642" w:firstLineChars="200"/>
        <w:rPr>
          <w:rFonts w:eastAsia="楷体_GB2312"/>
          <w:b/>
          <w:bCs/>
          <w:color w:val="000000"/>
          <w:kern w:val="0"/>
          <w:szCs w:val="32"/>
          <w:shd w:val="clear" w:color="auto" w:fill="FFFFFF"/>
          <w:lang w:val="zh-CN"/>
        </w:rPr>
      </w:pPr>
      <w:r>
        <w:rPr>
          <w:rFonts w:eastAsia="楷体_GB2312"/>
          <w:b/>
          <w:bCs/>
          <w:color w:val="000000"/>
          <w:kern w:val="0"/>
          <w:szCs w:val="32"/>
          <w:shd w:val="clear" w:color="auto" w:fill="FFFFFF"/>
          <w:lang w:val="zh-CN"/>
        </w:rPr>
        <w:t>（</w:t>
      </w:r>
      <w:r>
        <w:rPr>
          <w:rFonts w:hint="eastAsia" w:eastAsia="楷体_GB2312"/>
          <w:b/>
          <w:bCs/>
          <w:color w:val="000000"/>
          <w:kern w:val="0"/>
          <w:szCs w:val="32"/>
          <w:shd w:val="clear" w:color="auto" w:fill="FFFFFF"/>
          <w:lang w:val="zh-CN"/>
        </w:rPr>
        <w:t>三</w:t>
      </w:r>
      <w:r>
        <w:rPr>
          <w:rFonts w:eastAsia="楷体_GB2312"/>
          <w:b/>
          <w:bCs/>
          <w:color w:val="000000"/>
          <w:kern w:val="0"/>
          <w:szCs w:val="32"/>
          <w:shd w:val="clear" w:color="auto" w:fill="FFFFFF"/>
          <w:lang w:val="zh-CN"/>
        </w:rPr>
        <w:t>）人员概况</w:t>
      </w:r>
      <w:r>
        <w:rPr>
          <w:rFonts w:hint="eastAsia" w:eastAsia="楷体_GB2312"/>
          <w:b/>
          <w:bCs/>
          <w:color w:val="000000"/>
          <w:kern w:val="0"/>
          <w:szCs w:val="32"/>
          <w:shd w:val="clear" w:color="auto" w:fill="FFFFFF"/>
          <w:lang w:val="zh-CN"/>
        </w:rPr>
        <w:t>。</w:t>
      </w:r>
    </w:p>
    <w:p>
      <w:pPr>
        <w:spacing w:line="560" w:lineRule="exact"/>
        <w:ind w:firstLine="640" w:firstLineChars="200"/>
        <w:rPr>
          <w:rFonts w:ascii="仿宋_GB2312" w:hAnsi="仿宋" w:cs="宋体"/>
          <w:color w:val="333333"/>
          <w:szCs w:val="32"/>
        </w:rPr>
      </w:pPr>
      <w:r>
        <w:rPr>
          <w:szCs w:val="32"/>
        </w:rPr>
        <w:t>截至202</w:t>
      </w:r>
      <w:r>
        <w:rPr>
          <w:rFonts w:hint="eastAsia"/>
          <w:szCs w:val="32"/>
        </w:rPr>
        <w:t>3</w:t>
      </w:r>
      <w:r>
        <w:rPr>
          <w:szCs w:val="32"/>
        </w:rPr>
        <w:t>年末，</w:t>
      </w:r>
      <w:r>
        <w:rPr>
          <w:rFonts w:hint="eastAsia" w:ascii="仿宋_GB2312" w:hAnsi="仿宋" w:cs="宋体"/>
          <w:color w:val="333333"/>
          <w:szCs w:val="32"/>
        </w:rPr>
        <w:t>黑水县财政局属行政机构一级预算单位。总编制32名，其中：行政编制15名，参公编制13人，行政工勤4名；在职人员总数28人，其中：行政人员12人、参公人员12人、行政工勤4人。</w:t>
      </w:r>
    </w:p>
    <w:p>
      <w:pPr>
        <w:spacing w:line="560" w:lineRule="exact"/>
        <w:ind w:firstLine="640" w:firstLineChars="200"/>
        <w:rPr>
          <w:rFonts w:eastAsia="黑体"/>
          <w:color w:val="000000"/>
          <w:kern w:val="0"/>
          <w:szCs w:val="32"/>
          <w:shd w:val="clear" w:color="auto" w:fill="FFFFFF"/>
        </w:rPr>
      </w:pPr>
      <w:r>
        <w:rPr>
          <w:rFonts w:eastAsia="黑体"/>
          <w:color w:val="000000"/>
          <w:kern w:val="0"/>
          <w:szCs w:val="32"/>
          <w:shd w:val="clear" w:color="auto" w:fill="FFFFFF"/>
        </w:rPr>
        <w:t>二、部门资金收支情况</w:t>
      </w:r>
    </w:p>
    <w:p>
      <w:pPr>
        <w:adjustRightInd w:val="0"/>
        <w:snapToGrid w:val="0"/>
        <w:spacing w:line="560" w:lineRule="exact"/>
        <w:ind w:firstLine="642" w:firstLineChars="200"/>
        <w:contextualSpacing/>
        <w:jc w:val="left"/>
        <w:rPr>
          <w:rFonts w:eastAsia="楷体_GB2312"/>
          <w:b/>
          <w:bCs/>
          <w:color w:val="000000"/>
          <w:kern w:val="0"/>
          <w:szCs w:val="32"/>
          <w:shd w:val="clear" w:color="auto" w:fill="FFFFFF"/>
          <w:lang w:val="zh-CN"/>
        </w:rPr>
      </w:pPr>
      <w:r>
        <w:rPr>
          <w:rFonts w:eastAsia="楷体_GB2312"/>
          <w:b/>
          <w:bCs/>
          <w:color w:val="000000"/>
          <w:kern w:val="0"/>
          <w:szCs w:val="32"/>
          <w:shd w:val="clear" w:color="auto" w:fill="FFFFFF"/>
          <w:lang w:val="zh-CN"/>
        </w:rPr>
        <w:t>（一）</w:t>
      </w:r>
      <w:r>
        <w:rPr>
          <w:rFonts w:hint="eastAsia" w:eastAsia="楷体_GB2312"/>
          <w:b/>
          <w:bCs/>
          <w:color w:val="000000"/>
          <w:kern w:val="0"/>
          <w:szCs w:val="32"/>
          <w:shd w:val="clear" w:color="auto" w:fill="FFFFFF"/>
          <w:lang w:val="zh-CN"/>
        </w:rPr>
        <w:t>收入情况</w:t>
      </w:r>
      <w:r>
        <w:rPr>
          <w:rFonts w:eastAsia="楷体_GB2312"/>
          <w:b/>
          <w:bCs/>
          <w:color w:val="000000"/>
          <w:kern w:val="0"/>
          <w:szCs w:val="32"/>
          <w:shd w:val="clear" w:color="auto" w:fill="FFFFFF"/>
          <w:lang w:val="zh-CN"/>
        </w:rPr>
        <w:t>。</w:t>
      </w:r>
    </w:p>
    <w:p>
      <w:pPr>
        <w:adjustRightInd w:val="0"/>
        <w:snapToGrid w:val="0"/>
        <w:spacing w:line="560" w:lineRule="exact"/>
        <w:ind w:firstLine="640" w:firstLineChars="200"/>
        <w:contextualSpacing/>
        <w:jc w:val="left"/>
        <w:rPr>
          <w:rFonts w:ascii="楷体_GB2312" w:hAnsi="楷体_GB2312" w:eastAsia="楷体_GB2312" w:cs="楷体_GB2312"/>
          <w:color w:val="000000"/>
          <w:kern w:val="0"/>
          <w:szCs w:val="32"/>
          <w:shd w:val="clear" w:color="auto" w:fill="FFFFFF"/>
          <w:lang w:val="zh-CN"/>
        </w:rPr>
      </w:pPr>
      <w:r>
        <w:rPr>
          <w:rFonts w:hint="eastAsia" w:ascii="楷体_GB2312" w:hAnsi="楷体_GB2312" w:eastAsia="楷体_GB2312" w:cs="楷体_GB2312"/>
          <w:color w:val="000000"/>
          <w:kern w:val="0"/>
          <w:szCs w:val="32"/>
          <w:shd w:val="clear" w:color="auto" w:fill="FFFFFF"/>
        </w:rPr>
        <w:t>1.</w:t>
      </w:r>
      <w:r>
        <w:rPr>
          <w:rFonts w:hint="eastAsia" w:ascii="楷体_GB2312" w:hAnsi="楷体_GB2312" w:eastAsia="楷体_GB2312" w:cs="楷体_GB2312"/>
          <w:color w:val="000000"/>
          <w:kern w:val="0"/>
          <w:szCs w:val="32"/>
          <w:shd w:val="clear" w:color="auto" w:fill="FFFFFF"/>
          <w:lang w:val="zh-CN"/>
        </w:rPr>
        <w:t xml:space="preserve"> 2023年年初预算收入情况。</w:t>
      </w:r>
    </w:p>
    <w:p>
      <w:pPr>
        <w:adjustRightInd w:val="0"/>
        <w:snapToGrid w:val="0"/>
        <w:spacing w:line="560" w:lineRule="exact"/>
        <w:ind w:firstLine="640" w:firstLineChars="200"/>
        <w:contextualSpacing/>
        <w:jc w:val="left"/>
        <w:rPr>
          <w:rFonts w:ascii="仿宋_GB2312" w:hAnsi="仿宋_GB2312" w:cs="仿宋_GB2312"/>
          <w:color w:val="000000"/>
          <w:kern w:val="0"/>
          <w:szCs w:val="32"/>
        </w:rPr>
      </w:pPr>
      <w:r>
        <w:rPr>
          <w:rFonts w:hint="eastAsia" w:ascii="仿宋_GB2312" w:hAnsi="仿宋_GB2312" w:cs="仿宋_GB2312"/>
          <w:color w:val="000000"/>
          <w:kern w:val="0"/>
          <w:szCs w:val="32"/>
        </w:rPr>
        <w:t>根据《黑水县财政局关于批复2023年度部门预算的通知》（黑财</w:t>
      </w:r>
      <w:r>
        <w:rPr>
          <w:rFonts w:hint="eastAsia" w:ascii="宋体" w:hAnsi="宋体" w:eastAsia="宋体" w:cs="仿宋_GB2312"/>
          <w:color w:val="000000"/>
          <w:kern w:val="0"/>
          <w:szCs w:val="32"/>
        </w:rPr>
        <w:t>〔2023〕5号</w:t>
      </w:r>
      <w:r>
        <w:rPr>
          <w:rFonts w:hint="eastAsia" w:ascii="仿宋_GB2312" w:hAnsi="仿宋_GB2312" w:cs="仿宋_GB2312"/>
          <w:color w:val="000000"/>
          <w:kern w:val="0"/>
          <w:szCs w:val="32"/>
        </w:rPr>
        <w:t>）文件，我局2023年年初预算收入612.23万元，全部为一般公共预算财政拨款收入，占总预算100%。</w:t>
      </w:r>
    </w:p>
    <w:p>
      <w:pPr>
        <w:adjustRightInd w:val="0"/>
        <w:snapToGrid w:val="0"/>
        <w:spacing w:line="560" w:lineRule="exact"/>
        <w:ind w:firstLine="800" w:firstLineChars="250"/>
        <w:contextualSpacing/>
        <w:jc w:val="left"/>
        <w:rPr>
          <w:rFonts w:ascii="楷体_GB2312" w:hAnsi="楷体_GB2312" w:eastAsia="楷体_GB2312" w:cs="楷体_GB2312"/>
          <w:color w:val="000000"/>
          <w:kern w:val="0"/>
          <w:szCs w:val="32"/>
          <w:shd w:val="clear" w:color="auto" w:fill="FFFFFF"/>
          <w:lang w:val="zh-CN"/>
        </w:rPr>
      </w:pPr>
      <w:r>
        <w:rPr>
          <w:rFonts w:hint="eastAsia" w:ascii="楷体_GB2312" w:hAnsi="楷体_GB2312" w:eastAsia="楷体_GB2312" w:cs="楷体_GB2312"/>
          <w:color w:val="000000"/>
          <w:kern w:val="0"/>
          <w:szCs w:val="32"/>
          <w:shd w:val="clear" w:color="auto" w:fill="FFFFFF"/>
          <w:lang w:val="zh-CN"/>
        </w:rPr>
        <w:t>2.决算报表收入情况。</w:t>
      </w:r>
    </w:p>
    <w:p>
      <w:pPr>
        <w:adjustRightInd w:val="0"/>
        <w:snapToGrid w:val="0"/>
        <w:spacing w:line="560" w:lineRule="exact"/>
        <w:ind w:firstLine="800" w:firstLineChars="250"/>
        <w:contextualSpacing/>
        <w:jc w:val="left"/>
        <w:rPr>
          <w:rFonts w:ascii="仿宋_GB2312" w:hAnsi="宋体" w:cs="仿宋_GB2312"/>
          <w:color w:val="000000"/>
          <w:kern w:val="0"/>
          <w:szCs w:val="32"/>
        </w:rPr>
      </w:pPr>
      <w:r>
        <w:rPr>
          <w:rFonts w:hint="eastAsia" w:ascii="仿宋_GB2312" w:hAnsi="宋体" w:cs="仿宋_GB2312"/>
          <w:color w:val="000000"/>
          <w:kern w:val="0"/>
          <w:szCs w:val="32"/>
        </w:rPr>
        <w:t>黑水县财政局2023年决算报表收入959.57万元，全部为一般公共预算财政拨款收入。</w:t>
      </w:r>
    </w:p>
    <w:p>
      <w:pPr>
        <w:adjustRightInd w:val="0"/>
        <w:snapToGrid w:val="0"/>
        <w:spacing w:line="560" w:lineRule="exact"/>
        <w:ind w:firstLine="642" w:firstLineChars="200"/>
        <w:contextualSpacing/>
        <w:jc w:val="left"/>
        <w:rPr>
          <w:rFonts w:eastAsia="楷体_GB2312"/>
          <w:b/>
          <w:bCs/>
          <w:color w:val="000000"/>
          <w:kern w:val="0"/>
          <w:szCs w:val="32"/>
          <w:shd w:val="clear" w:color="auto" w:fill="FFFFFF"/>
          <w:lang w:val="zh-CN"/>
        </w:rPr>
      </w:pPr>
      <w:r>
        <w:rPr>
          <w:rFonts w:eastAsia="楷体_GB2312"/>
          <w:b/>
          <w:bCs/>
          <w:color w:val="000000"/>
          <w:kern w:val="0"/>
          <w:szCs w:val="32"/>
          <w:shd w:val="clear" w:color="auto" w:fill="FFFFFF"/>
          <w:lang w:val="zh-CN"/>
        </w:rPr>
        <w:t>（</w:t>
      </w:r>
      <w:r>
        <w:rPr>
          <w:rFonts w:hint="eastAsia" w:eastAsia="楷体_GB2312"/>
          <w:b/>
          <w:bCs/>
          <w:color w:val="000000"/>
          <w:kern w:val="0"/>
          <w:szCs w:val="32"/>
          <w:shd w:val="clear" w:color="auto" w:fill="FFFFFF"/>
          <w:lang w:val="zh-CN"/>
        </w:rPr>
        <w:t>二</w:t>
      </w:r>
      <w:r>
        <w:rPr>
          <w:rFonts w:eastAsia="楷体_GB2312"/>
          <w:b/>
          <w:bCs/>
          <w:color w:val="000000"/>
          <w:kern w:val="0"/>
          <w:szCs w:val="32"/>
          <w:shd w:val="clear" w:color="auto" w:fill="FFFFFF"/>
          <w:lang w:val="zh-CN"/>
        </w:rPr>
        <w:t>）</w:t>
      </w:r>
      <w:r>
        <w:rPr>
          <w:rFonts w:hint="eastAsia" w:eastAsia="楷体_GB2312"/>
          <w:b/>
          <w:bCs/>
          <w:color w:val="000000"/>
          <w:kern w:val="0"/>
          <w:szCs w:val="32"/>
          <w:shd w:val="clear" w:color="auto" w:fill="FFFFFF"/>
          <w:lang w:val="zh-CN"/>
        </w:rPr>
        <w:t>支出情况</w:t>
      </w:r>
      <w:r>
        <w:rPr>
          <w:rFonts w:eastAsia="楷体_GB2312"/>
          <w:b/>
          <w:bCs/>
          <w:color w:val="000000"/>
          <w:kern w:val="0"/>
          <w:szCs w:val="32"/>
          <w:shd w:val="clear" w:color="auto" w:fill="FFFFFF"/>
          <w:lang w:val="zh-CN"/>
        </w:rPr>
        <w:t>。</w:t>
      </w:r>
    </w:p>
    <w:p>
      <w:pPr>
        <w:adjustRightInd w:val="0"/>
        <w:snapToGrid w:val="0"/>
        <w:spacing w:line="560" w:lineRule="exact"/>
        <w:ind w:firstLine="640" w:firstLineChars="200"/>
        <w:contextualSpacing/>
        <w:jc w:val="left"/>
        <w:rPr>
          <w:rFonts w:ascii="楷体_GB2312" w:hAnsi="楷体_GB2312" w:eastAsia="楷体_GB2312" w:cs="楷体_GB2312"/>
          <w:color w:val="000000"/>
          <w:kern w:val="0"/>
          <w:szCs w:val="32"/>
          <w:shd w:val="clear" w:color="auto" w:fill="FFFFFF"/>
        </w:rPr>
      </w:pPr>
      <w:r>
        <w:rPr>
          <w:rFonts w:hint="eastAsia" w:ascii="楷体_GB2312" w:hAnsi="楷体_GB2312" w:eastAsia="楷体_GB2312" w:cs="楷体_GB2312"/>
          <w:color w:val="000000"/>
          <w:kern w:val="0"/>
          <w:szCs w:val="32"/>
          <w:shd w:val="clear" w:color="auto" w:fill="FFFFFF"/>
        </w:rPr>
        <w:t>1. 2023年年初预算支出情况。</w:t>
      </w:r>
    </w:p>
    <w:p>
      <w:pPr>
        <w:adjustRightInd w:val="0"/>
        <w:snapToGrid w:val="0"/>
        <w:spacing w:line="560" w:lineRule="exact"/>
        <w:ind w:firstLine="640" w:firstLineChars="200"/>
        <w:contextualSpacing/>
        <w:jc w:val="left"/>
        <w:rPr>
          <w:rFonts w:ascii="仿宋_GB2312" w:hAnsi="仿宋_GB2312" w:cs="仿宋_GB2312"/>
          <w:color w:val="000000"/>
          <w:kern w:val="0"/>
          <w:szCs w:val="32"/>
        </w:rPr>
      </w:pPr>
      <w:r>
        <w:rPr>
          <w:rFonts w:hint="eastAsia" w:ascii="仿宋_GB2312" w:hAnsi="仿宋_GB2312" w:cs="仿宋_GB2312"/>
          <w:color w:val="000000"/>
          <w:kern w:val="0"/>
          <w:szCs w:val="32"/>
        </w:rPr>
        <w:t>根据《黑水县财政局关于批复2023年度部门预算的通知》（黑财</w:t>
      </w:r>
      <w:r>
        <w:rPr>
          <w:rFonts w:hint="eastAsia" w:ascii="宋体" w:hAnsi="宋体" w:eastAsia="宋体" w:cs="仿宋_GB2312"/>
          <w:color w:val="000000"/>
          <w:kern w:val="0"/>
          <w:szCs w:val="32"/>
        </w:rPr>
        <w:t>〔2023〕5号</w:t>
      </w:r>
      <w:r>
        <w:rPr>
          <w:rFonts w:hint="eastAsia" w:ascii="仿宋_GB2312" w:hAnsi="仿宋_GB2312" w:cs="仿宋_GB2312"/>
          <w:color w:val="000000"/>
          <w:kern w:val="0"/>
          <w:szCs w:val="32"/>
        </w:rPr>
        <w:t>）文件，我局2023年年初预算支出612.23万元。</w:t>
      </w:r>
    </w:p>
    <w:p>
      <w:pPr>
        <w:adjustRightInd w:val="0"/>
        <w:snapToGrid w:val="0"/>
        <w:spacing w:line="560" w:lineRule="exact"/>
        <w:ind w:firstLine="640" w:firstLineChars="200"/>
        <w:contextualSpacing/>
        <w:jc w:val="left"/>
        <w:rPr>
          <w:rFonts w:ascii="仿宋_GB2312" w:hAnsi="仿宋_GB2312" w:cs="仿宋_GB2312"/>
          <w:color w:val="000000"/>
          <w:kern w:val="0"/>
          <w:szCs w:val="32"/>
        </w:rPr>
      </w:pPr>
      <w:r>
        <w:rPr>
          <w:rFonts w:hint="eastAsia" w:ascii="仿宋_GB2312" w:hAnsi="仿宋_GB2312" w:cs="仿宋_GB2312"/>
          <w:color w:val="000000"/>
          <w:kern w:val="0"/>
          <w:szCs w:val="32"/>
        </w:rPr>
        <w:t>按支出性质分：基本支出513.15万元，占总预算的83.82%；项目支出99.08万元，占总预算的16.18%。</w:t>
      </w:r>
    </w:p>
    <w:p>
      <w:pPr>
        <w:adjustRightInd w:val="0"/>
        <w:snapToGrid w:val="0"/>
        <w:spacing w:line="560" w:lineRule="exact"/>
        <w:ind w:firstLine="640" w:firstLineChars="200"/>
        <w:contextualSpacing/>
        <w:jc w:val="left"/>
        <w:rPr>
          <w:rFonts w:ascii="仿宋_GB2312" w:hAnsi="仿宋_GB2312" w:cs="仿宋_GB2312"/>
          <w:color w:val="000000"/>
          <w:kern w:val="0"/>
          <w:szCs w:val="32"/>
        </w:rPr>
      </w:pPr>
      <w:r>
        <w:rPr>
          <w:rFonts w:hint="eastAsia" w:ascii="仿宋_GB2312" w:hAnsi="仿宋_GB2312" w:cs="仿宋_GB2312"/>
          <w:color w:val="000000"/>
          <w:kern w:val="0"/>
          <w:szCs w:val="32"/>
        </w:rPr>
        <w:t>按支出功能分：</w:t>
      </w:r>
      <w:r>
        <w:rPr>
          <w:rFonts w:ascii="仿宋_GB2312" w:hAnsi="仿宋_GB2312" w:cs="仿宋_GB2312"/>
          <w:color w:val="000000"/>
          <w:kern w:val="0"/>
          <w:szCs w:val="32"/>
        </w:rPr>
        <w:t>一般公共服务支出</w:t>
      </w:r>
      <w:r>
        <w:rPr>
          <w:rFonts w:hint="eastAsia" w:ascii="仿宋_GB2312" w:hAnsi="仿宋_GB2312" w:cs="仿宋_GB2312"/>
          <w:color w:val="000000"/>
          <w:kern w:val="0"/>
          <w:szCs w:val="32"/>
        </w:rPr>
        <w:t>448.5万元、</w:t>
      </w:r>
      <w:r>
        <w:rPr>
          <w:rFonts w:ascii="仿宋_GB2312" w:hAnsi="仿宋_GB2312" w:cs="仿宋_GB2312"/>
          <w:color w:val="000000"/>
          <w:kern w:val="0"/>
          <w:szCs w:val="32"/>
        </w:rPr>
        <w:t>社会保障和就业支出</w:t>
      </w:r>
      <w:r>
        <w:rPr>
          <w:rFonts w:hint="eastAsia" w:ascii="仿宋_GB2312" w:hAnsi="仿宋_GB2312" w:cs="仿宋_GB2312"/>
          <w:color w:val="000000"/>
          <w:kern w:val="0"/>
          <w:szCs w:val="32"/>
        </w:rPr>
        <w:t>85.57万元、</w:t>
      </w:r>
      <w:r>
        <w:rPr>
          <w:rFonts w:ascii="仿宋_GB2312" w:hAnsi="仿宋_GB2312" w:cs="仿宋_GB2312"/>
          <w:color w:val="000000"/>
          <w:kern w:val="0"/>
          <w:szCs w:val="32"/>
        </w:rPr>
        <w:t>卫生健康支出</w:t>
      </w:r>
      <w:r>
        <w:rPr>
          <w:rFonts w:hint="eastAsia" w:ascii="仿宋_GB2312" w:hAnsi="仿宋_GB2312" w:cs="仿宋_GB2312"/>
          <w:color w:val="000000"/>
          <w:kern w:val="0"/>
          <w:szCs w:val="32"/>
        </w:rPr>
        <w:t>35.38万元、</w:t>
      </w:r>
      <w:r>
        <w:rPr>
          <w:rFonts w:ascii="仿宋_GB2312" w:hAnsi="仿宋_GB2312" w:cs="仿宋_GB2312"/>
          <w:color w:val="000000"/>
          <w:kern w:val="0"/>
          <w:szCs w:val="32"/>
        </w:rPr>
        <w:t>住房保障支出</w:t>
      </w:r>
      <w:r>
        <w:rPr>
          <w:rFonts w:hint="eastAsia" w:ascii="仿宋_GB2312" w:hAnsi="仿宋_GB2312" w:cs="仿宋_GB2312"/>
          <w:color w:val="000000"/>
          <w:kern w:val="0"/>
          <w:szCs w:val="32"/>
        </w:rPr>
        <w:t>42.78万元。</w:t>
      </w:r>
    </w:p>
    <w:p>
      <w:pPr>
        <w:adjustRightInd w:val="0"/>
        <w:snapToGrid w:val="0"/>
        <w:spacing w:line="560" w:lineRule="exact"/>
        <w:ind w:firstLine="640" w:firstLineChars="200"/>
        <w:contextualSpacing/>
        <w:jc w:val="left"/>
        <w:rPr>
          <w:rFonts w:ascii="楷体_GB2312" w:hAnsi="楷体_GB2312" w:eastAsia="楷体_GB2312" w:cs="楷体_GB2312"/>
          <w:color w:val="000000"/>
          <w:kern w:val="0"/>
          <w:szCs w:val="32"/>
          <w:shd w:val="clear" w:color="auto" w:fill="FFFFFF"/>
        </w:rPr>
      </w:pPr>
      <w:r>
        <w:rPr>
          <w:rFonts w:hint="eastAsia" w:ascii="楷体_GB2312" w:hAnsi="楷体_GB2312" w:eastAsia="楷体_GB2312" w:cs="楷体_GB2312"/>
          <w:color w:val="000000"/>
          <w:kern w:val="0"/>
          <w:szCs w:val="32"/>
          <w:shd w:val="clear" w:color="auto" w:fill="FFFFFF"/>
        </w:rPr>
        <w:t>2.决算报表支出情况。</w:t>
      </w:r>
    </w:p>
    <w:p>
      <w:pPr>
        <w:adjustRightInd w:val="0"/>
        <w:snapToGrid w:val="0"/>
        <w:spacing w:line="560" w:lineRule="exact"/>
        <w:ind w:firstLine="640" w:firstLineChars="200"/>
        <w:contextualSpacing/>
        <w:jc w:val="left"/>
        <w:rPr>
          <w:rFonts w:ascii="仿宋_GB2312" w:hAnsi="仿宋_GB2312" w:cs="仿宋_GB2312"/>
          <w:color w:val="000000"/>
          <w:kern w:val="0"/>
          <w:szCs w:val="32"/>
        </w:rPr>
      </w:pPr>
      <w:r>
        <w:rPr>
          <w:rFonts w:hint="eastAsia" w:ascii="仿宋_GB2312" w:hAnsi="仿宋_GB2312" w:cs="仿宋_GB2312"/>
          <w:color w:val="000000"/>
          <w:kern w:val="0"/>
          <w:szCs w:val="32"/>
        </w:rPr>
        <w:t>黑水县财政局2023年决算报表支出959.57万元。</w:t>
      </w:r>
    </w:p>
    <w:p>
      <w:pPr>
        <w:adjustRightInd w:val="0"/>
        <w:snapToGrid w:val="0"/>
        <w:spacing w:line="560" w:lineRule="exact"/>
        <w:ind w:firstLine="640" w:firstLineChars="200"/>
        <w:contextualSpacing/>
        <w:jc w:val="left"/>
        <w:rPr>
          <w:rFonts w:ascii="仿宋_GB2312" w:hAnsi="仿宋_GB2312" w:cs="仿宋_GB2312"/>
          <w:color w:val="000000"/>
          <w:kern w:val="0"/>
          <w:szCs w:val="32"/>
        </w:rPr>
      </w:pPr>
      <w:r>
        <w:rPr>
          <w:rFonts w:hint="eastAsia" w:ascii="仿宋_GB2312" w:hAnsi="仿宋_GB2312" w:cs="仿宋_GB2312"/>
          <w:color w:val="000000"/>
          <w:kern w:val="0"/>
          <w:szCs w:val="32"/>
        </w:rPr>
        <w:t>按支出性质分：基本支出692.29万元，占总支出的72.15%；项目支出267.27万元，占总支出的27.85%。</w:t>
      </w:r>
    </w:p>
    <w:p>
      <w:pPr>
        <w:adjustRightInd w:val="0"/>
        <w:snapToGrid w:val="0"/>
        <w:spacing w:line="560" w:lineRule="exact"/>
        <w:ind w:firstLine="640" w:firstLineChars="200"/>
        <w:contextualSpacing/>
        <w:jc w:val="left"/>
        <w:rPr>
          <w:rFonts w:ascii="仿宋_GB2312" w:hAnsi="仿宋_GB2312" w:cs="仿宋_GB2312"/>
          <w:color w:val="000000"/>
          <w:kern w:val="0"/>
          <w:szCs w:val="32"/>
        </w:rPr>
      </w:pPr>
      <w:r>
        <w:rPr>
          <w:rFonts w:hint="eastAsia" w:ascii="仿宋_GB2312" w:hAnsi="仿宋_GB2312" w:cs="仿宋_GB2312"/>
          <w:color w:val="000000"/>
          <w:kern w:val="0"/>
          <w:szCs w:val="32"/>
        </w:rPr>
        <w:t>按支出功能分：</w:t>
      </w:r>
      <w:r>
        <w:rPr>
          <w:rFonts w:ascii="仿宋_GB2312" w:hAnsi="仿宋_GB2312" w:cs="仿宋_GB2312"/>
          <w:color w:val="000000"/>
          <w:kern w:val="0"/>
          <w:szCs w:val="32"/>
        </w:rPr>
        <w:t>一般公共服务支出</w:t>
      </w:r>
      <w:r>
        <w:rPr>
          <w:rFonts w:hint="eastAsia" w:ascii="仿宋_GB2312" w:hAnsi="仿宋_GB2312" w:cs="仿宋_GB2312"/>
          <w:color w:val="000000"/>
          <w:kern w:val="0"/>
          <w:szCs w:val="32"/>
        </w:rPr>
        <w:t>757.68万元，占总支出的78.96%；</w:t>
      </w:r>
      <w:r>
        <w:rPr>
          <w:rFonts w:ascii="仿宋_GB2312" w:hAnsi="仿宋_GB2312" w:cs="仿宋_GB2312"/>
          <w:color w:val="000000"/>
          <w:kern w:val="0"/>
          <w:szCs w:val="32"/>
        </w:rPr>
        <w:t>社会保障和就业支出</w:t>
      </w:r>
      <w:r>
        <w:rPr>
          <w:rFonts w:hint="eastAsia" w:ascii="仿宋_GB2312" w:hAnsi="仿宋_GB2312" w:cs="仿宋_GB2312"/>
          <w:color w:val="000000"/>
          <w:kern w:val="0"/>
          <w:szCs w:val="32"/>
        </w:rPr>
        <w:t>83.06万元，占总支出的8.66%；</w:t>
      </w:r>
      <w:r>
        <w:rPr>
          <w:rFonts w:ascii="仿宋_GB2312" w:hAnsi="仿宋_GB2312" w:cs="仿宋_GB2312"/>
          <w:color w:val="000000"/>
          <w:kern w:val="0"/>
          <w:szCs w:val="32"/>
        </w:rPr>
        <w:t>卫生健康支出</w:t>
      </w:r>
      <w:r>
        <w:rPr>
          <w:rFonts w:hint="eastAsia" w:ascii="仿宋_GB2312" w:hAnsi="仿宋_GB2312" w:cs="仿宋_GB2312"/>
          <w:color w:val="000000"/>
          <w:kern w:val="0"/>
          <w:szCs w:val="32"/>
        </w:rPr>
        <w:t>38.47万元，占总支出的4%；</w:t>
      </w:r>
      <w:r>
        <w:t>农林水支</w:t>
      </w:r>
      <w:r>
        <w:rPr>
          <w:rFonts w:ascii="仿宋_GB2312" w:hAnsi="仿宋_GB2312" w:cs="仿宋_GB2312"/>
          <w:color w:val="000000"/>
          <w:kern w:val="0"/>
          <w:szCs w:val="32"/>
        </w:rPr>
        <w:t>出</w:t>
      </w:r>
      <w:r>
        <w:rPr>
          <w:rFonts w:hint="eastAsia" w:ascii="仿宋_GB2312" w:hAnsi="仿宋_GB2312" w:cs="仿宋_GB2312"/>
          <w:color w:val="000000"/>
          <w:kern w:val="0"/>
          <w:szCs w:val="32"/>
        </w:rPr>
        <w:t>35.4万</w:t>
      </w:r>
      <w:r>
        <w:rPr>
          <w:rFonts w:hint="eastAsia"/>
        </w:rPr>
        <w:t>元，</w:t>
      </w:r>
      <w:r>
        <w:rPr>
          <w:rFonts w:hint="eastAsia" w:ascii="仿宋_GB2312" w:hAnsi="仿宋_GB2312" w:cs="仿宋_GB2312"/>
          <w:color w:val="000000"/>
          <w:kern w:val="0"/>
          <w:szCs w:val="32"/>
        </w:rPr>
        <w:t>占总支出的3.69%；</w:t>
      </w:r>
      <w:r>
        <w:rPr>
          <w:rFonts w:ascii="仿宋_GB2312" w:hAnsi="仿宋_GB2312" w:cs="仿宋_GB2312"/>
          <w:color w:val="000000"/>
          <w:kern w:val="0"/>
          <w:szCs w:val="32"/>
        </w:rPr>
        <w:t>住房保障支出</w:t>
      </w:r>
      <w:r>
        <w:rPr>
          <w:rFonts w:hint="eastAsia" w:ascii="仿宋_GB2312" w:hAnsi="仿宋_GB2312" w:cs="仿宋_GB2312"/>
          <w:color w:val="000000"/>
          <w:kern w:val="0"/>
          <w:szCs w:val="32"/>
        </w:rPr>
        <w:t>4.95万元，占总支出的4.69%。</w:t>
      </w:r>
    </w:p>
    <w:p>
      <w:pPr>
        <w:adjustRightInd w:val="0"/>
        <w:snapToGrid w:val="0"/>
        <w:spacing w:line="560" w:lineRule="exact"/>
        <w:ind w:firstLine="642" w:firstLineChars="200"/>
        <w:contextualSpacing/>
        <w:jc w:val="left"/>
        <w:rPr>
          <w:rFonts w:eastAsia="楷体_GB2312"/>
          <w:b/>
          <w:szCs w:val="32"/>
        </w:rPr>
      </w:pPr>
      <w:r>
        <w:rPr>
          <w:rFonts w:eastAsia="楷体_GB2312"/>
          <w:b/>
          <w:bCs/>
          <w:color w:val="000000"/>
          <w:kern w:val="0"/>
          <w:szCs w:val="32"/>
          <w:shd w:val="clear" w:color="auto" w:fill="FFFFFF"/>
          <w:lang w:val="zh-CN"/>
        </w:rPr>
        <w:t>（</w:t>
      </w:r>
      <w:r>
        <w:rPr>
          <w:rFonts w:hint="eastAsia" w:eastAsia="楷体_GB2312"/>
          <w:b/>
          <w:bCs/>
          <w:color w:val="000000"/>
          <w:kern w:val="0"/>
          <w:szCs w:val="32"/>
          <w:shd w:val="clear" w:color="auto" w:fill="FFFFFF"/>
          <w:lang w:val="zh-CN"/>
        </w:rPr>
        <w:t>三</w:t>
      </w:r>
      <w:r>
        <w:rPr>
          <w:rFonts w:eastAsia="楷体_GB2312"/>
          <w:b/>
          <w:bCs/>
          <w:color w:val="000000"/>
          <w:kern w:val="0"/>
          <w:szCs w:val="32"/>
          <w:shd w:val="clear" w:color="auto" w:fill="FFFFFF"/>
          <w:lang w:val="zh-CN"/>
        </w:rPr>
        <w:t>）</w:t>
      </w:r>
      <w:r>
        <w:rPr>
          <w:rFonts w:eastAsia="楷体_GB2312"/>
          <w:b/>
          <w:szCs w:val="32"/>
        </w:rPr>
        <w:t>结余分配和结转结余情况</w:t>
      </w:r>
      <w:r>
        <w:rPr>
          <w:rFonts w:hint="eastAsia" w:eastAsia="楷体_GB2312"/>
          <w:b/>
          <w:szCs w:val="32"/>
        </w:rPr>
        <w:t>。</w:t>
      </w:r>
    </w:p>
    <w:p>
      <w:pPr>
        <w:adjustRightInd w:val="0"/>
        <w:snapToGrid w:val="0"/>
        <w:spacing w:line="560" w:lineRule="exact"/>
        <w:ind w:firstLine="640" w:firstLineChars="200"/>
        <w:contextualSpacing/>
        <w:jc w:val="left"/>
        <w:rPr>
          <w:color w:val="000000"/>
          <w:kern w:val="0"/>
          <w:szCs w:val="32"/>
          <w:shd w:val="clear" w:color="auto" w:fill="FFFFFF"/>
          <w:lang w:val="zh-CN"/>
        </w:rPr>
      </w:pPr>
      <w:r>
        <w:rPr>
          <w:rFonts w:hint="eastAsia"/>
          <w:szCs w:val="32"/>
        </w:rPr>
        <w:t>黑水县财政局2023年决算报表无</w:t>
      </w:r>
      <w:r>
        <w:rPr>
          <w:color w:val="000000"/>
          <w:kern w:val="0"/>
          <w:szCs w:val="32"/>
          <w:shd w:val="clear" w:color="auto" w:fill="FFFFFF"/>
        </w:rPr>
        <w:t>结转结余。</w:t>
      </w:r>
    </w:p>
    <w:p>
      <w:pPr>
        <w:adjustRightInd w:val="0"/>
        <w:snapToGrid w:val="0"/>
        <w:spacing w:line="560" w:lineRule="exact"/>
        <w:ind w:firstLine="640" w:firstLineChars="200"/>
        <w:contextualSpacing/>
        <w:jc w:val="left"/>
        <w:rPr>
          <w:rFonts w:eastAsia="黑体"/>
          <w:color w:val="000000" w:themeColor="text1"/>
          <w:kern w:val="0"/>
          <w:szCs w:val="32"/>
          <w:shd w:val="clear" w:color="auto" w:fill="FFFFFF"/>
        </w:rPr>
      </w:pPr>
      <w:r>
        <w:rPr>
          <w:rFonts w:eastAsia="黑体"/>
          <w:color w:val="000000"/>
          <w:kern w:val="0"/>
          <w:szCs w:val="32"/>
          <w:shd w:val="clear" w:color="auto" w:fill="FFFFFF"/>
        </w:rPr>
        <w:t>三、部门预算绩效分析</w:t>
      </w:r>
    </w:p>
    <w:p>
      <w:pPr>
        <w:adjustRightInd w:val="0"/>
        <w:snapToGrid w:val="0"/>
        <w:spacing w:line="560" w:lineRule="exact"/>
        <w:ind w:firstLine="642" w:firstLineChars="200"/>
        <w:contextualSpacing/>
        <w:jc w:val="left"/>
        <w:rPr>
          <w:rFonts w:eastAsia="楷体_GB2312"/>
          <w:b/>
          <w:bCs/>
          <w:color w:val="000000"/>
          <w:kern w:val="0"/>
          <w:szCs w:val="32"/>
          <w:shd w:val="clear" w:color="auto" w:fill="FFFFFF"/>
          <w:lang w:val="zh-CN"/>
        </w:rPr>
      </w:pPr>
      <w:r>
        <w:rPr>
          <w:rFonts w:eastAsia="楷体_GB2312"/>
          <w:b/>
          <w:bCs/>
          <w:color w:val="000000"/>
          <w:kern w:val="0"/>
          <w:szCs w:val="32"/>
          <w:shd w:val="clear" w:color="auto" w:fill="FFFFFF"/>
          <w:lang w:val="zh-CN"/>
        </w:rPr>
        <w:t>（一）</w:t>
      </w:r>
      <w:r>
        <w:rPr>
          <w:rFonts w:hint="eastAsia" w:eastAsia="楷体_GB2312"/>
          <w:b/>
          <w:bCs/>
          <w:color w:val="000000"/>
          <w:kern w:val="0"/>
          <w:szCs w:val="32"/>
          <w:shd w:val="clear" w:color="auto" w:fill="FFFFFF"/>
          <w:lang w:val="zh-CN"/>
        </w:rPr>
        <w:t>部门预算</w:t>
      </w:r>
      <w:r>
        <w:rPr>
          <w:rFonts w:eastAsia="楷体_GB2312"/>
          <w:b/>
          <w:bCs/>
          <w:color w:val="000000"/>
          <w:kern w:val="0"/>
          <w:szCs w:val="32"/>
          <w:shd w:val="clear" w:color="auto" w:fill="FFFFFF"/>
          <w:lang w:val="zh-CN"/>
        </w:rPr>
        <w:t>总体绩效分析。</w:t>
      </w:r>
    </w:p>
    <w:p>
      <w:pPr>
        <w:adjustRightInd w:val="0"/>
        <w:snapToGrid w:val="0"/>
        <w:spacing w:line="560" w:lineRule="exact"/>
        <w:ind w:firstLine="640" w:firstLineChars="200"/>
        <w:contextualSpacing/>
        <w:jc w:val="left"/>
        <w:rPr>
          <w:color w:val="000000"/>
          <w:kern w:val="0"/>
          <w:szCs w:val="32"/>
          <w:shd w:val="clear" w:color="auto" w:fill="FFFFFF"/>
          <w:lang w:val="zh-CN"/>
        </w:rPr>
      </w:pPr>
      <w:r>
        <w:rPr>
          <w:rFonts w:hint="eastAsia" w:ascii="仿宋_GB2312" w:hAnsi="宋体"/>
          <w:szCs w:val="32"/>
        </w:rPr>
        <w:t>根据2023年财政工作要点和职能职责，结合单位实际，</w:t>
      </w:r>
      <w:r>
        <w:rPr>
          <w:color w:val="000000"/>
          <w:kern w:val="0"/>
          <w:szCs w:val="32"/>
          <w:shd w:val="clear" w:color="auto" w:fill="FFFFFF"/>
          <w:lang w:val="zh-CN"/>
        </w:rPr>
        <w:t>部门预算绩效</w:t>
      </w:r>
      <w:r>
        <w:rPr>
          <w:rFonts w:hint="eastAsia"/>
          <w:color w:val="000000"/>
          <w:kern w:val="0"/>
          <w:szCs w:val="32"/>
          <w:shd w:val="clear" w:color="auto" w:fill="FFFFFF"/>
          <w:lang w:val="zh-CN"/>
        </w:rPr>
        <w:t>目标紧紧围绕</w:t>
      </w:r>
      <w:r>
        <w:rPr>
          <w:color w:val="000000"/>
          <w:kern w:val="0"/>
          <w:szCs w:val="32"/>
          <w:shd w:val="clear" w:color="auto" w:fill="FFFFFF"/>
          <w:lang w:val="zh-CN"/>
        </w:rPr>
        <w:t>履职效能、预算管理、财务管理、资产管理、采购管理</w:t>
      </w:r>
      <w:r>
        <w:rPr>
          <w:rFonts w:hint="eastAsia"/>
          <w:color w:val="000000"/>
          <w:kern w:val="0"/>
          <w:szCs w:val="32"/>
          <w:shd w:val="clear" w:color="auto" w:fill="FFFFFF"/>
          <w:lang w:val="zh-CN"/>
        </w:rPr>
        <w:t>方面设定全面绩效目标</w:t>
      </w:r>
      <w:r>
        <w:rPr>
          <w:color w:val="000000"/>
          <w:kern w:val="0"/>
          <w:szCs w:val="32"/>
          <w:shd w:val="clear" w:color="auto" w:fill="FFFFFF"/>
          <w:lang w:val="zh-CN"/>
        </w:rPr>
        <w:t>。</w:t>
      </w:r>
    </w:p>
    <w:p>
      <w:pPr>
        <w:adjustRightInd w:val="0"/>
        <w:snapToGrid w:val="0"/>
        <w:spacing w:line="560" w:lineRule="exact"/>
        <w:ind w:firstLine="640" w:firstLineChars="200"/>
        <w:contextualSpacing/>
        <w:jc w:val="left"/>
        <w:rPr>
          <w:rFonts w:ascii="楷体_GB2312" w:hAnsi="楷体_GB2312" w:eastAsia="楷体_GB2312" w:cs="楷体_GB2312"/>
          <w:color w:val="000000"/>
          <w:kern w:val="0"/>
          <w:szCs w:val="32"/>
          <w:shd w:val="clear" w:color="auto" w:fill="FFFFFF"/>
          <w:lang w:val="zh-CN"/>
        </w:rPr>
      </w:pPr>
      <w:r>
        <w:rPr>
          <w:rFonts w:hint="eastAsia" w:ascii="楷体_GB2312" w:hAnsi="楷体_GB2312" w:eastAsia="楷体_GB2312" w:cs="楷体_GB2312"/>
          <w:color w:val="000000"/>
          <w:kern w:val="0"/>
          <w:szCs w:val="32"/>
          <w:shd w:val="clear" w:color="auto" w:fill="FFFFFF"/>
        </w:rPr>
        <w:t>1.</w:t>
      </w:r>
      <w:r>
        <w:rPr>
          <w:rFonts w:hint="eastAsia" w:ascii="楷体_GB2312" w:hAnsi="楷体_GB2312" w:eastAsia="楷体_GB2312" w:cs="楷体_GB2312"/>
          <w:color w:val="000000"/>
          <w:kern w:val="0"/>
          <w:szCs w:val="32"/>
          <w:shd w:val="clear" w:color="auto" w:fill="FFFFFF"/>
          <w:lang w:val="zh-CN"/>
        </w:rPr>
        <w:t>履职效能。</w:t>
      </w:r>
    </w:p>
    <w:p>
      <w:pPr>
        <w:spacing w:line="560" w:lineRule="exact"/>
        <w:ind w:firstLine="642" w:firstLineChars="200"/>
        <w:jc w:val="left"/>
        <w:rPr>
          <w:rFonts w:ascii="仿宋_GB2312" w:hAnsi="宋体"/>
          <w:szCs w:val="32"/>
        </w:rPr>
      </w:pPr>
      <w:r>
        <w:rPr>
          <w:rFonts w:hint="eastAsia" w:ascii="仿宋_GB2312" w:hAnsi="宋体"/>
          <w:b/>
          <w:szCs w:val="32"/>
        </w:rPr>
        <w:t>一是</w:t>
      </w:r>
      <w:r>
        <w:rPr>
          <w:rFonts w:hint="eastAsia" w:ascii="仿宋_GB2312" w:hAnsi="宋体"/>
          <w:szCs w:val="32"/>
        </w:rPr>
        <w:t>预算执行管理不断加强。通过建立执行数据动态监控机制、提高财政资金拨付效率、加快预算执行进度，提高预算执行效率。</w:t>
      </w:r>
      <w:r>
        <w:rPr>
          <w:rFonts w:hint="eastAsia" w:ascii="仿宋_GB2312" w:hAnsi="宋体"/>
          <w:b/>
          <w:szCs w:val="32"/>
        </w:rPr>
        <w:t>二是</w:t>
      </w:r>
      <w:r>
        <w:rPr>
          <w:rFonts w:hint="eastAsia" w:ascii="仿宋_GB2312" w:hAnsi="宋体"/>
          <w:szCs w:val="32"/>
        </w:rPr>
        <w:t>持续提升财政管理服务水平，规范全口径预算管理、国库管理，会计信息质量监督管理等全过程动态监管机制不断健全。</w:t>
      </w:r>
      <w:r>
        <w:rPr>
          <w:rFonts w:hint="eastAsia" w:ascii="仿宋_GB2312" w:hAnsi="宋体"/>
          <w:b/>
          <w:szCs w:val="32"/>
        </w:rPr>
        <w:t>三是</w:t>
      </w:r>
      <w:r>
        <w:rPr>
          <w:rFonts w:hint="eastAsia" w:ascii="仿宋_GB2312" w:hAnsi="宋体"/>
          <w:szCs w:val="32"/>
        </w:rPr>
        <w:t>强化监督检查，确保各项财政政策的实施和财政资金安全、规范、有效运行。</w:t>
      </w:r>
      <w:r>
        <w:rPr>
          <w:rFonts w:hint="eastAsia" w:ascii="仿宋_GB2312" w:hAnsi="宋体"/>
          <w:b/>
          <w:szCs w:val="32"/>
        </w:rPr>
        <w:t>四是</w:t>
      </w:r>
      <w:r>
        <w:rPr>
          <w:rFonts w:hint="eastAsia" w:ascii="仿宋_GB2312" w:hAnsi="宋体"/>
          <w:szCs w:val="32"/>
        </w:rPr>
        <w:t>严格执行中央八项规定精神和党政机关厉行节约反对浪费条例，认真执行会议费、培训费、差旅费管理办法等有关规定，严格控制“三公”经费和一般性公用经费支出。</w:t>
      </w:r>
    </w:p>
    <w:p>
      <w:pPr>
        <w:adjustRightInd w:val="0"/>
        <w:snapToGrid w:val="0"/>
        <w:spacing w:line="560" w:lineRule="exact"/>
        <w:ind w:firstLine="640" w:firstLineChars="200"/>
        <w:contextualSpacing/>
        <w:jc w:val="left"/>
        <w:rPr>
          <w:rFonts w:hint="eastAsia" w:ascii="楷体_GB2312" w:hAnsi="楷体_GB2312" w:eastAsia="楷体_GB2312" w:cs="楷体_GB2312"/>
          <w:color w:val="000000"/>
          <w:kern w:val="0"/>
          <w:szCs w:val="32"/>
          <w:shd w:val="clear" w:color="auto" w:fill="FFFFFF"/>
          <w:lang w:val="zh-CN"/>
        </w:rPr>
      </w:pPr>
      <w:r>
        <w:rPr>
          <w:rFonts w:hint="eastAsia" w:ascii="楷体_GB2312" w:hAnsi="楷体_GB2312" w:eastAsia="楷体_GB2312" w:cs="楷体_GB2312"/>
          <w:color w:val="000000"/>
          <w:kern w:val="0"/>
          <w:szCs w:val="32"/>
          <w:shd w:val="clear" w:color="auto" w:fill="FFFFFF"/>
        </w:rPr>
        <w:t>2.</w:t>
      </w:r>
      <w:r>
        <w:rPr>
          <w:rFonts w:ascii="楷体_GB2312" w:hAnsi="楷体_GB2312" w:eastAsia="楷体_GB2312" w:cs="楷体_GB2312"/>
          <w:color w:val="000000"/>
          <w:kern w:val="0"/>
          <w:szCs w:val="32"/>
          <w:shd w:val="clear" w:color="auto" w:fill="FFFFFF"/>
          <w:lang w:val="zh-CN"/>
        </w:rPr>
        <w:t>预算管理</w:t>
      </w:r>
      <w:r>
        <w:rPr>
          <w:rFonts w:hint="eastAsia" w:ascii="楷体_GB2312" w:hAnsi="楷体_GB2312" w:eastAsia="楷体_GB2312" w:cs="楷体_GB2312"/>
          <w:color w:val="000000"/>
          <w:kern w:val="0"/>
          <w:szCs w:val="32"/>
          <w:shd w:val="clear" w:color="auto" w:fill="FFFFFF"/>
          <w:lang w:val="zh-CN"/>
        </w:rPr>
        <w:t>。</w:t>
      </w:r>
    </w:p>
    <w:p>
      <w:pPr>
        <w:adjustRightInd w:val="0"/>
        <w:snapToGrid w:val="0"/>
        <w:spacing w:line="560" w:lineRule="exact"/>
        <w:ind w:firstLine="640" w:firstLineChars="200"/>
        <w:contextualSpacing/>
        <w:jc w:val="left"/>
        <w:rPr>
          <w:rFonts w:hint="eastAsia" w:ascii="仿宋_GB2312" w:hAnsi="宋体"/>
          <w:szCs w:val="32"/>
        </w:rPr>
      </w:pPr>
      <w:r>
        <w:rPr>
          <w:rFonts w:hint="eastAsia" w:ascii="仿宋_GB2312" w:hAnsi="宋体"/>
          <w:szCs w:val="32"/>
        </w:rPr>
        <w:t>（1）预算编制质量。</w:t>
      </w:r>
    </w:p>
    <w:p>
      <w:pPr>
        <w:adjustRightInd w:val="0"/>
        <w:snapToGrid w:val="0"/>
        <w:spacing w:line="560" w:lineRule="exact"/>
        <w:ind w:firstLine="640" w:firstLineChars="200"/>
        <w:contextualSpacing/>
        <w:jc w:val="left"/>
        <w:rPr>
          <w:rFonts w:ascii="仿宋_GB2312" w:hAnsi="宋体"/>
          <w:szCs w:val="32"/>
        </w:rPr>
      </w:pPr>
      <w:r>
        <w:rPr>
          <w:rFonts w:hint="eastAsia"/>
        </w:rPr>
        <w:t>黑水县财政局</w:t>
      </w:r>
      <w:r>
        <w:rPr>
          <w:rFonts w:hint="eastAsia" w:ascii="仿宋_GB2312" w:hAnsi="宋体"/>
          <w:szCs w:val="32"/>
        </w:rPr>
        <w:t>年度预算与中期规划和履职目标衔接紧密，预算编制依据充分、数据详实、结构优化、细化可执行。基本支出保障单位正常运转，行使单位职能，完成日常工作。及时对人员、车辆、资产等信息进行动态更新工作，确保基础信息数据的及时性、准确性和完整性，确保基本支出预算无缺口。确保重点支出安排，保障财政信息运维服务、财政委托业务、乡镇综合实施建设、其他财政事务等重点项目任务完成目标。</w:t>
      </w:r>
    </w:p>
    <w:p>
      <w:pPr>
        <w:spacing w:line="560" w:lineRule="exact"/>
        <w:ind w:firstLine="640" w:firstLineChars="200"/>
        <w:jc w:val="left"/>
        <w:rPr>
          <w:rFonts w:ascii="仿宋_GB2312" w:hAnsi="宋体"/>
          <w:szCs w:val="32"/>
        </w:rPr>
      </w:pPr>
      <w:r>
        <w:rPr>
          <w:rFonts w:hint="eastAsia" w:ascii="仿宋_GB2312" w:hAnsi="宋体"/>
          <w:szCs w:val="32"/>
        </w:rPr>
        <w:t>（2）单位收入统筹。</w:t>
      </w:r>
      <w:r>
        <w:rPr>
          <w:rFonts w:hint="eastAsia"/>
        </w:rPr>
        <w:t>黑水县财政局的收入全部为</w:t>
      </w:r>
      <w:r>
        <w:rPr>
          <w:rFonts w:hint="eastAsia" w:ascii="仿宋_GB2312" w:hAnsi="宋体" w:cs="仿宋_GB2312"/>
          <w:color w:val="000000"/>
          <w:kern w:val="0"/>
          <w:szCs w:val="32"/>
        </w:rPr>
        <w:t>一般公共预算财政拨款</w:t>
      </w:r>
      <w:r>
        <w:rPr>
          <w:rFonts w:hint="eastAsia"/>
        </w:rPr>
        <w:t>收入和其他收入，收入来源合规。</w:t>
      </w:r>
    </w:p>
    <w:p>
      <w:pPr>
        <w:spacing w:line="560" w:lineRule="exact"/>
        <w:ind w:firstLine="640" w:firstLineChars="200"/>
        <w:jc w:val="left"/>
        <w:rPr>
          <w:rFonts w:ascii="仿宋_GB2312" w:hAnsi="宋体"/>
          <w:szCs w:val="32"/>
        </w:rPr>
      </w:pPr>
      <w:r>
        <w:rPr>
          <w:rFonts w:hint="eastAsia" w:ascii="仿宋_GB2312" w:hAnsi="宋体"/>
          <w:szCs w:val="32"/>
        </w:rPr>
        <w:t>（3）支出执行进度。</w:t>
      </w:r>
    </w:p>
    <w:p>
      <w:pPr>
        <w:spacing w:line="560" w:lineRule="exact"/>
        <w:ind w:firstLine="640" w:firstLineChars="200"/>
        <w:jc w:val="left"/>
        <w:rPr>
          <w:rFonts w:ascii="仿宋_GB2312" w:hAnsi="宋体"/>
          <w:szCs w:val="32"/>
        </w:rPr>
      </w:pPr>
      <w:r>
        <w:rPr>
          <w:rFonts w:hint="eastAsia" w:ascii="仿宋_GB2312" w:hAnsi="宋体"/>
          <w:szCs w:val="32"/>
        </w:rPr>
        <w:t>黑水县财政局在执行过程中，截止6月30日完成预算执行进度49.06%，未达到50%；截止10月31日完成预算执行进度72.12%，未达到83.33%；12月完成预算进度达到99.33%。</w:t>
      </w:r>
    </w:p>
    <w:p>
      <w:pPr>
        <w:spacing w:line="560" w:lineRule="exact"/>
        <w:ind w:firstLine="640" w:firstLineChars="200"/>
        <w:jc w:val="left"/>
        <w:rPr>
          <w:rFonts w:ascii="仿宋_GB2312" w:hAnsi="宋体"/>
          <w:szCs w:val="32"/>
        </w:rPr>
      </w:pPr>
      <w:r>
        <w:rPr>
          <w:rFonts w:hint="eastAsia" w:ascii="仿宋_GB2312" w:hAnsi="宋体"/>
          <w:szCs w:val="32"/>
        </w:rPr>
        <w:t>（4）预算年终结余。黑水县财政局在2023年决算报表无部门预算年终结余资金。</w:t>
      </w:r>
    </w:p>
    <w:p>
      <w:pPr>
        <w:spacing w:line="560" w:lineRule="exact"/>
        <w:ind w:firstLine="640" w:firstLineChars="200"/>
        <w:jc w:val="left"/>
        <w:rPr>
          <w:rFonts w:ascii="仿宋_GB2312" w:hAnsi="宋体"/>
          <w:szCs w:val="32"/>
        </w:rPr>
      </w:pPr>
      <w:r>
        <w:rPr>
          <w:rFonts w:hint="eastAsia" w:ascii="仿宋_GB2312" w:hAnsi="宋体"/>
          <w:szCs w:val="32"/>
        </w:rPr>
        <w:t>（5）严控一般性支出。黑水县财政局严格执行批复的各项支出预算，不擅自扩大支出范围、提高开支标准，严格按照预算批复的支出用途使用资金。</w:t>
      </w:r>
    </w:p>
    <w:p>
      <w:pPr>
        <w:adjustRightInd w:val="0"/>
        <w:snapToGrid w:val="0"/>
        <w:spacing w:line="560" w:lineRule="exact"/>
        <w:ind w:firstLine="640" w:firstLineChars="200"/>
        <w:contextualSpacing/>
        <w:jc w:val="left"/>
        <w:rPr>
          <w:rFonts w:ascii="楷体_GB2312" w:hAnsi="楷体_GB2312" w:eastAsia="楷体_GB2312" w:cs="楷体_GB2312"/>
          <w:color w:val="000000"/>
          <w:kern w:val="0"/>
          <w:szCs w:val="32"/>
          <w:shd w:val="clear" w:color="auto" w:fill="FFFFFF"/>
          <w:lang w:val="zh-CN"/>
        </w:rPr>
      </w:pPr>
      <w:r>
        <w:rPr>
          <w:rFonts w:hint="eastAsia" w:ascii="楷体_GB2312" w:hAnsi="楷体_GB2312" w:eastAsia="楷体_GB2312" w:cs="楷体_GB2312"/>
          <w:color w:val="000000"/>
          <w:kern w:val="0"/>
          <w:szCs w:val="32"/>
          <w:shd w:val="clear" w:color="auto" w:fill="FFFFFF"/>
        </w:rPr>
        <w:t>3.</w:t>
      </w:r>
      <w:r>
        <w:rPr>
          <w:rFonts w:ascii="楷体_GB2312" w:hAnsi="楷体_GB2312" w:eastAsia="楷体_GB2312" w:cs="楷体_GB2312"/>
          <w:color w:val="000000"/>
          <w:kern w:val="0"/>
          <w:szCs w:val="32"/>
          <w:shd w:val="clear" w:color="auto" w:fill="FFFFFF"/>
          <w:lang w:val="zh-CN"/>
        </w:rPr>
        <w:t>财务管理</w:t>
      </w:r>
      <w:r>
        <w:rPr>
          <w:rFonts w:hint="eastAsia" w:ascii="楷体_GB2312" w:hAnsi="楷体_GB2312" w:eastAsia="楷体_GB2312" w:cs="楷体_GB2312"/>
          <w:color w:val="000000"/>
          <w:kern w:val="0"/>
          <w:szCs w:val="32"/>
          <w:shd w:val="clear" w:color="auto" w:fill="FFFFFF"/>
          <w:lang w:val="zh-CN"/>
        </w:rPr>
        <w:t>。</w:t>
      </w:r>
    </w:p>
    <w:p>
      <w:pPr>
        <w:adjustRightInd w:val="0"/>
        <w:snapToGrid w:val="0"/>
        <w:spacing w:line="560" w:lineRule="exact"/>
        <w:ind w:firstLine="640" w:firstLineChars="200"/>
        <w:contextualSpacing/>
        <w:jc w:val="left"/>
        <w:rPr>
          <w:rFonts w:ascii="仿宋_GB2312" w:hAnsi="宋体"/>
          <w:szCs w:val="32"/>
        </w:rPr>
      </w:pPr>
      <w:r>
        <w:rPr>
          <w:rFonts w:hint="eastAsia" w:ascii="仿宋_GB2312" w:hAnsi="宋体"/>
          <w:szCs w:val="32"/>
        </w:rPr>
        <w:t>（1）财务管理制度。</w:t>
      </w:r>
    </w:p>
    <w:p>
      <w:pPr>
        <w:adjustRightInd w:val="0"/>
        <w:snapToGrid w:val="0"/>
        <w:spacing w:line="560" w:lineRule="exact"/>
        <w:ind w:firstLine="640" w:firstLineChars="200"/>
        <w:contextualSpacing/>
        <w:jc w:val="left"/>
        <w:rPr>
          <w:rFonts w:ascii="仿宋_GB2312" w:hAnsi="宋体"/>
          <w:szCs w:val="32"/>
        </w:rPr>
      </w:pPr>
      <w:r>
        <w:rPr>
          <w:rFonts w:hint="eastAsia" w:ascii="仿宋_GB2312" w:hAnsi="宋体"/>
          <w:szCs w:val="32"/>
        </w:rPr>
        <w:t>严格执行《</w:t>
      </w:r>
      <w:r>
        <w:rPr>
          <w:rFonts w:hint="default" w:ascii="仿宋_GB2312" w:hAnsi="宋体"/>
          <w:szCs w:val="32"/>
        </w:rPr>
        <w:t>中华人民共和国</w:t>
      </w:r>
      <w:r>
        <w:rPr>
          <w:rFonts w:hint="eastAsia" w:ascii="仿宋_GB2312" w:hAnsi="宋体"/>
          <w:szCs w:val="32"/>
        </w:rPr>
        <w:t>预算法》《政府会计制度》《黑水县财政局机关内部控制制度汇编》、《黑水县财政局机关内部控制手册》、《黑水县党政机关国内公务接待管理实施细则》、《黑水县行政事业单位会议费管理办法》、《黑水县行政事业单位差旅费管理办法》及相关财务管理规定的要求执行。</w:t>
      </w:r>
    </w:p>
    <w:p>
      <w:pPr>
        <w:adjustRightInd w:val="0"/>
        <w:snapToGrid w:val="0"/>
        <w:spacing w:line="560" w:lineRule="exact"/>
        <w:ind w:firstLine="640" w:firstLineChars="200"/>
        <w:contextualSpacing/>
        <w:jc w:val="left"/>
        <w:rPr>
          <w:rFonts w:ascii="仿宋_GB2312" w:hAnsi="宋体"/>
          <w:szCs w:val="32"/>
        </w:rPr>
      </w:pPr>
      <w:r>
        <w:rPr>
          <w:rFonts w:hint="eastAsia" w:ascii="仿宋_GB2312" w:hAnsi="宋体"/>
          <w:szCs w:val="32"/>
        </w:rPr>
        <w:t>（2）财务岗位设置。</w:t>
      </w:r>
    </w:p>
    <w:p>
      <w:pPr>
        <w:adjustRightInd w:val="0"/>
        <w:snapToGrid w:val="0"/>
        <w:spacing w:line="560" w:lineRule="exact"/>
        <w:ind w:firstLine="640" w:firstLineChars="200"/>
        <w:contextualSpacing/>
        <w:jc w:val="left"/>
        <w:rPr>
          <w:szCs w:val="32"/>
        </w:rPr>
      </w:pPr>
      <w:r>
        <w:rPr>
          <w:rFonts w:hint="eastAsia" w:ascii="仿宋_GB2312" w:hAnsi="仿宋" w:cs="宋体"/>
          <w:color w:val="333333"/>
          <w:szCs w:val="32"/>
        </w:rPr>
        <w:t>单位财务由局党组书记、局长和分管财务的领导负责，设会计、出纳各一名。</w:t>
      </w:r>
    </w:p>
    <w:p>
      <w:pPr>
        <w:adjustRightInd w:val="0"/>
        <w:snapToGrid w:val="0"/>
        <w:spacing w:line="560" w:lineRule="exact"/>
        <w:ind w:firstLine="640" w:firstLineChars="200"/>
        <w:contextualSpacing/>
        <w:jc w:val="left"/>
        <w:rPr>
          <w:rFonts w:ascii="仿宋_GB2312" w:hAnsi="宋体"/>
          <w:szCs w:val="32"/>
        </w:rPr>
      </w:pPr>
      <w:r>
        <w:rPr>
          <w:rFonts w:hint="eastAsia" w:ascii="仿宋_GB2312" w:hAnsi="宋体"/>
          <w:szCs w:val="32"/>
        </w:rPr>
        <w:t>（3）资金使用规范。</w:t>
      </w:r>
    </w:p>
    <w:p>
      <w:pPr>
        <w:adjustRightInd w:val="0"/>
        <w:snapToGrid w:val="0"/>
        <w:spacing w:line="560" w:lineRule="exact"/>
        <w:ind w:firstLine="640" w:firstLineChars="200"/>
        <w:contextualSpacing/>
        <w:jc w:val="left"/>
        <w:rPr>
          <w:rFonts w:ascii="仿宋_GB2312" w:hAnsi="宋体"/>
          <w:szCs w:val="32"/>
        </w:rPr>
      </w:pPr>
      <w:r>
        <w:rPr>
          <w:rFonts w:hint="eastAsia" w:ascii="仿宋_GB2312" w:hAnsi="宋体"/>
          <w:szCs w:val="32"/>
        </w:rPr>
        <w:t>严格按照财务制度，对财务支出严格把关，确保经费使用合理规范，各项支出符合国家财经法规和财务管理制度规定；资金支付具有完整的审批程序和手续，符合部门预算批复的用途，不存在截留、挤占、挪用、虚列支出等情况。</w:t>
      </w:r>
    </w:p>
    <w:p>
      <w:pPr>
        <w:adjustRightInd w:val="0"/>
        <w:snapToGrid w:val="0"/>
        <w:spacing w:line="560" w:lineRule="exact"/>
        <w:ind w:firstLine="640" w:firstLineChars="200"/>
        <w:contextualSpacing/>
        <w:jc w:val="left"/>
        <w:rPr>
          <w:rFonts w:ascii="楷体_GB2312" w:hAnsi="楷体_GB2312" w:eastAsia="楷体_GB2312" w:cs="楷体_GB2312"/>
          <w:color w:val="000000"/>
          <w:kern w:val="0"/>
          <w:szCs w:val="32"/>
          <w:shd w:val="clear" w:color="auto" w:fill="FFFFFF"/>
          <w:lang w:val="zh-CN"/>
        </w:rPr>
      </w:pPr>
      <w:r>
        <w:rPr>
          <w:rFonts w:hint="eastAsia" w:ascii="楷体_GB2312" w:hAnsi="楷体_GB2312" w:eastAsia="楷体_GB2312" w:cs="楷体_GB2312"/>
          <w:color w:val="000000"/>
          <w:kern w:val="0"/>
          <w:szCs w:val="32"/>
          <w:shd w:val="clear" w:color="auto" w:fill="FFFFFF"/>
        </w:rPr>
        <w:t>4.</w:t>
      </w:r>
      <w:r>
        <w:rPr>
          <w:rFonts w:ascii="楷体_GB2312" w:hAnsi="楷体_GB2312" w:eastAsia="楷体_GB2312" w:cs="楷体_GB2312"/>
          <w:color w:val="000000"/>
          <w:kern w:val="0"/>
          <w:szCs w:val="32"/>
          <w:shd w:val="clear" w:color="auto" w:fill="FFFFFF"/>
          <w:lang w:val="zh-CN"/>
        </w:rPr>
        <w:t>资产管理</w:t>
      </w:r>
      <w:r>
        <w:rPr>
          <w:rFonts w:hint="eastAsia" w:ascii="楷体_GB2312" w:hAnsi="楷体_GB2312" w:eastAsia="楷体_GB2312" w:cs="楷体_GB2312"/>
          <w:color w:val="000000"/>
          <w:kern w:val="0"/>
          <w:szCs w:val="32"/>
          <w:shd w:val="clear" w:color="auto" w:fill="FFFFFF"/>
          <w:lang w:val="zh-CN"/>
        </w:rPr>
        <w:t>。</w:t>
      </w:r>
    </w:p>
    <w:p>
      <w:pPr>
        <w:adjustRightInd w:val="0"/>
        <w:snapToGrid w:val="0"/>
        <w:spacing w:line="560" w:lineRule="exact"/>
        <w:ind w:firstLine="640" w:firstLineChars="200"/>
        <w:contextualSpacing/>
        <w:jc w:val="left"/>
        <w:rPr>
          <w:rFonts w:ascii="仿宋_GB2312" w:hAnsi="宋体"/>
          <w:szCs w:val="32"/>
        </w:rPr>
      </w:pPr>
      <w:r>
        <w:rPr>
          <w:rFonts w:hint="eastAsia" w:ascii="仿宋_GB2312" w:hAnsi="宋体"/>
          <w:szCs w:val="32"/>
        </w:rPr>
        <w:t>（1）人均资产变化率。</w:t>
      </w:r>
    </w:p>
    <w:p>
      <w:pPr>
        <w:adjustRightInd w:val="0"/>
        <w:snapToGrid w:val="0"/>
        <w:spacing w:line="560" w:lineRule="exact"/>
        <w:ind w:firstLine="640" w:firstLineChars="200"/>
        <w:contextualSpacing/>
        <w:jc w:val="left"/>
        <w:rPr>
          <w:rFonts w:ascii="仿宋_GB2312" w:hAnsi="宋体"/>
          <w:szCs w:val="32"/>
        </w:rPr>
      </w:pPr>
      <w:r>
        <w:rPr>
          <w:rFonts w:hint="eastAsia" w:ascii="仿宋_GB2312" w:hAnsi="宋体"/>
          <w:szCs w:val="32"/>
        </w:rPr>
        <w:t>黑水县财政局2023年资产933.84万元，38人， 2022年资产950.14万元，35人，我单位人均资产通过资产占有情况和人口数量相比，资产得到有效利用。</w:t>
      </w:r>
    </w:p>
    <w:p>
      <w:pPr>
        <w:adjustRightInd w:val="0"/>
        <w:snapToGrid w:val="0"/>
        <w:spacing w:line="560" w:lineRule="exact"/>
        <w:ind w:firstLine="640" w:firstLineChars="200"/>
        <w:contextualSpacing/>
        <w:jc w:val="left"/>
        <w:rPr>
          <w:rFonts w:ascii="仿宋_GB2312" w:hAnsi="宋体"/>
          <w:szCs w:val="32"/>
        </w:rPr>
      </w:pPr>
      <w:r>
        <w:rPr>
          <w:rFonts w:hint="eastAsia" w:ascii="仿宋_GB2312" w:hAnsi="宋体"/>
          <w:szCs w:val="32"/>
        </w:rPr>
        <w:t>（2）人均资产利用率。</w:t>
      </w:r>
    </w:p>
    <w:p>
      <w:pPr>
        <w:adjustRightInd w:val="0"/>
        <w:snapToGrid w:val="0"/>
        <w:spacing w:line="560" w:lineRule="exact"/>
        <w:ind w:firstLine="640" w:firstLineChars="200"/>
        <w:contextualSpacing/>
        <w:jc w:val="left"/>
        <w:rPr>
          <w:rFonts w:ascii="楷体_GB2312" w:hAnsi="楷体_GB2312" w:eastAsia="楷体_GB2312" w:cs="楷体_GB2312"/>
          <w:color w:val="000000"/>
          <w:kern w:val="0"/>
          <w:szCs w:val="32"/>
          <w:shd w:val="clear" w:color="auto" w:fill="FFFFFF"/>
          <w:lang w:val="zh-CN"/>
        </w:rPr>
      </w:pPr>
      <w:r>
        <w:rPr>
          <w:rFonts w:hint="eastAsia" w:ascii="仿宋_GB2312" w:hAnsi="宋体"/>
          <w:szCs w:val="32"/>
        </w:rPr>
        <w:t>严格执行《行政事业单位国有资产管理暂行办法》（财政部令35号）《行政事业性国有资产管理条例》（国务院令738号）《四川省行政事业性国有资产管理办法》《四川省省直行政事业单位国有资产管理办法》（川办发〔2023〕20号）《阿坝州州直行政事业单位国有资产管理办法》（阿府办发〔2024〕9号）等有关规定，加强资产管理，建立资产管理制度，将各类资产录入到国有资产管理系统，实行资产动态管理。同时单位资产实行“谁使用、谁负责”的管理原则，及时进行资产清查盘点，资产保存完整、使用合规、配置合理。资产账务管理合规，账实相符。2023年度资产处置规范。无闲置资产，固定资产利用率为100%。</w:t>
      </w:r>
    </w:p>
    <w:p>
      <w:pPr>
        <w:adjustRightInd w:val="0"/>
        <w:snapToGrid w:val="0"/>
        <w:spacing w:line="560" w:lineRule="exact"/>
        <w:ind w:firstLine="640" w:firstLineChars="200"/>
        <w:contextualSpacing/>
        <w:jc w:val="left"/>
        <w:rPr>
          <w:rFonts w:hint="eastAsia" w:ascii="仿宋_GB2312" w:hAnsi="宋体"/>
          <w:szCs w:val="32"/>
        </w:rPr>
      </w:pPr>
      <w:r>
        <w:rPr>
          <w:rFonts w:hint="eastAsia" w:ascii="仿宋_GB2312" w:hAnsi="宋体"/>
          <w:szCs w:val="32"/>
        </w:rPr>
        <w:t>（3）资产盘活率。</w:t>
      </w:r>
    </w:p>
    <w:p>
      <w:pPr>
        <w:adjustRightInd w:val="0"/>
        <w:snapToGrid w:val="0"/>
        <w:spacing w:line="560" w:lineRule="exact"/>
        <w:ind w:firstLine="640" w:firstLineChars="200"/>
        <w:contextualSpacing/>
        <w:jc w:val="left"/>
        <w:rPr>
          <w:rFonts w:ascii="仿宋_GB2312" w:hAnsi="宋体"/>
          <w:szCs w:val="32"/>
        </w:rPr>
      </w:pPr>
      <w:r>
        <w:rPr>
          <w:rFonts w:hint="eastAsia" w:ascii="仿宋_GB2312" w:hAnsi="宋体"/>
          <w:szCs w:val="32"/>
        </w:rPr>
        <w:t>黑水县财政局2023年无闲置一年以上的资产。</w:t>
      </w:r>
    </w:p>
    <w:p>
      <w:pPr>
        <w:adjustRightInd w:val="0"/>
        <w:snapToGrid w:val="0"/>
        <w:spacing w:line="560" w:lineRule="exact"/>
        <w:ind w:firstLine="640" w:firstLineChars="200"/>
        <w:contextualSpacing/>
        <w:jc w:val="left"/>
        <w:rPr>
          <w:rFonts w:ascii="楷体_GB2312" w:hAnsi="楷体_GB2312" w:eastAsia="楷体_GB2312" w:cs="楷体_GB2312"/>
          <w:color w:val="000000"/>
          <w:kern w:val="0"/>
          <w:szCs w:val="32"/>
          <w:shd w:val="clear" w:color="auto" w:fill="FFFFFF"/>
          <w:lang w:val="zh-CN"/>
        </w:rPr>
      </w:pPr>
      <w:r>
        <w:rPr>
          <w:rFonts w:hint="eastAsia" w:ascii="楷体_GB2312" w:hAnsi="楷体_GB2312" w:eastAsia="楷体_GB2312" w:cs="楷体_GB2312"/>
          <w:color w:val="000000"/>
          <w:kern w:val="0"/>
          <w:szCs w:val="32"/>
          <w:shd w:val="clear" w:color="auto" w:fill="FFFFFF"/>
        </w:rPr>
        <w:t>5.</w:t>
      </w:r>
      <w:r>
        <w:rPr>
          <w:rFonts w:ascii="楷体_GB2312" w:hAnsi="楷体_GB2312" w:eastAsia="楷体_GB2312" w:cs="楷体_GB2312"/>
          <w:color w:val="000000"/>
          <w:kern w:val="0"/>
          <w:szCs w:val="32"/>
          <w:shd w:val="clear" w:color="auto" w:fill="FFFFFF"/>
          <w:lang w:val="zh-CN"/>
        </w:rPr>
        <w:t>采购管理</w:t>
      </w:r>
      <w:r>
        <w:rPr>
          <w:rFonts w:hint="eastAsia" w:ascii="楷体_GB2312" w:hAnsi="楷体_GB2312" w:eastAsia="楷体_GB2312" w:cs="楷体_GB2312"/>
          <w:color w:val="000000"/>
          <w:kern w:val="0"/>
          <w:szCs w:val="32"/>
          <w:shd w:val="clear" w:color="auto" w:fill="FFFFFF"/>
          <w:lang w:val="zh-CN"/>
        </w:rPr>
        <w:t>。</w:t>
      </w:r>
    </w:p>
    <w:p>
      <w:pPr>
        <w:adjustRightInd w:val="0"/>
        <w:snapToGrid w:val="0"/>
        <w:spacing w:line="560" w:lineRule="exact"/>
        <w:ind w:firstLine="640" w:firstLineChars="200"/>
        <w:contextualSpacing/>
        <w:jc w:val="left"/>
        <w:rPr>
          <w:rFonts w:ascii="仿宋_GB2312" w:hAnsi="宋体"/>
          <w:szCs w:val="32"/>
        </w:rPr>
      </w:pPr>
      <w:r>
        <w:rPr>
          <w:rFonts w:hint="eastAsia" w:ascii="仿宋_GB2312" w:hAnsi="宋体"/>
          <w:szCs w:val="32"/>
        </w:rPr>
        <w:t>（1）支持中小企业发展。</w:t>
      </w:r>
    </w:p>
    <w:p>
      <w:pPr>
        <w:adjustRightInd w:val="0"/>
        <w:snapToGrid w:val="0"/>
        <w:spacing w:line="560" w:lineRule="exact"/>
        <w:ind w:firstLine="640" w:firstLineChars="200"/>
        <w:contextualSpacing/>
        <w:jc w:val="left"/>
        <w:rPr>
          <w:rFonts w:ascii="仿宋_GB2312" w:hAnsi="宋体"/>
          <w:szCs w:val="32"/>
        </w:rPr>
      </w:pPr>
      <w:r>
        <w:rPr>
          <w:rFonts w:hint="eastAsia" w:ascii="仿宋_GB2312" w:hAnsi="宋体"/>
          <w:szCs w:val="32"/>
        </w:rPr>
        <w:t>严格遵守《中华人民共和国政府采购</w:t>
      </w:r>
      <w:r>
        <w:rPr>
          <w:rFonts w:hint="default" w:ascii="仿宋_GB2312" w:hAnsi="宋体"/>
          <w:szCs w:val="32"/>
        </w:rPr>
        <w:t>法</w:t>
      </w:r>
      <w:r>
        <w:rPr>
          <w:rFonts w:hint="eastAsia" w:ascii="仿宋_GB2312" w:hAnsi="宋体"/>
          <w:szCs w:val="32"/>
        </w:rPr>
        <w:t>实施条例》《中华人民共和国政府采购法》等政府采购相关法律法规，严格执行单位政府采购管理制度，对纳入政府采购的项目必须实行政府采购，严格按照政府采购组织形式与方式加强政府采购内部监督管理，严格履行政府采购审批程序。</w:t>
      </w:r>
    </w:p>
    <w:p>
      <w:pPr>
        <w:adjustRightInd w:val="0"/>
        <w:snapToGrid w:val="0"/>
        <w:spacing w:line="560" w:lineRule="exact"/>
        <w:ind w:firstLine="640" w:firstLineChars="200"/>
        <w:contextualSpacing/>
        <w:jc w:val="left"/>
        <w:rPr>
          <w:rFonts w:ascii="仿宋_GB2312" w:hAnsi="宋体"/>
          <w:szCs w:val="32"/>
        </w:rPr>
      </w:pPr>
      <w:r>
        <w:rPr>
          <w:rFonts w:hint="eastAsia" w:ascii="仿宋_GB2312" w:hAnsi="宋体"/>
          <w:szCs w:val="32"/>
        </w:rPr>
        <w:t>（2）采购执行率。</w:t>
      </w:r>
    </w:p>
    <w:p>
      <w:pPr>
        <w:adjustRightInd w:val="0"/>
        <w:snapToGrid w:val="0"/>
        <w:spacing w:line="560" w:lineRule="exact"/>
        <w:ind w:firstLine="640" w:firstLineChars="200"/>
        <w:contextualSpacing/>
        <w:jc w:val="left"/>
        <w:rPr>
          <w:rFonts w:ascii="仿宋_GB2312" w:hAnsi="宋体"/>
          <w:szCs w:val="32"/>
        </w:rPr>
      </w:pPr>
      <w:r>
        <w:rPr>
          <w:rFonts w:hint="eastAsia" w:ascii="仿宋_GB2312" w:hAnsi="宋体"/>
          <w:szCs w:val="32"/>
        </w:rPr>
        <w:t>黑水县财政局2023年无政府采购项目，不存在政府采购项目资金支付情况。</w:t>
      </w:r>
    </w:p>
    <w:p>
      <w:pPr>
        <w:adjustRightInd w:val="0"/>
        <w:snapToGrid w:val="0"/>
        <w:spacing w:line="560" w:lineRule="exact"/>
        <w:ind w:firstLine="642" w:firstLineChars="200"/>
        <w:contextualSpacing/>
        <w:jc w:val="left"/>
        <w:rPr>
          <w:rFonts w:hint="eastAsia" w:eastAsia="楷体_GB2312"/>
          <w:b/>
          <w:bCs/>
          <w:color w:val="000000"/>
          <w:kern w:val="0"/>
          <w:szCs w:val="32"/>
          <w:shd w:val="clear" w:color="auto" w:fill="FFFFFF"/>
          <w:lang w:val="zh-CN"/>
        </w:rPr>
      </w:pPr>
      <w:r>
        <w:rPr>
          <w:rFonts w:eastAsia="楷体_GB2312"/>
          <w:b/>
          <w:bCs/>
          <w:color w:val="000000"/>
          <w:kern w:val="0"/>
          <w:szCs w:val="32"/>
          <w:shd w:val="clear" w:color="auto" w:fill="FFFFFF"/>
          <w:lang w:val="zh-CN"/>
        </w:rPr>
        <w:t>（二）部门预算项目绩效分析。</w:t>
      </w:r>
    </w:p>
    <w:p>
      <w:pPr>
        <w:adjustRightInd w:val="0"/>
        <w:snapToGrid w:val="0"/>
        <w:spacing w:line="560" w:lineRule="exact"/>
        <w:ind w:firstLine="640" w:firstLineChars="200"/>
        <w:contextualSpacing/>
        <w:jc w:val="left"/>
        <w:rPr>
          <w:rFonts w:ascii="仿宋_GB2312"/>
          <w:color w:val="000000"/>
          <w:kern w:val="0"/>
          <w:szCs w:val="32"/>
          <w:shd w:val="clear" w:color="auto" w:fill="FFFFFF"/>
          <w:lang w:val="zh-CN"/>
        </w:rPr>
      </w:pPr>
      <w:r>
        <w:rPr>
          <w:rFonts w:hint="eastAsia" w:ascii="仿宋_GB2312"/>
          <w:color w:val="000000"/>
          <w:kern w:val="0"/>
          <w:szCs w:val="32"/>
          <w:shd w:val="clear" w:color="auto" w:fill="FFFFFF"/>
        </w:rPr>
        <w:t>常年项目绩效分析。</w:t>
      </w:r>
      <w:r>
        <w:rPr>
          <w:rFonts w:hint="eastAsia" w:ascii="仿宋_GB2312"/>
          <w:color w:val="000000"/>
          <w:kern w:val="0"/>
          <w:szCs w:val="32"/>
          <w:shd w:val="clear" w:color="auto" w:fill="FFFFFF"/>
          <w:lang w:val="zh-CN"/>
        </w:rPr>
        <w:t>该类项目总数</w:t>
      </w:r>
      <w:r>
        <w:rPr>
          <w:rFonts w:hint="eastAsia" w:ascii="仿宋_GB2312"/>
          <w:color w:val="000000"/>
          <w:kern w:val="0"/>
          <w:szCs w:val="32"/>
          <w:shd w:val="clear" w:color="auto" w:fill="FFFFFF"/>
        </w:rPr>
        <w:t>3</w:t>
      </w:r>
      <w:r>
        <w:rPr>
          <w:rFonts w:hint="eastAsia" w:ascii="仿宋_GB2312"/>
          <w:color w:val="000000"/>
          <w:kern w:val="0"/>
          <w:szCs w:val="32"/>
          <w:shd w:val="clear" w:color="auto" w:fill="FFFFFF"/>
          <w:lang w:val="zh-CN"/>
        </w:rPr>
        <w:t>个，涉及预算总金额</w:t>
      </w:r>
      <w:r>
        <w:rPr>
          <w:rFonts w:hint="eastAsia" w:ascii="仿宋_GB2312"/>
          <w:color w:val="000000"/>
          <w:kern w:val="0"/>
          <w:szCs w:val="32"/>
          <w:shd w:val="clear" w:color="auto" w:fill="FFFFFF"/>
        </w:rPr>
        <w:t xml:space="preserve">   231.87</w:t>
      </w:r>
      <w:r>
        <w:rPr>
          <w:rFonts w:hint="eastAsia" w:ascii="仿宋_GB2312"/>
          <w:color w:val="000000"/>
          <w:kern w:val="0"/>
          <w:szCs w:val="32"/>
          <w:shd w:val="clear" w:color="auto" w:fill="FFFFFF"/>
          <w:lang w:val="zh-CN"/>
        </w:rPr>
        <w:t>万元，1—1</w:t>
      </w:r>
      <w:r>
        <w:rPr>
          <w:rFonts w:hint="eastAsia" w:ascii="仿宋_GB2312"/>
          <w:color w:val="000000"/>
          <w:kern w:val="0"/>
          <w:szCs w:val="32"/>
          <w:shd w:val="clear" w:color="auto" w:fill="FFFFFF"/>
        </w:rPr>
        <w:t>2</w:t>
      </w:r>
      <w:r>
        <w:rPr>
          <w:rFonts w:hint="eastAsia" w:ascii="仿宋_GB2312"/>
          <w:color w:val="000000"/>
          <w:kern w:val="0"/>
          <w:szCs w:val="32"/>
          <w:shd w:val="clear" w:color="auto" w:fill="FFFFFF"/>
          <w:lang w:val="zh-CN"/>
        </w:rPr>
        <w:t>月预算执行总体进度为</w:t>
      </w:r>
      <w:r>
        <w:rPr>
          <w:rFonts w:hint="eastAsia" w:ascii="仿宋_GB2312"/>
          <w:color w:val="000000"/>
          <w:kern w:val="0"/>
          <w:szCs w:val="32"/>
          <w:shd w:val="clear" w:color="auto" w:fill="FFFFFF"/>
        </w:rPr>
        <w:t>100</w:t>
      </w:r>
      <w:r>
        <w:rPr>
          <w:rFonts w:hint="eastAsia" w:ascii="仿宋_GB2312"/>
          <w:color w:val="000000"/>
          <w:kern w:val="0"/>
          <w:szCs w:val="32"/>
          <w:shd w:val="clear" w:color="auto" w:fill="FFFFFF"/>
          <w:lang w:val="zh-CN"/>
        </w:rPr>
        <w:t>%。</w:t>
      </w:r>
    </w:p>
    <w:p>
      <w:pPr>
        <w:adjustRightInd w:val="0"/>
        <w:snapToGrid w:val="0"/>
        <w:spacing w:line="560" w:lineRule="exact"/>
        <w:ind w:firstLine="640" w:firstLineChars="200"/>
        <w:contextualSpacing/>
        <w:jc w:val="left"/>
        <w:rPr>
          <w:rFonts w:ascii="仿宋_GB2312"/>
          <w:color w:val="000000"/>
          <w:kern w:val="0"/>
          <w:szCs w:val="32"/>
          <w:shd w:val="clear" w:color="auto" w:fill="FFFFFF"/>
          <w:lang w:val="zh-CN"/>
        </w:rPr>
      </w:pPr>
      <w:r>
        <w:rPr>
          <w:rFonts w:hint="eastAsia" w:ascii="仿宋_GB2312"/>
          <w:color w:val="000000"/>
          <w:kern w:val="0"/>
          <w:szCs w:val="32"/>
          <w:shd w:val="clear" w:color="auto" w:fill="FFFFFF"/>
        </w:rPr>
        <w:t>阶段（一次性）项目绩效分析。</w:t>
      </w:r>
      <w:r>
        <w:rPr>
          <w:rFonts w:hint="eastAsia" w:ascii="仿宋_GB2312"/>
          <w:color w:val="000000"/>
          <w:kern w:val="0"/>
          <w:szCs w:val="32"/>
          <w:shd w:val="clear" w:color="auto" w:fill="FFFFFF"/>
          <w:lang w:val="zh-CN"/>
        </w:rPr>
        <w:t>该类项目总数</w:t>
      </w:r>
      <w:r>
        <w:rPr>
          <w:rFonts w:hint="eastAsia" w:ascii="仿宋_GB2312"/>
          <w:color w:val="000000"/>
          <w:kern w:val="0"/>
          <w:szCs w:val="32"/>
          <w:shd w:val="clear" w:color="auto" w:fill="FFFFFF"/>
        </w:rPr>
        <w:t>1</w:t>
      </w:r>
      <w:r>
        <w:rPr>
          <w:rFonts w:hint="eastAsia" w:ascii="仿宋_GB2312"/>
          <w:color w:val="000000"/>
          <w:kern w:val="0"/>
          <w:szCs w:val="32"/>
          <w:shd w:val="clear" w:color="auto" w:fill="FFFFFF"/>
          <w:lang w:val="zh-CN"/>
        </w:rPr>
        <w:t>个，涉及预算总金额</w:t>
      </w:r>
      <w:r>
        <w:rPr>
          <w:rFonts w:hint="eastAsia" w:ascii="仿宋_GB2312"/>
          <w:color w:val="000000"/>
          <w:kern w:val="0"/>
          <w:szCs w:val="32"/>
          <w:shd w:val="clear" w:color="auto" w:fill="FFFFFF"/>
        </w:rPr>
        <w:t>35.4</w:t>
      </w:r>
      <w:r>
        <w:rPr>
          <w:rFonts w:hint="eastAsia" w:ascii="仿宋_GB2312"/>
          <w:color w:val="000000"/>
          <w:kern w:val="0"/>
          <w:szCs w:val="32"/>
          <w:shd w:val="clear" w:color="auto" w:fill="FFFFFF"/>
          <w:lang w:val="zh-CN"/>
        </w:rPr>
        <w:t>万元，1—1</w:t>
      </w:r>
      <w:r>
        <w:rPr>
          <w:rFonts w:hint="eastAsia" w:ascii="仿宋_GB2312"/>
          <w:color w:val="000000"/>
          <w:kern w:val="0"/>
          <w:szCs w:val="32"/>
          <w:shd w:val="clear" w:color="auto" w:fill="FFFFFF"/>
        </w:rPr>
        <w:t>2</w:t>
      </w:r>
      <w:r>
        <w:rPr>
          <w:rFonts w:hint="eastAsia" w:ascii="仿宋_GB2312"/>
          <w:color w:val="000000"/>
          <w:kern w:val="0"/>
          <w:szCs w:val="32"/>
          <w:shd w:val="clear" w:color="auto" w:fill="FFFFFF"/>
          <w:lang w:val="zh-CN"/>
        </w:rPr>
        <w:t>月预算执行总体进度为</w:t>
      </w:r>
      <w:r>
        <w:rPr>
          <w:rFonts w:hint="eastAsia" w:ascii="仿宋_GB2312"/>
          <w:color w:val="000000"/>
          <w:kern w:val="0"/>
          <w:szCs w:val="32"/>
          <w:shd w:val="clear" w:color="auto" w:fill="FFFFFF"/>
        </w:rPr>
        <w:t>100</w:t>
      </w:r>
      <w:r>
        <w:rPr>
          <w:rFonts w:hint="eastAsia" w:ascii="仿宋_GB2312"/>
          <w:color w:val="000000"/>
          <w:kern w:val="0"/>
          <w:szCs w:val="32"/>
          <w:shd w:val="clear" w:color="auto" w:fill="FFFFFF"/>
          <w:lang w:val="zh-CN"/>
        </w:rPr>
        <w:t>%。</w:t>
      </w:r>
    </w:p>
    <w:p>
      <w:pPr>
        <w:adjustRightInd w:val="0"/>
        <w:snapToGrid w:val="0"/>
        <w:spacing w:line="560" w:lineRule="exact"/>
        <w:ind w:firstLine="640" w:firstLineChars="200"/>
        <w:contextualSpacing/>
        <w:jc w:val="left"/>
        <w:rPr>
          <w:rFonts w:ascii="楷体_GB2312" w:hAnsi="楷体_GB2312" w:eastAsia="楷体_GB2312" w:cs="楷体_GB2312"/>
          <w:color w:val="000000"/>
          <w:kern w:val="0"/>
          <w:szCs w:val="32"/>
          <w:shd w:val="clear" w:color="auto" w:fill="FFFFFF"/>
          <w:lang w:val="zh-CN"/>
        </w:rPr>
      </w:pPr>
      <w:r>
        <w:rPr>
          <w:rFonts w:hint="eastAsia" w:ascii="楷体_GB2312" w:hAnsi="楷体_GB2312" w:eastAsia="楷体_GB2312" w:cs="楷体_GB2312"/>
          <w:color w:val="000000"/>
          <w:kern w:val="0"/>
          <w:szCs w:val="32"/>
          <w:shd w:val="clear" w:color="auto" w:fill="FFFFFF"/>
        </w:rPr>
        <w:t>1.</w:t>
      </w:r>
      <w:r>
        <w:rPr>
          <w:rFonts w:hint="eastAsia" w:ascii="楷体_GB2312" w:hAnsi="楷体_GB2312" w:eastAsia="楷体_GB2312" w:cs="楷体_GB2312"/>
          <w:color w:val="000000"/>
          <w:kern w:val="0"/>
          <w:szCs w:val="32"/>
          <w:shd w:val="clear" w:color="auto" w:fill="FFFFFF"/>
          <w:lang w:val="zh-CN"/>
        </w:rPr>
        <w:t>项目决策。</w:t>
      </w:r>
    </w:p>
    <w:p>
      <w:pPr>
        <w:spacing w:line="560" w:lineRule="exact"/>
        <w:ind w:firstLine="640" w:firstLineChars="200"/>
        <w:jc w:val="left"/>
        <w:rPr>
          <w:rFonts w:ascii="仿宋_GB2312" w:hAnsi="宋体"/>
          <w:szCs w:val="32"/>
        </w:rPr>
      </w:pPr>
      <w:r>
        <w:rPr>
          <w:rFonts w:hint="eastAsia" w:ascii="仿宋_GB2312" w:hAnsi="宋体"/>
          <w:szCs w:val="32"/>
        </w:rPr>
        <w:t>（1）决策程序。黑水县财政局的部门预算项目总数4个，其中常年项目3个，分别为：财政信息化运维服务项目、财政委托业务经费项目、财政一般行政管理事务经费项目（财政购买人员劳务派遣、财政局机关食堂）。阶段（一次性）项目1个，为：乡镇综合实施建设项目。本单位的4个项目召开局务会通过，申报程序合理，按规定开展事前评估论证、与部门“三定”方案确定的职责和部门中长期发展规划相匹配，符合部门年度工作任务。</w:t>
      </w:r>
    </w:p>
    <w:p>
      <w:pPr>
        <w:spacing w:line="560" w:lineRule="exact"/>
        <w:ind w:firstLine="640" w:firstLineChars="200"/>
        <w:jc w:val="left"/>
        <w:rPr>
          <w:rFonts w:ascii="仿宋_GB2312" w:hAnsi="宋体"/>
          <w:szCs w:val="32"/>
        </w:rPr>
      </w:pPr>
      <w:r>
        <w:rPr>
          <w:rFonts w:hint="eastAsia" w:ascii="仿宋_GB2312" w:hAnsi="宋体"/>
          <w:szCs w:val="32"/>
        </w:rPr>
        <w:t>（2）目标设置。</w:t>
      </w:r>
    </w:p>
    <w:p>
      <w:pPr>
        <w:spacing w:line="560" w:lineRule="exact"/>
        <w:ind w:firstLine="640" w:firstLineChars="200"/>
        <w:jc w:val="left"/>
        <w:rPr>
          <w:rFonts w:ascii="仿宋_GB2312" w:hAnsi="宋体"/>
          <w:szCs w:val="32"/>
        </w:rPr>
      </w:pPr>
      <w:r>
        <w:rPr>
          <w:rFonts w:hint="eastAsia" w:ascii="仿宋_GB2312" w:hAnsi="宋体"/>
          <w:szCs w:val="32"/>
        </w:rPr>
        <w:t>黑水县财政局在设置部门预算绩效目标时，根据2022年度工作总结及2023年度工作计划、部门职能职责、重点工作安排部署等资料设定部门预算绩效目标，绩效目标设置科学合理，规范完整，量化细化，与预算匹配。并分解为38条绩效指标，其中：数量指标16条、质量指标4条、时效指标3条、成本指标4条，社会效益指标2条、可持续影响指标4条，服务对象满意度指标2条、满意度指标3条。具体情况见下表：</w:t>
      </w:r>
    </w:p>
    <w:p>
      <w:pPr>
        <w:spacing w:line="560" w:lineRule="exact"/>
        <w:ind w:firstLine="640" w:firstLineChars="200"/>
        <w:jc w:val="left"/>
        <w:rPr>
          <w:rFonts w:ascii="仿宋_GB2312" w:hAnsi="宋体"/>
          <w:szCs w:val="32"/>
        </w:rPr>
      </w:pPr>
    </w:p>
    <w:tbl>
      <w:tblPr>
        <w:tblStyle w:val="14"/>
        <w:tblW w:w="9580" w:type="dxa"/>
        <w:tblInd w:w="93" w:type="dxa"/>
        <w:tblLayout w:type="autofit"/>
        <w:tblCellMar>
          <w:top w:w="0" w:type="dxa"/>
          <w:left w:w="108" w:type="dxa"/>
          <w:bottom w:w="0" w:type="dxa"/>
          <w:right w:w="108" w:type="dxa"/>
        </w:tblCellMar>
      </w:tblPr>
      <w:tblGrid>
        <w:gridCol w:w="570"/>
        <w:gridCol w:w="980"/>
        <w:gridCol w:w="1470"/>
        <w:gridCol w:w="3540"/>
        <w:gridCol w:w="1500"/>
        <w:gridCol w:w="1520"/>
      </w:tblGrid>
      <w:tr>
        <w:tblPrEx>
          <w:tblCellMar>
            <w:top w:w="0" w:type="dxa"/>
            <w:left w:w="108" w:type="dxa"/>
            <w:bottom w:w="0" w:type="dxa"/>
            <w:right w:w="108" w:type="dxa"/>
          </w:tblCellMar>
        </w:tblPrEx>
        <w:trPr>
          <w:trHeight w:val="600" w:hRule="atLeast"/>
        </w:trPr>
        <w:tc>
          <w:tcPr>
            <w:tcW w:w="570" w:type="dxa"/>
            <w:vMerge w:val="restart"/>
            <w:tcBorders>
              <w:top w:val="single" w:color="auto" w:sz="4" w:space="0"/>
              <w:left w:val="single" w:color="auto" w:sz="4" w:space="0"/>
              <w:bottom w:val="single" w:color="000000" w:sz="4" w:space="0"/>
              <w:right w:val="single" w:color="auto" w:sz="4" w:space="0"/>
            </w:tcBorders>
            <w:shd w:val="clear" w:color="auto" w:fill="auto"/>
            <w:vAlign w:val="center"/>
          </w:tcPr>
          <w:p>
            <w:pPr>
              <w:widowControl/>
              <w:jc w:val="center"/>
              <w:rPr>
                <w:rFonts w:ascii="宋体" w:hAnsi="宋体" w:eastAsia="宋体" w:cs="宋体"/>
                <w:kern w:val="0"/>
                <w:sz w:val="16"/>
                <w:szCs w:val="16"/>
              </w:rPr>
            </w:pPr>
            <w:r>
              <w:rPr>
                <w:rFonts w:hint="eastAsia" w:ascii="宋体" w:hAnsi="宋体" w:eastAsia="宋体" w:cs="宋体"/>
                <w:kern w:val="0"/>
                <w:sz w:val="16"/>
                <w:szCs w:val="16"/>
              </w:rPr>
              <w:t>绩</w:t>
            </w:r>
            <w:r>
              <w:rPr>
                <w:rFonts w:hint="eastAsia" w:ascii="宋体" w:hAnsi="宋体" w:eastAsia="宋体" w:cs="宋体"/>
                <w:kern w:val="0"/>
                <w:sz w:val="16"/>
                <w:szCs w:val="16"/>
              </w:rPr>
              <w:br w:type="textWrapping"/>
            </w:r>
            <w:r>
              <w:rPr>
                <w:rFonts w:hint="eastAsia" w:ascii="宋体" w:hAnsi="宋体" w:eastAsia="宋体" w:cs="宋体"/>
                <w:kern w:val="0"/>
                <w:sz w:val="16"/>
                <w:szCs w:val="16"/>
              </w:rPr>
              <w:t>效</w:t>
            </w:r>
            <w:r>
              <w:rPr>
                <w:rFonts w:hint="eastAsia" w:ascii="宋体" w:hAnsi="宋体" w:eastAsia="宋体" w:cs="宋体"/>
                <w:kern w:val="0"/>
                <w:sz w:val="16"/>
                <w:szCs w:val="16"/>
              </w:rPr>
              <w:br w:type="textWrapping"/>
            </w:r>
            <w:r>
              <w:rPr>
                <w:rFonts w:hint="eastAsia" w:ascii="宋体" w:hAnsi="宋体" w:eastAsia="宋体" w:cs="宋体"/>
                <w:kern w:val="0"/>
                <w:sz w:val="16"/>
                <w:szCs w:val="16"/>
              </w:rPr>
              <w:t>指</w:t>
            </w:r>
            <w:r>
              <w:rPr>
                <w:rFonts w:hint="eastAsia" w:ascii="宋体" w:hAnsi="宋体" w:eastAsia="宋体" w:cs="宋体"/>
                <w:kern w:val="0"/>
                <w:sz w:val="16"/>
                <w:szCs w:val="16"/>
              </w:rPr>
              <w:br w:type="textWrapping"/>
            </w:r>
            <w:r>
              <w:rPr>
                <w:rFonts w:hint="eastAsia" w:ascii="宋体" w:hAnsi="宋体" w:eastAsia="宋体" w:cs="宋体"/>
                <w:kern w:val="0"/>
                <w:sz w:val="16"/>
                <w:szCs w:val="16"/>
              </w:rPr>
              <w:t>标</w:t>
            </w:r>
          </w:p>
        </w:tc>
        <w:tc>
          <w:tcPr>
            <w:tcW w:w="980"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16"/>
                <w:szCs w:val="16"/>
              </w:rPr>
            </w:pPr>
            <w:r>
              <w:rPr>
                <w:rFonts w:hint="eastAsia" w:ascii="宋体" w:hAnsi="宋体" w:eastAsia="宋体" w:cs="宋体"/>
                <w:kern w:val="0"/>
                <w:sz w:val="16"/>
                <w:szCs w:val="16"/>
              </w:rPr>
              <w:t>一级指标</w:t>
            </w:r>
          </w:p>
        </w:tc>
        <w:tc>
          <w:tcPr>
            <w:tcW w:w="1470"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16"/>
                <w:szCs w:val="16"/>
              </w:rPr>
            </w:pPr>
            <w:r>
              <w:rPr>
                <w:rFonts w:hint="eastAsia" w:ascii="宋体" w:hAnsi="宋体" w:eastAsia="宋体" w:cs="宋体"/>
                <w:kern w:val="0"/>
                <w:sz w:val="16"/>
                <w:szCs w:val="16"/>
              </w:rPr>
              <w:t>二级指标</w:t>
            </w:r>
          </w:p>
        </w:tc>
        <w:tc>
          <w:tcPr>
            <w:tcW w:w="3540"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16"/>
                <w:szCs w:val="16"/>
              </w:rPr>
            </w:pPr>
            <w:r>
              <w:rPr>
                <w:rFonts w:hint="eastAsia" w:ascii="宋体" w:hAnsi="宋体" w:eastAsia="宋体" w:cs="宋体"/>
                <w:kern w:val="0"/>
                <w:sz w:val="16"/>
                <w:szCs w:val="16"/>
              </w:rPr>
              <w:t>三级指标</w:t>
            </w:r>
          </w:p>
        </w:tc>
        <w:tc>
          <w:tcPr>
            <w:tcW w:w="1500"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16"/>
                <w:szCs w:val="16"/>
              </w:rPr>
            </w:pPr>
            <w:r>
              <w:rPr>
                <w:rFonts w:hint="eastAsia" w:ascii="宋体" w:hAnsi="宋体" w:eastAsia="宋体" w:cs="宋体"/>
                <w:kern w:val="0"/>
                <w:sz w:val="16"/>
                <w:szCs w:val="16"/>
              </w:rPr>
              <w:t>年度指标值</w:t>
            </w:r>
          </w:p>
        </w:tc>
        <w:tc>
          <w:tcPr>
            <w:tcW w:w="1520" w:type="dxa"/>
            <w:tcBorders>
              <w:top w:val="single" w:color="auto" w:sz="4" w:space="0"/>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16"/>
                <w:szCs w:val="16"/>
              </w:rPr>
            </w:pPr>
            <w:r>
              <w:rPr>
                <w:rFonts w:hint="eastAsia" w:ascii="宋体" w:hAnsi="宋体" w:eastAsia="宋体" w:cs="宋体"/>
                <w:kern w:val="0"/>
                <w:sz w:val="16"/>
                <w:szCs w:val="16"/>
              </w:rPr>
              <w:t>全年执行情况</w:t>
            </w:r>
          </w:p>
        </w:tc>
      </w:tr>
      <w:tr>
        <w:tblPrEx>
          <w:tblCellMar>
            <w:top w:w="0" w:type="dxa"/>
            <w:left w:w="108" w:type="dxa"/>
            <w:bottom w:w="0" w:type="dxa"/>
            <w:right w:w="108" w:type="dxa"/>
          </w:tblCellMar>
        </w:tblPrEx>
        <w:trPr>
          <w:trHeight w:val="345" w:hRule="atLeast"/>
        </w:trPr>
        <w:tc>
          <w:tcPr>
            <w:tcW w:w="570" w:type="dxa"/>
            <w:vMerge w:val="continue"/>
            <w:tcBorders>
              <w:top w:val="single" w:color="auto" w:sz="4" w:space="0"/>
              <w:left w:val="single" w:color="auto" w:sz="4" w:space="0"/>
              <w:bottom w:val="single" w:color="000000" w:sz="4" w:space="0"/>
              <w:right w:val="single" w:color="auto" w:sz="4" w:space="0"/>
            </w:tcBorders>
            <w:vAlign w:val="center"/>
          </w:tcPr>
          <w:p>
            <w:pPr>
              <w:widowControl/>
              <w:jc w:val="left"/>
              <w:rPr>
                <w:rFonts w:ascii="宋体" w:hAnsi="宋体" w:eastAsia="宋体" w:cs="宋体"/>
                <w:kern w:val="0"/>
                <w:sz w:val="16"/>
                <w:szCs w:val="16"/>
              </w:rPr>
            </w:pPr>
          </w:p>
        </w:tc>
        <w:tc>
          <w:tcPr>
            <w:tcW w:w="980" w:type="dxa"/>
            <w:vMerge w:val="restart"/>
            <w:tcBorders>
              <w:top w:val="nil"/>
              <w:left w:val="single" w:color="auto" w:sz="4" w:space="0"/>
              <w:bottom w:val="single" w:color="000000" w:sz="4" w:space="0"/>
              <w:right w:val="single" w:color="auto" w:sz="4" w:space="0"/>
            </w:tcBorders>
            <w:shd w:val="clear" w:color="auto" w:fill="auto"/>
            <w:noWrap/>
            <w:vAlign w:val="center"/>
          </w:tcPr>
          <w:p>
            <w:pPr>
              <w:widowControl/>
              <w:jc w:val="center"/>
              <w:rPr>
                <w:rFonts w:ascii="宋体" w:hAnsi="宋体" w:eastAsia="宋体" w:cs="宋体"/>
                <w:kern w:val="0"/>
                <w:sz w:val="16"/>
                <w:szCs w:val="16"/>
              </w:rPr>
            </w:pPr>
            <w:r>
              <w:rPr>
                <w:rFonts w:hint="eastAsia" w:ascii="宋体" w:hAnsi="宋体" w:eastAsia="宋体" w:cs="宋体"/>
                <w:kern w:val="0"/>
                <w:sz w:val="16"/>
                <w:szCs w:val="16"/>
              </w:rPr>
              <w:t>产出指标</w:t>
            </w:r>
          </w:p>
        </w:tc>
        <w:tc>
          <w:tcPr>
            <w:tcW w:w="1470" w:type="dxa"/>
            <w:vMerge w:val="restart"/>
            <w:tcBorders>
              <w:top w:val="nil"/>
              <w:left w:val="single" w:color="auto" w:sz="4" w:space="0"/>
              <w:bottom w:val="nil"/>
              <w:right w:val="single" w:color="auto" w:sz="4" w:space="0"/>
            </w:tcBorders>
            <w:shd w:val="clear" w:color="auto" w:fill="auto"/>
            <w:noWrap/>
            <w:vAlign w:val="center"/>
          </w:tcPr>
          <w:p>
            <w:pPr>
              <w:widowControl/>
              <w:jc w:val="center"/>
              <w:rPr>
                <w:rFonts w:ascii="宋体" w:hAnsi="宋体" w:eastAsia="宋体" w:cs="宋体"/>
                <w:kern w:val="0"/>
                <w:sz w:val="16"/>
                <w:szCs w:val="16"/>
              </w:rPr>
            </w:pPr>
            <w:r>
              <w:rPr>
                <w:rFonts w:hint="eastAsia" w:ascii="宋体" w:hAnsi="宋体" w:eastAsia="宋体" w:cs="宋体"/>
                <w:kern w:val="0"/>
                <w:sz w:val="16"/>
                <w:szCs w:val="16"/>
              </w:rPr>
              <w:t>数量指标</w:t>
            </w:r>
          </w:p>
        </w:tc>
        <w:tc>
          <w:tcPr>
            <w:tcW w:w="35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color w:val="000000"/>
                <w:kern w:val="0"/>
                <w:sz w:val="16"/>
                <w:szCs w:val="16"/>
              </w:rPr>
            </w:pPr>
            <w:r>
              <w:rPr>
                <w:rFonts w:hint="eastAsia" w:ascii="宋体" w:hAnsi="宋体" w:eastAsia="宋体" w:cs="宋体"/>
                <w:color w:val="000000"/>
                <w:kern w:val="0"/>
                <w:sz w:val="16"/>
                <w:szCs w:val="16"/>
              </w:rPr>
              <w:t>开展互联网+精准扶贫代理记账系统维护量</w:t>
            </w:r>
          </w:p>
        </w:tc>
        <w:tc>
          <w:tcPr>
            <w:tcW w:w="150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16"/>
                <w:szCs w:val="16"/>
              </w:rPr>
            </w:pPr>
            <w:r>
              <w:rPr>
                <w:rFonts w:hint="eastAsia" w:ascii="宋体" w:hAnsi="宋体" w:eastAsia="宋体" w:cs="宋体"/>
                <w:kern w:val="0"/>
                <w:sz w:val="16"/>
                <w:szCs w:val="16"/>
              </w:rPr>
              <w:t>≥16个</w:t>
            </w:r>
          </w:p>
        </w:tc>
        <w:tc>
          <w:tcPr>
            <w:tcW w:w="152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16"/>
                <w:szCs w:val="16"/>
              </w:rPr>
            </w:pPr>
            <w:r>
              <w:rPr>
                <w:rFonts w:hint="eastAsia" w:ascii="宋体" w:hAnsi="宋体" w:eastAsia="宋体" w:cs="宋体"/>
                <w:kern w:val="0"/>
                <w:sz w:val="16"/>
                <w:szCs w:val="16"/>
              </w:rPr>
              <w:t>16个</w:t>
            </w:r>
          </w:p>
        </w:tc>
      </w:tr>
      <w:tr>
        <w:tblPrEx>
          <w:tblCellMar>
            <w:top w:w="0" w:type="dxa"/>
            <w:left w:w="108" w:type="dxa"/>
            <w:bottom w:w="0" w:type="dxa"/>
            <w:right w:w="108" w:type="dxa"/>
          </w:tblCellMar>
        </w:tblPrEx>
        <w:trPr>
          <w:trHeight w:val="345" w:hRule="atLeast"/>
        </w:trPr>
        <w:tc>
          <w:tcPr>
            <w:tcW w:w="570" w:type="dxa"/>
            <w:vMerge w:val="continue"/>
            <w:tcBorders>
              <w:top w:val="single" w:color="auto" w:sz="4" w:space="0"/>
              <w:left w:val="single" w:color="auto" w:sz="4" w:space="0"/>
              <w:bottom w:val="single" w:color="000000" w:sz="4" w:space="0"/>
              <w:right w:val="single" w:color="auto" w:sz="4" w:space="0"/>
            </w:tcBorders>
            <w:vAlign w:val="center"/>
          </w:tcPr>
          <w:p>
            <w:pPr>
              <w:widowControl/>
              <w:jc w:val="left"/>
              <w:rPr>
                <w:rFonts w:ascii="宋体" w:hAnsi="宋体" w:eastAsia="宋体" w:cs="宋体"/>
                <w:kern w:val="0"/>
                <w:sz w:val="16"/>
                <w:szCs w:val="16"/>
              </w:rPr>
            </w:pPr>
          </w:p>
        </w:tc>
        <w:tc>
          <w:tcPr>
            <w:tcW w:w="980"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eastAsia="宋体" w:cs="宋体"/>
                <w:kern w:val="0"/>
                <w:sz w:val="16"/>
                <w:szCs w:val="16"/>
              </w:rPr>
            </w:pPr>
          </w:p>
        </w:tc>
        <w:tc>
          <w:tcPr>
            <w:tcW w:w="1470" w:type="dxa"/>
            <w:vMerge w:val="continue"/>
            <w:tcBorders>
              <w:top w:val="nil"/>
              <w:left w:val="single" w:color="auto" w:sz="4" w:space="0"/>
              <w:bottom w:val="nil"/>
              <w:right w:val="single" w:color="auto" w:sz="4" w:space="0"/>
            </w:tcBorders>
            <w:vAlign w:val="center"/>
          </w:tcPr>
          <w:p>
            <w:pPr>
              <w:widowControl/>
              <w:jc w:val="left"/>
              <w:rPr>
                <w:rFonts w:ascii="宋体" w:hAnsi="宋体" w:eastAsia="宋体" w:cs="宋体"/>
                <w:kern w:val="0"/>
                <w:sz w:val="16"/>
                <w:szCs w:val="16"/>
              </w:rPr>
            </w:pPr>
          </w:p>
        </w:tc>
        <w:tc>
          <w:tcPr>
            <w:tcW w:w="35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color w:val="000000"/>
                <w:kern w:val="0"/>
                <w:sz w:val="16"/>
                <w:szCs w:val="16"/>
              </w:rPr>
            </w:pPr>
            <w:r>
              <w:rPr>
                <w:rFonts w:hint="eastAsia" w:ascii="宋体" w:hAnsi="宋体" w:eastAsia="宋体" w:cs="宋体"/>
                <w:color w:val="000000"/>
                <w:kern w:val="0"/>
                <w:sz w:val="16"/>
                <w:szCs w:val="16"/>
              </w:rPr>
              <w:t>数据中心机房设备维护量</w:t>
            </w:r>
          </w:p>
        </w:tc>
        <w:tc>
          <w:tcPr>
            <w:tcW w:w="150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16"/>
                <w:szCs w:val="16"/>
              </w:rPr>
            </w:pPr>
            <w:r>
              <w:rPr>
                <w:rFonts w:hint="eastAsia" w:ascii="宋体" w:hAnsi="宋体" w:eastAsia="宋体" w:cs="宋体"/>
                <w:kern w:val="0"/>
                <w:sz w:val="16"/>
                <w:szCs w:val="16"/>
              </w:rPr>
              <w:t>≥5套</w:t>
            </w:r>
          </w:p>
        </w:tc>
        <w:tc>
          <w:tcPr>
            <w:tcW w:w="152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16"/>
                <w:szCs w:val="16"/>
              </w:rPr>
            </w:pPr>
            <w:r>
              <w:rPr>
                <w:rFonts w:hint="eastAsia" w:ascii="宋体" w:hAnsi="宋体" w:eastAsia="宋体" w:cs="宋体"/>
                <w:kern w:val="0"/>
                <w:sz w:val="16"/>
                <w:szCs w:val="16"/>
              </w:rPr>
              <w:t>5套</w:t>
            </w:r>
          </w:p>
        </w:tc>
      </w:tr>
      <w:tr>
        <w:trPr>
          <w:trHeight w:val="345" w:hRule="atLeast"/>
        </w:trPr>
        <w:tc>
          <w:tcPr>
            <w:tcW w:w="570" w:type="dxa"/>
            <w:vMerge w:val="continue"/>
            <w:tcBorders>
              <w:top w:val="single" w:color="auto" w:sz="4" w:space="0"/>
              <w:left w:val="single" w:color="auto" w:sz="4" w:space="0"/>
              <w:bottom w:val="single" w:color="000000" w:sz="4" w:space="0"/>
              <w:right w:val="single" w:color="auto" w:sz="4" w:space="0"/>
            </w:tcBorders>
            <w:vAlign w:val="center"/>
          </w:tcPr>
          <w:p>
            <w:pPr>
              <w:widowControl/>
              <w:jc w:val="left"/>
              <w:rPr>
                <w:rFonts w:ascii="宋体" w:hAnsi="宋体" w:eastAsia="宋体" w:cs="宋体"/>
                <w:kern w:val="0"/>
                <w:sz w:val="16"/>
                <w:szCs w:val="16"/>
              </w:rPr>
            </w:pPr>
          </w:p>
        </w:tc>
        <w:tc>
          <w:tcPr>
            <w:tcW w:w="980"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eastAsia="宋体" w:cs="宋体"/>
                <w:kern w:val="0"/>
                <w:sz w:val="16"/>
                <w:szCs w:val="16"/>
              </w:rPr>
            </w:pPr>
          </w:p>
        </w:tc>
        <w:tc>
          <w:tcPr>
            <w:tcW w:w="1470" w:type="dxa"/>
            <w:vMerge w:val="continue"/>
            <w:tcBorders>
              <w:top w:val="nil"/>
              <w:left w:val="single" w:color="auto" w:sz="4" w:space="0"/>
              <w:bottom w:val="nil"/>
              <w:right w:val="single" w:color="auto" w:sz="4" w:space="0"/>
            </w:tcBorders>
            <w:vAlign w:val="center"/>
          </w:tcPr>
          <w:p>
            <w:pPr>
              <w:widowControl/>
              <w:jc w:val="left"/>
              <w:rPr>
                <w:rFonts w:ascii="宋体" w:hAnsi="宋体" w:eastAsia="宋体" w:cs="宋体"/>
                <w:kern w:val="0"/>
                <w:sz w:val="16"/>
                <w:szCs w:val="16"/>
              </w:rPr>
            </w:pPr>
          </w:p>
        </w:tc>
        <w:tc>
          <w:tcPr>
            <w:tcW w:w="35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color w:val="000000"/>
                <w:kern w:val="0"/>
                <w:sz w:val="16"/>
                <w:szCs w:val="16"/>
              </w:rPr>
            </w:pPr>
            <w:r>
              <w:rPr>
                <w:rFonts w:hint="eastAsia" w:ascii="宋体" w:hAnsi="宋体" w:eastAsia="宋体" w:cs="宋体"/>
                <w:color w:val="000000"/>
                <w:kern w:val="0"/>
                <w:sz w:val="16"/>
                <w:szCs w:val="16"/>
              </w:rPr>
              <w:t>债务管理及监测平台系统维护单位数量</w:t>
            </w:r>
          </w:p>
        </w:tc>
        <w:tc>
          <w:tcPr>
            <w:tcW w:w="150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16"/>
                <w:szCs w:val="16"/>
              </w:rPr>
            </w:pPr>
            <w:r>
              <w:rPr>
                <w:rFonts w:hint="eastAsia" w:ascii="宋体" w:hAnsi="宋体" w:eastAsia="宋体" w:cs="宋体"/>
                <w:kern w:val="0"/>
                <w:sz w:val="16"/>
                <w:szCs w:val="16"/>
              </w:rPr>
              <w:t>≥75个</w:t>
            </w:r>
          </w:p>
        </w:tc>
        <w:tc>
          <w:tcPr>
            <w:tcW w:w="152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16"/>
                <w:szCs w:val="16"/>
              </w:rPr>
            </w:pPr>
            <w:r>
              <w:rPr>
                <w:rFonts w:hint="eastAsia" w:ascii="宋体" w:hAnsi="宋体" w:eastAsia="宋体" w:cs="宋体"/>
                <w:kern w:val="0"/>
                <w:sz w:val="16"/>
                <w:szCs w:val="16"/>
              </w:rPr>
              <w:t>75个</w:t>
            </w:r>
          </w:p>
        </w:tc>
      </w:tr>
      <w:tr>
        <w:tblPrEx>
          <w:tblCellMar>
            <w:top w:w="0" w:type="dxa"/>
            <w:left w:w="108" w:type="dxa"/>
            <w:bottom w:w="0" w:type="dxa"/>
            <w:right w:w="108" w:type="dxa"/>
          </w:tblCellMar>
        </w:tblPrEx>
        <w:trPr>
          <w:trHeight w:val="345" w:hRule="atLeast"/>
        </w:trPr>
        <w:tc>
          <w:tcPr>
            <w:tcW w:w="570" w:type="dxa"/>
            <w:vMerge w:val="continue"/>
            <w:tcBorders>
              <w:top w:val="single" w:color="auto" w:sz="4" w:space="0"/>
              <w:left w:val="single" w:color="auto" w:sz="4" w:space="0"/>
              <w:bottom w:val="single" w:color="000000" w:sz="4" w:space="0"/>
              <w:right w:val="single" w:color="auto" w:sz="4" w:space="0"/>
            </w:tcBorders>
            <w:vAlign w:val="center"/>
          </w:tcPr>
          <w:p>
            <w:pPr>
              <w:widowControl/>
              <w:jc w:val="left"/>
              <w:rPr>
                <w:rFonts w:ascii="宋体" w:hAnsi="宋体" w:eastAsia="宋体" w:cs="宋体"/>
                <w:kern w:val="0"/>
                <w:sz w:val="16"/>
                <w:szCs w:val="16"/>
              </w:rPr>
            </w:pPr>
          </w:p>
        </w:tc>
        <w:tc>
          <w:tcPr>
            <w:tcW w:w="980"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eastAsia="宋体" w:cs="宋体"/>
                <w:kern w:val="0"/>
                <w:sz w:val="16"/>
                <w:szCs w:val="16"/>
              </w:rPr>
            </w:pPr>
          </w:p>
        </w:tc>
        <w:tc>
          <w:tcPr>
            <w:tcW w:w="1470" w:type="dxa"/>
            <w:vMerge w:val="continue"/>
            <w:tcBorders>
              <w:top w:val="nil"/>
              <w:left w:val="single" w:color="auto" w:sz="4" w:space="0"/>
              <w:bottom w:val="nil"/>
              <w:right w:val="single" w:color="auto" w:sz="4" w:space="0"/>
            </w:tcBorders>
            <w:vAlign w:val="center"/>
          </w:tcPr>
          <w:p>
            <w:pPr>
              <w:widowControl/>
              <w:jc w:val="left"/>
              <w:rPr>
                <w:rFonts w:ascii="宋体" w:hAnsi="宋体" w:eastAsia="宋体" w:cs="宋体"/>
                <w:kern w:val="0"/>
                <w:sz w:val="16"/>
                <w:szCs w:val="16"/>
              </w:rPr>
            </w:pPr>
          </w:p>
        </w:tc>
        <w:tc>
          <w:tcPr>
            <w:tcW w:w="35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color w:val="000000"/>
                <w:kern w:val="0"/>
                <w:sz w:val="16"/>
                <w:szCs w:val="16"/>
              </w:rPr>
            </w:pPr>
            <w:r>
              <w:rPr>
                <w:rFonts w:hint="eastAsia" w:ascii="宋体" w:hAnsi="宋体" w:eastAsia="宋体" w:cs="宋体"/>
                <w:color w:val="000000"/>
                <w:kern w:val="0"/>
                <w:sz w:val="16"/>
                <w:szCs w:val="16"/>
              </w:rPr>
              <w:t>会议视频系统升级改造</w:t>
            </w:r>
          </w:p>
        </w:tc>
        <w:tc>
          <w:tcPr>
            <w:tcW w:w="150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16"/>
                <w:szCs w:val="16"/>
              </w:rPr>
            </w:pPr>
            <w:r>
              <w:rPr>
                <w:rFonts w:hint="eastAsia" w:ascii="宋体" w:hAnsi="宋体" w:eastAsia="宋体" w:cs="宋体"/>
                <w:kern w:val="0"/>
                <w:sz w:val="16"/>
                <w:szCs w:val="16"/>
              </w:rPr>
              <w:t>≥1套</w:t>
            </w:r>
          </w:p>
        </w:tc>
        <w:tc>
          <w:tcPr>
            <w:tcW w:w="152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16"/>
                <w:szCs w:val="16"/>
              </w:rPr>
            </w:pPr>
            <w:r>
              <w:rPr>
                <w:rFonts w:hint="eastAsia" w:ascii="宋体" w:hAnsi="宋体" w:eastAsia="宋体" w:cs="宋体"/>
                <w:kern w:val="0"/>
                <w:sz w:val="16"/>
                <w:szCs w:val="16"/>
              </w:rPr>
              <w:t>1套</w:t>
            </w:r>
          </w:p>
        </w:tc>
      </w:tr>
      <w:tr>
        <w:tblPrEx>
          <w:tblCellMar>
            <w:top w:w="0" w:type="dxa"/>
            <w:left w:w="108" w:type="dxa"/>
            <w:bottom w:w="0" w:type="dxa"/>
            <w:right w:w="108" w:type="dxa"/>
          </w:tblCellMar>
        </w:tblPrEx>
        <w:trPr>
          <w:trHeight w:val="345" w:hRule="atLeast"/>
        </w:trPr>
        <w:tc>
          <w:tcPr>
            <w:tcW w:w="570" w:type="dxa"/>
            <w:vMerge w:val="continue"/>
            <w:tcBorders>
              <w:top w:val="single" w:color="auto" w:sz="4" w:space="0"/>
              <w:left w:val="single" w:color="auto" w:sz="4" w:space="0"/>
              <w:bottom w:val="single" w:color="000000" w:sz="4" w:space="0"/>
              <w:right w:val="single" w:color="auto" w:sz="4" w:space="0"/>
            </w:tcBorders>
            <w:vAlign w:val="center"/>
          </w:tcPr>
          <w:p>
            <w:pPr>
              <w:widowControl/>
              <w:jc w:val="left"/>
              <w:rPr>
                <w:rFonts w:ascii="宋体" w:hAnsi="宋体" w:eastAsia="宋体" w:cs="宋体"/>
                <w:kern w:val="0"/>
                <w:sz w:val="16"/>
                <w:szCs w:val="16"/>
              </w:rPr>
            </w:pPr>
          </w:p>
        </w:tc>
        <w:tc>
          <w:tcPr>
            <w:tcW w:w="980"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eastAsia="宋体" w:cs="宋体"/>
                <w:kern w:val="0"/>
                <w:sz w:val="16"/>
                <w:szCs w:val="16"/>
              </w:rPr>
            </w:pPr>
          </w:p>
        </w:tc>
        <w:tc>
          <w:tcPr>
            <w:tcW w:w="1470" w:type="dxa"/>
            <w:vMerge w:val="continue"/>
            <w:tcBorders>
              <w:top w:val="nil"/>
              <w:left w:val="single" w:color="auto" w:sz="4" w:space="0"/>
              <w:bottom w:val="nil"/>
              <w:right w:val="single" w:color="auto" w:sz="4" w:space="0"/>
            </w:tcBorders>
            <w:vAlign w:val="center"/>
          </w:tcPr>
          <w:p>
            <w:pPr>
              <w:widowControl/>
              <w:jc w:val="left"/>
              <w:rPr>
                <w:rFonts w:ascii="宋体" w:hAnsi="宋体" w:eastAsia="宋体" w:cs="宋体"/>
                <w:kern w:val="0"/>
                <w:sz w:val="16"/>
                <w:szCs w:val="16"/>
              </w:rPr>
            </w:pPr>
          </w:p>
        </w:tc>
        <w:tc>
          <w:tcPr>
            <w:tcW w:w="35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color w:val="000000"/>
                <w:kern w:val="0"/>
                <w:sz w:val="16"/>
                <w:szCs w:val="16"/>
              </w:rPr>
            </w:pPr>
            <w:r>
              <w:rPr>
                <w:rFonts w:hint="eastAsia" w:ascii="宋体" w:hAnsi="宋体" w:eastAsia="宋体" w:cs="宋体"/>
                <w:color w:val="000000"/>
                <w:kern w:val="0"/>
                <w:sz w:val="16"/>
                <w:szCs w:val="16"/>
              </w:rPr>
              <w:t>开展项目评审出具的评审报告</w:t>
            </w:r>
          </w:p>
        </w:tc>
        <w:tc>
          <w:tcPr>
            <w:tcW w:w="150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16"/>
                <w:szCs w:val="16"/>
              </w:rPr>
            </w:pPr>
            <w:r>
              <w:rPr>
                <w:rFonts w:hint="eastAsia" w:ascii="宋体" w:hAnsi="宋体" w:eastAsia="宋体" w:cs="宋体"/>
                <w:kern w:val="0"/>
                <w:sz w:val="16"/>
                <w:szCs w:val="16"/>
              </w:rPr>
              <w:t>≥150个</w:t>
            </w:r>
          </w:p>
        </w:tc>
        <w:tc>
          <w:tcPr>
            <w:tcW w:w="152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16"/>
                <w:szCs w:val="16"/>
              </w:rPr>
            </w:pPr>
            <w:r>
              <w:rPr>
                <w:rFonts w:hint="eastAsia" w:ascii="宋体" w:hAnsi="宋体" w:eastAsia="宋体" w:cs="宋体"/>
                <w:kern w:val="0"/>
                <w:sz w:val="16"/>
                <w:szCs w:val="16"/>
              </w:rPr>
              <w:t>150个</w:t>
            </w:r>
          </w:p>
        </w:tc>
      </w:tr>
      <w:tr>
        <w:tblPrEx>
          <w:tblCellMar>
            <w:top w:w="0" w:type="dxa"/>
            <w:left w:w="108" w:type="dxa"/>
            <w:bottom w:w="0" w:type="dxa"/>
            <w:right w:w="108" w:type="dxa"/>
          </w:tblCellMar>
        </w:tblPrEx>
        <w:trPr>
          <w:trHeight w:val="345" w:hRule="atLeast"/>
        </w:trPr>
        <w:tc>
          <w:tcPr>
            <w:tcW w:w="570" w:type="dxa"/>
            <w:vMerge w:val="continue"/>
            <w:tcBorders>
              <w:top w:val="single" w:color="auto" w:sz="4" w:space="0"/>
              <w:left w:val="single" w:color="auto" w:sz="4" w:space="0"/>
              <w:bottom w:val="single" w:color="000000" w:sz="4" w:space="0"/>
              <w:right w:val="single" w:color="auto" w:sz="4" w:space="0"/>
            </w:tcBorders>
            <w:vAlign w:val="center"/>
          </w:tcPr>
          <w:p>
            <w:pPr>
              <w:widowControl/>
              <w:jc w:val="left"/>
              <w:rPr>
                <w:rFonts w:ascii="宋体" w:hAnsi="宋体" w:eastAsia="宋体" w:cs="宋体"/>
                <w:kern w:val="0"/>
                <w:sz w:val="16"/>
                <w:szCs w:val="16"/>
              </w:rPr>
            </w:pPr>
          </w:p>
        </w:tc>
        <w:tc>
          <w:tcPr>
            <w:tcW w:w="980"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eastAsia="宋体" w:cs="宋体"/>
                <w:kern w:val="0"/>
                <w:sz w:val="16"/>
                <w:szCs w:val="16"/>
              </w:rPr>
            </w:pPr>
          </w:p>
        </w:tc>
        <w:tc>
          <w:tcPr>
            <w:tcW w:w="1470" w:type="dxa"/>
            <w:vMerge w:val="continue"/>
            <w:tcBorders>
              <w:top w:val="nil"/>
              <w:left w:val="single" w:color="auto" w:sz="4" w:space="0"/>
              <w:bottom w:val="nil"/>
              <w:right w:val="single" w:color="auto" w:sz="4" w:space="0"/>
            </w:tcBorders>
            <w:vAlign w:val="center"/>
          </w:tcPr>
          <w:p>
            <w:pPr>
              <w:widowControl/>
              <w:jc w:val="left"/>
              <w:rPr>
                <w:rFonts w:ascii="宋体" w:hAnsi="宋体" w:eastAsia="宋体" w:cs="宋体"/>
                <w:kern w:val="0"/>
                <w:sz w:val="16"/>
                <w:szCs w:val="16"/>
              </w:rPr>
            </w:pPr>
          </w:p>
        </w:tc>
        <w:tc>
          <w:tcPr>
            <w:tcW w:w="35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color w:val="000000"/>
                <w:kern w:val="0"/>
                <w:sz w:val="16"/>
                <w:szCs w:val="16"/>
              </w:rPr>
            </w:pPr>
            <w:r>
              <w:rPr>
                <w:rFonts w:hint="eastAsia" w:ascii="宋体" w:hAnsi="宋体" w:eastAsia="宋体" w:cs="宋体"/>
                <w:color w:val="000000"/>
                <w:kern w:val="0"/>
                <w:sz w:val="16"/>
                <w:szCs w:val="16"/>
              </w:rPr>
              <w:t>绩效管理部门工作指导部门数量</w:t>
            </w:r>
          </w:p>
        </w:tc>
        <w:tc>
          <w:tcPr>
            <w:tcW w:w="150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16"/>
                <w:szCs w:val="16"/>
              </w:rPr>
            </w:pPr>
            <w:r>
              <w:rPr>
                <w:rFonts w:hint="eastAsia" w:ascii="宋体" w:hAnsi="宋体" w:eastAsia="宋体" w:cs="宋体"/>
                <w:kern w:val="0"/>
                <w:sz w:val="16"/>
                <w:szCs w:val="16"/>
              </w:rPr>
              <w:t>≥75个</w:t>
            </w:r>
          </w:p>
        </w:tc>
        <w:tc>
          <w:tcPr>
            <w:tcW w:w="152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16"/>
                <w:szCs w:val="16"/>
              </w:rPr>
            </w:pPr>
            <w:r>
              <w:rPr>
                <w:rFonts w:hint="eastAsia" w:ascii="宋体" w:hAnsi="宋体" w:eastAsia="宋体" w:cs="宋体"/>
                <w:kern w:val="0"/>
                <w:sz w:val="16"/>
                <w:szCs w:val="16"/>
              </w:rPr>
              <w:t>75个</w:t>
            </w:r>
          </w:p>
        </w:tc>
      </w:tr>
      <w:tr>
        <w:trPr>
          <w:trHeight w:val="345" w:hRule="atLeast"/>
        </w:trPr>
        <w:tc>
          <w:tcPr>
            <w:tcW w:w="570" w:type="dxa"/>
            <w:vMerge w:val="continue"/>
            <w:tcBorders>
              <w:top w:val="single" w:color="auto" w:sz="4" w:space="0"/>
              <w:left w:val="single" w:color="auto" w:sz="4" w:space="0"/>
              <w:bottom w:val="single" w:color="000000" w:sz="4" w:space="0"/>
              <w:right w:val="single" w:color="auto" w:sz="4" w:space="0"/>
            </w:tcBorders>
            <w:vAlign w:val="center"/>
          </w:tcPr>
          <w:p>
            <w:pPr>
              <w:widowControl/>
              <w:jc w:val="left"/>
              <w:rPr>
                <w:rFonts w:ascii="宋体" w:hAnsi="宋体" w:eastAsia="宋体" w:cs="宋体"/>
                <w:kern w:val="0"/>
                <w:sz w:val="16"/>
                <w:szCs w:val="16"/>
              </w:rPr>
            </w:pPr>
          </w:p>
        </w:tc>
        <w:tc>
          <w:tcPr>
            <w:tcW w:w="980"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eastAsia="宋体" w:cs="宋体"/>
                <w:kern w:val="0"/>
                <w:sz w:val="16"/>
                <w:szCs w:val="16"/>
              </w:rPr>
            </w:pPr>
          </w:p>
        </w:tc>
        <w:tc>
          <w:tcPr>
            <w:tcW w:w="1470" w:type="dxa"/>
            <w:vMerge w:val="continue"/>
            <w:tcBorders>
              <w:top w:val="nil"/>
              <w:left w:val="single" w:color="auto" w:sz="4" w:space="0"/>
              <w:bottom w:val="nil"/>
              <w:right w:val="single" w:color="auto" w:sz="4" w:space="0"/>
            </w:tcBorders>
            <w:vAlign w:val="center"/>
          </w:tcPr>
          <w:p>
            <w:pPr>
              <w:widowControl/>
              <w:jc w:val="left"/>
              <w:rPr>
                <w:rFonts w:ascii="宋体" w:hAnsi="宋体" w:eastAsia="宋体" w:cs="宋体"/>
                <w:kern w:val="0"/>
                <w:sz w:val="16"/>
                <w:szCs w:val="16"/>
              </w:rPr>
            </w:pPr>
          </w:p>
        </w:tc>
        <w:tc>
          <w:tcPr>
            <w:tcW w:w="35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color w:val="000000"/>
                <w:kern w:val="0"/>
                <w:sz w:val="16"/>
                <w:szCs w:val="16"/>
              </w:rPr>
            </w:pPr>
            <w:r>
              <w:rPr>
                <w:rFonts w:hint="eastAsia" w:ascii="宋体" w:hAnsi="宋体" w:eastAsia="宋体" w:cs="宋体"/>
                <w:color w:val="000000"/>
                <w:kern w:val="0"/>
                <w:sz w:val="16"/>
                <w:szCs w:val="16"/>
              </w:rPr>
              <w:t>开展部门整体支出绩效评价数量</w:t>
            </w:r>
          </w:p>
        </w:tc>
        <w:tc>
          <w:tcPr>
            <w:tcW w:w="150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16"/>
                <w:szCs w:val="16"/>
              </w:rPr>
            </w:pPr>
            <w:r>
              <w:rPr>
                <w:rFonts w:hint="eastAsia" w:ascii="宋体" w:hAnsi="宋体" w:eastAsia="宋体" w:cs="宋体"/>
                <w:kern w:val="0"/>
                <w:sz w:val="16"/>
                <w:szCs w:val="16"/>
              </w:rPr>
              <w:t>≥20个</w:t>
            </w:r>
          </w:p>
        </w:tc>
        <w:tc>
          <w:tcPr>
            <w:tcW w:w="152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16"/>
                <w:szCs w:val="16"/>
              </w:rPr>
            </w:pPr>
            <w:r>
              <w:rPr>
                <w:rFonts w:hint="eastAsia" w:ascii="宋体" w:hAnsi="宋体" w:eastAsia="宋体" w:cs="宋体"/>
                <w:kern w:val="0"/>
                <w:sz w:val="16"/>
                <w:szCs w:val="16"/>
              </w:rPr>
              <w:t>20个</w:t>
            </w:r>
          </w:p>
        </w:tc>
      </w:tr>
      <w:tr>
        <w:tblPrEx>
          <w:tblCellMar>
            <w:top w:w="0" w:type="dxa"/>
            <w:left w:w="108" w:type="dxa"/>
            <w:bottom w:w="0" w:type="dxa"/>
            <w:right w:w="108" w:type="dxa"/>
          </w:tblCellMar>
        </w:tblPrEx>
        <w:trPr>
          <w:trHeight w:val="345" w:hRule="atLeast"/>
        </w:trPr>
        <w:tc>
          <w:tcPr>
            <w:tcW w:w="570" w:type="dxa"/>
            <w:vMerge w:val="continue"/>
            <w:tcBorders>
              <w:top w:val="single" w:color="auto" w:sz="4" w:space="0"/>
              <w:left w:val="single" w:color="auto" w:sz="4" w:space="0"/>
              <w:bottom w:val="single" w:color="000000" w:sz="4" w:space="0"/>
              <w:right w:val="single" w:color="auto" w:sz="4" w:space="0"/>
            </w:tcBorders>
            <w:vAlign w:val="center"/>
          </w:tcPr>
          <w:p>
            <w:pPr>
              <w:widowControl/>
              <w:jc w:val="left"/>
              <w:rPr>
                <w:rFonts w:ascii="宋体" w:hAnsi="宋体" w:eastAsia="宋体" w:cs="宋体"/>
                <w:kern w:val="0"/>
                <w:sz w:val="16"/>
                <w:szCs w:val="16"/>
              </w:rPr>
            </w:pPr>
          </w:p>
        </w:tc>
        <w:tc>
          <w:tcPr>
            <w:tcW w:w="980"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eastAsia="宋体" w:cs="宋体"/>
                <w:kern w:val="0"/>
                <w:sz w:val="16"/>
                <w:szCs w:val="16"/>
              </w:rPr>
            </w:pPr>
          </w:p>
        </w:tc>
        <w:tc>
          <w:tcPr>
            <w:tcW w:w="1470" w:type="dxa"/>
            <w:vMerge w:val="continue"/>
            <w:tcBorders>
              <w:top w:val="nil"/>
              <w:left w:val="single" w:color="auto" w:sz="4" w:space="0"/>
              <w:bottom w:val="nil"/>
              <w:right w:val="single" w:color="auto" w:sz="4" w:space="0"/>
            </w:tcBorders>
            <w:vAlign w:val="center"/>
          </w:tcPr>
          <w:p>
            <w:pPr>
              <w:widowControl/>
              <w:jc w:val="left"/>
              <w:rPr>
                <w:rFonts w:ascii="宋体" w:hAnsi="宋体" w:eastAsia="宋体" w:cs="宋体"/>
                <w:kern w:val="0"/>
                <w:sz w:val="16"/>
                <w:szCs w:val="16"/>
              </w:rPr>
            </w:pPr>
          </w:p>
        </w:tc>
        <w:tc>
          <w:tcPr>
            <w:tcW w:w="35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color w:val="000000"/>
                <w:kern w:val="0"/>
                <w:sz w:val="16"/>
                <w:szCs w:val="16"/>
              </w:rPr>
            </w:pPr>
            <w:r>
              <w:rPr>
                <w:rFonts w:hint="eastAsia" w:ascii="宋体" w:hAnsi="宋体" w:eastAsia="宋体" w:cs="宋体"/>
                <w:color w:val="000000"/>
                <w:kern w:val="0"/>
                <w:sz w:val="16"/>
                <w:szCs w:val="16"/>
              </w:rPr>
              <w:t>开展政策和项目支出绩效评价数量</w:t>
            </w:r>
          </w:p>
        </w:tc>
        <w:tc>
          <w:tcPr>
            <w:tcW w:w="150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16"/>
                <w:szCs w:val="16"/>
              </w:rPr>
            </w:pPr>
            <w:r>
              <w:rPr>
                <w:rFonts w:hint="eastAsia" w:ascii="宋体" w:hAnsi="宋体" w:eastAsia="宋体" w:cs="宋体"/>
                <w:kern w:val="0"/>
                <w:sz w:val="16"/>
                <w:szCs w:val="16"/>
              </w:rPr>
              <w:t>≥30个</w:t>
            </w:r>
          </w:p>
        </w:tc>
        <w:tc>
          <w:tcPr>
            <w:tcW w:w="152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16"/>
                <w:szCs w:val="16"/>
              </w:rPr>
            </w:pPr>
            <w:r>
              <w:rPr>
                <w:rFonts w:hint="eastAsia" w:ascii="宋体" w:hAnsi="宋体" w:eastAsia="宋体" w:cs="宋体"/>
                <w:kern w:val="0"/>
                <w:sz w:val="16"/>
                <w:szCs w:val="16"/>
              </w:rPr>
              <w:t>30个</w:t>
            </w:r>
          </w:p>
        </w:tc>
      </w:tr>
      <w:tr>
        <w:tblPrEx>
          <w:tblCellMar>
            <w:top w:w="0" w:type="dxa"/>
            <w:left w:w="108" w:type="dxa"/>
            <w:bottom w:w="0" w:type="dxa"/>
            <w:right w:w="108" w:type="dxa"/>
          </w:tblCellMar>
        </w:tblPrEx>
        <w:trPr>
          <w:trHeight w:val="345" w:hRule="atLeast"/>
        </w:trPr>
        <w:tc>
          <w:tcPr>
            <w:tcW w:w="570" w:type="dxa"/>
            <w:vMerge w:val="continue"/>
            <w:tcBorders>
              <w:top w:val="single" w:color="auto" w:sz="4" w:space="0"/>
              <w:left w:val="single" w:color="auto" w:sz="4" w:space="0"/>
              <w:bottom w:val="single" w:color="000000" w:sz="4" w:space="0"/>
              <w:right w:val="single" w:color="auto" w:sz="4" w:space="0"/>
            </w:tcBorders>
            <w:vAlign w:val="center"/>
          </w:tcPr>
          <w:p>
            <w:pPr>
              <w:widowControl/>
              <w:jc w:val="left"/>
              <w:rPr>
                <w:rFonts w:ascii="宋体" w:hAnsi="宋体" w:eastAsia="宋体" w:cs="宋体"/>
                <w:kern w:val="0"/>
                <w:sz w:val="16"/>
                <w:szCs w:val="16"/>
              </w:rPr>
            </w:pPr>
          </w:p>
        </w:tc>
        <w:tc>
          <w:tcPr>
            <w:tcW w:w="980"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eastAsia="宋体" w:cs="宋体"/>
                <w:kern w:val="0"/>
                <w:sz w:val="16"/>
                <w:szCs w:val="16"/>
              </w:rPr>
            </w:pPr>
          </w:p>
        </w:tc>
        <w:tc>
          <w:tcPr>
            <w:tcW w:w="1470" w:type="dxa"/>
            <w:vMerge w:val="continue"/>
            <w:tcBorders>
              <w:top w:val="nil"/>
              <w:left w:val="single" w:color="auto" w:sz="4" w:space="0"/>
              <w:bottom w:val="nil"/>
              <w:right w:val="single" w:color="auto" w:sz="4" w:space="0"/>
            </w:tcBorders>
            <w:vAlign w:val="center"/>
          </w:tcPr>
          <w:p>
            <w:pPr>
              <w:widowControl/>
              <w:jc w:val="left"/>
              <w:rPr>
                <w:rFonts w:ascii="宋体" w:hAnsi="宋体" w:eastAsia="宋体" w:cs="宋体"/>
                <w:kern w:val="0"/>
                <w:sz w:val="16"/>
                <w:szCs w:val="16"/>
              </w:rPr>
            </w:pPr>
          </w:p>
        </w:tc>
        <w:tc>
          <w:tcPr>
            <w:tcW w:w="35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color w:val="000000"/>
                <w:kern w:val="0"/>
                <w:sz w:val="16"/>
                <w:szCs w:val="16"/>
              </w:rPr>
            </w:pPr>
            <w:r>
              <w:rPr>
                <w:rFonts w:hint="eastAsia" w:ascii="宋体" w:hAnsi="宋体" w:eastAsia="宋体" w:cs="宋体"/>
                <w:color w:val="000000"/>
                <w:kern w:val="0"/>
                <w:sz w:val="16"/>
                <w:szCs w:val="16"/>
              </w:rPr>
              <w:t>部门项目财务核算数量</w:t>
            </w:r>
          </w:p>
        </w:tc>
        <w:tc>
          <w:tcPr>
            <w:tcW w:w="150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16"/>
                <w:szCs w:val="16"/>
              </w:rPr>
            </w:pPr>
            <w:r>
              <w:rPr>
                <w:rFonts w:hint="eastAsia" w:ascii="宋体" w:hAnsi="宋体" w:eastAsia="宋体" w:cs="宋体"/>
                <w:kern w:val="0"/>
                <w:sz w:val="16"/>
                <w:szCs w:val="16"/>
              </w:rPr>
              <w:t>≥100个</w:t>
            </w:r>
          </w:p>
        </w:tc>
        <w:tc>
          <w:tcPr>
            <w:tcW w:w="152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16"/>
                <w:szCs w:val="16"/>
              </w:rPr>
            </w:pPr>
            <w:r>
              <w:rPr>
                <w:rFonts w:hint="eastAsia" w:ascii="宋体" w:hAnsi="宋体" w:eastAsia="宋体" w:cs="宋体"/>
                <w:kern w:val="0"/>
                <w:sz w:val="16"/>
                <w:szCs w:val="16"/>
              </w:rPr>
              <w:t>100个</w:t>
            </w:r>
          </w:p>
        </w:tc>
      </w:tr>
      <w:tr>
        <w:tblPrEx>
          <w:tblCellMar>
            <w:top w:w="0" w:type="dxa"/>
            <w:left w:w="108" w:type="dxa"/>
            <w:bottom w:w="0" w:type="dxa"/>
            <w:right w:w="108" w:type="dxa"/>
          </w:tblCellMar>
        </w:tblPrEx>
        <w:trPr>
          <w:trHeight w:val="345" w:hRule="atLeast"/>
        </w:trPr>
        <w:tc>
          <w:tcPr>
            <w:tcW w:w="570" w:type="dxa"/>
            <w:vMerge w:val="continue"/>
            <w:tcBorders>
              <w:top w:val="single" w:color="auto" w:sz="4" w:space="0"/>
              <w:left w:val="single" w:color="auto" w:sz="4" w:space="0"/>
              <w:bottom w:val="single" w:color="000000" w:sz="4" w:space="0"/>
              <w:right w:val="single" w:color="auto" w:sz="4" w:space="0"/>
            </w:tcBorders>
            <w:vAlign w:val="center"/>
          </w:tcPr>
          <w:p>
            <w:pPr>
              <w:widowControl/>
              <w:jc w:val="left"/>
              <w:rPr>
                <w:rFonts w:ascii="宋体" w:hAnsi="宋体" w:eastAsia="宋体" w:cs="宋体"/>
                <w:kern w:val="0"/>
                <w:sz w:val="16"/>
                <w:szCs w:val="16"/>
              </w:rPr>
            </w:pPr>
          </w:p>
        </w:tc>
        <w:tc>
          <w:tcPr>
            <w:tcW w:w="980"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eastAsia="宋体" w:cs="宋体"/>
                <w:kern w:val="0"/>
                <w:sz w:val="16"/>
                <w:szCs w:val="16"/>
              </w:rPr>
            </w:pPr>
          </w:p>
        </w:tc>
        <w:tc>
          <w:tcPr>
            <w:tcW w:w="1470" w:type="dxa"/>
            <w:vMerge w:val="continue"/>
            <w:tcBorders>
              <w:top w:val="nil"/>
              <w:left w:val="single" w:color="auto" w:sz="4" w:space="0"/>
              <w:bottom w:val="nil"/>
              <w:right w:val="single" w:color="auto" w:sz="4" w:space="0"/>
            </w:tcBorders>
            <w:vAlign w:val="center"/>
          </w:tcPr>
          <w:p>
            <w:pPr>
              <w:widowControl/>
              <w:jc w:val="left"/>
              <w:rPr>
                <w:rFonts w:ascii="宋体" w:hAnsi="宋体" w:eastAsia="宋体" w:cs="宋体"/>
                <w:kern w:val="0"/>
                <w:sz w:val="16"/>
                <w:szCs w:val="16"/>
              </w:rPr>
            </w:pPr>
          </w:p>
        </w:tc>
        <w:tc>
          <w:tcPr>
            <w:tcW w:w="35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color w:val="000000"/>
                <w:kern w:val="0"/>
                <w:sz w:val="16"/>
                <w:szCs w:val="16"/>
              </w:rPr>
            </w:pPr>
            <w:r>
              <w:rPr>
                <w:rFonts w:hint="eastAsia" w:ascii="宋体" w:hAnsi="宋体" w:eastAsia="宋体" w:cs="宋体"/>
                <w:color w:val="000000"/>
                <w:kern w:val="0"/>
                <w:sz w:val="16"/>
                <w:szCs w:val="16"/>
              </w:rPr>
              <w:t>开展事前绩效评估数量</w:t>
            </w:r>
          </w:p>
        </w:tc>
        <w:tc>
          <w:tcPr>
            <w:tcW w:w="150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16"/>
                <w:szCs w:val="16"/>
              </w:rPr>
            </w:pPr>
            <w:r>
              <w:rPr>
                <w:rFonts w:hint="eastAsia" w:ascii="宋体" w:hAnsi="宋体" w:eastAsia="宋体" w:cs="宋体"/>
                <w:kern w:val="0"/>
                <w:sz w:val="16"/>
                <w:szCs w:val="16"/>
              </w:rPr>
              <w:t>≥8个</w:t>
            </w:r>
          </w:p>
        </w:tc>
        <w:tc>
          <w:tcPr>
            <w:tcW w:w="152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16"/>
                <w:szCs w:val="16"/>
              </w:rPr>
            </w:pPr>
            <w:r>
              <w:rPr>
                <w:rFonts w:hint="eastAsia" w:ascii="宋体" w:hAnsi="宋体" w:eastAsia="宋体" w:cs="宋体"/>
                <w:kern w:val="0"/>
                <w:sz w:val="16"/>
                <w:szCs w:val="16"/>
              </w:rPr>
              <w:t>8个</w:t>
            </w:r>
          </w:p>
        </w:tc>
      </w:tr>
      <w:tr>
        <w:trPr>
          <w:trHeight w:val="345" w:hRule="atLeast"/>
        </w:trPr>
        <w:tc>
          <w:tcPr>
            <w:tcW w:w="570" w:type="dxa"/>
            <w:vMerge w:val="continue"/>
            <w:tcBorders>
              <w:top w:val="single" w:color="auto" w:sz="4" w:space="0"/>
              <w:left w:val="single" w:color="auto" w:sz="4" w:space="0"/>
              <w:bottom w:val="single" w:color="000000" w:sz="4" w:space="0"/>
              <w:right w:val="single" w:color="auto" w:sz="4" w:space="0"/>
            </w:tcBorders>
            <w:vAlign w:val="center"/>
          </w:tcPr>
          <w:p>
            <w:pPr>
              <w:widowControl/>
              <w:jc w:val="left"/>
              <w:rPr>
                <w:rFonts w:ascii="宋体" w:hAnsi="宋体" w:eastAsia="宋体" w:cs="宋体"/>
                <w:kern w:val="0"/>
                <w:sz w:val="16"/>
                <w:szCs w:val="16"/>
              </w:rPr>
            </w:pPr>
          </w:p>
        </w:tc>
        <w:tc>
          <w:tcPr>
            <w:tcW w:w="980"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eastAsia="宋体" w:cs="宋体"/>
                <w:kern w:val="0"/>
                <w:sz w:val="16"/>
                <w:szCs w:val="16"/>
              </w:rPr>
            </w:pPr>
          </w:p>
        </w:tc>
        <w:tc>
          <w:tcPr>
            <w:tcW w:w="1470" w:type="dxa"/>
            <w:vMerge w:val="continue"/>
            <w:tcBorders>
              <w:top w:val="nil"/>
              <w:left w:val="single" w:color="auto" w:sz="4" w:space="0"/>
              <w:bottom w:val="nil"/>
              <w:right w:val="single" w:color="auto" w:sz="4" w:space="0"/>
            </w:tcBorders>
            <w:vAlign w:val="center"/>
          </w:tcPr>
          <w:p>
            <w:pPr>
              <w:widowControl/>
              <w:jc w:val="left"/>
              <w:rPr>
                <w:rFonts w:ascii="宋体" w:hAnsi="宋体" w:eastAsia="宋体" w:cs="宋体"/>
                <w:kern w:val="0"/>
                <w:sz w:val="16"/>
                <w:szCs w:val="16"/>
              </w:rPr>
            </w:pPr>
          </w:p>
        </w:tc>
        <w:tc>
          <w:tcPr>
            <w:tcW w:w="35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color w:val="000000"/>
                <w:kern w:val="0"/>
                <w:sz w:val="16"/>
                <w:szCs w:val="16"/>
              </w:rPr>
            </w:pPr>
            <w:r>
              <w:rPr>
                <w:rFonts w:hint="eastAsia" w:ascii="宋体" w:hAnsi="宋体" w:eastAsia="宋体" w:cs="宋体"/>
                <w:color w:val="000000"/>
                <w:kern w:val="0"/>
                <w:sz w:val="16"/>
                <w:szCs w:val="16"/>
              </w:rPr>
              <w:t>食堂工作日卫生每天保洁次数</w:t>
            </w:r>
          </w:p>
        </w:tc>
        <w:tc>
          <w:tcPr>
            <w:tcW w:w="150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16"/>
                <w:szCs w:val="16"/>
              </w:rPr>
            </w:pPr>
            <w:r>
              <w:rPr>
                <w:rFonts w:hint="eastAsia" w:ascii="宋体" w:hAnsi="宋体" w:eastAsia="宋体" w:cs="宋体"/>
                <w:kern w:val="0"/>
                <w:sz w:val="16"/>
                <w:szCs w:val="16"/>
              </w:rPr>
              <w:t>等于3次</w:t>
            </w:r>
          </w:p>
        </w:tc>
        <w:tc>
          <w:tcPr>
            <w:tcW w:w="152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16"/>
                <w:szCs w:val="16"/>
              </w:rPr>
            </w:pPr>
            <w:r>
              <w:rPr>
                <w:rFonts w:hint="eastAsia" w:ascii="宋体" w:hAnsi="宋体" w:eastAsia="宋体" w:cs="宋体"/>
                <w:kern w:val="0"/>
                <w:sz w:val="16"/>
                <w:szCs w:val="16"/>
              </w:rPr>
              <w:t>3次</w:t>
            </w:r>
          </w:p>
        </w:tc>
      </w:tr>
      <w:tr>
        <w:tblPrEx>
          <w:tblCellMar>
            <w:top w:w="0" w:type="dxa"/>
            <w:left w:w="108" w:type="dxa"/>
            <w:bottom w:w="0" w:type="dxa"/>
            <w:right w:w="108" w:type="dxa"/>
          </w:tblCellMar>
        </w:tblPrEx>
        <w:trPr>
          <w:trHeight w:val="345" w:hRule="atLeast"/>
        </w:trPr>
        <w:tc>
          <w:tcPr>
            <w:tcW w:w="570" w:type="dxa"/>
            <w:vMerge w:val="continue"/>
            <w:tcBorders>
              <w:top w:val="single" w:color="auto" w:sz="4" w:space="0"/>
              <w:left w:val="single" w:color="auto" w:sz="4" w:space="0"/>
              <w:bottom w:val="single" w:color="000000" w:sz="4" w:space="0"/>
              <w:right w:val="single" w:color="auto" w:sz="4" w:space="0"/>
            </w:tcBorders>
            <w:vAlign w:val="center"/>
          </w:tcPr>
          <w:p>
            <w:pPr>
              <w:widowControl/>
              <w:jc w:val="left"/>
              <w:rPr>
                <w:rFonts w:ascii="宋体" w:hAnsi="宋体" w:eastAsia="宋体" w:cs="宋体"/>
                <w:kern w:val="0"/>
                <w:sz w:val="16"/>
                <w:szCs w:val="16"/>
              </w:rPr>
            </w:pPr>
          </w:p>
        </w:tc>
        <w:tc>
          <w:tcPr>
            <w:tcW w:w="980"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eastAsia="宋体" w:cs="宋体"/>
                <w:kern w:val="0"/>
                <w:sz w:val="16"/>
                <w:szCs w:val="16"/>
              </w:rPr>
            </w:pPr>
          </w:p>
        </w:tc>
        <w:tc>
          <w:tcPr>
            <w:tcW w:w="1470" w:type="dxa"/>
            <w:vMerge w:val="continue"/>
            <w:tcBorders>
              <w:top w:val="nil"/>
              <w:left w:val="single" w:color="auto" w:sz="4" w:space="0"/>
              <w:bottom w:val="nil"/>
              <w:right w:val="single" w:color="auto" w:sz="4" w:space="0"/>
            </w:tcBorders>
            <w:vAlign w:val="center"/>
          </w:tcPr>
          <w:p>
            <w:pPr>
              <w:widowControl/>
              <w:jc w:val="left"/>
              <w:rPr>
                <w:rFonts w:ascii="宋体" w:hAnsi="宋体" w:eastAsia="宋体" w:cs="宋体"/>
                <w:kern w:val="0"/>
                <w:sz w:val="16"/>
                <w:szCs w:val="16"/>
              </w:rPr>
            </w:pPr>
          </w:p>
        </w:tc>
        <w:tc>
          <w:tcPr>
            <w:tcW w:w="35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color w:val="000000"/>
                <w:kern w:val="0"/>
                <w:sz w:val="16"/>
                <w:szCs w:val="16"/>
              </w:rPr>
            </w:pPr>
            <w:r>
              <w:rPr>
                <w:rFonts w:hint="eastAsia" w:ascii="宋体" w:hAnsi="宋体" w:eastAsia="宋体" w:cs="宋体"/>
                <w:color w:val="000000"/>
                <w:kern w:val="0"/>
                <w:sz w:val="16"/>
                <w:szCs w:val="16"/>
              </w:rPr>
              <w:t>食堂工作日每天出餐次数</w:t>
            </w:r>
          </w:p>
        </w:tc>
        <w:tc>
          <w:tcPr>
            <w:tcW w:w="150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16"/>
                <w:szCs w:val="16"/>
              </w:rPr>
            </w:pPr>
            <w:r>
              <w:rPr>
                <w:rFonts w:hint="eastAsia" w:ascii="宋体" w:hAnsi="宋体" w:eastAsia="宋体" w:cs="宋体"/>
                <w:kern w:val="0"/>
                <w:sz w:val="16"/>
                <w:szCs w:val="16"/>
              </w:rPr>
              <w:t>等于3次</w:t>
            </w:r>
          </w:p>
        </w:tc>
        <w:tc>
          <w:tcPr>
            <w:tcW w:w="152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16"/>
                <w:szCs w:val="16"/>
              </w:rPr>
            </w:pPr>
            <w:r>
              <w:rPr>
                <w:rFonts w:hint="eastAsia" w:ascii="宋体" w:hAnsi="宋体" w:eastAsia="宋体" w:cs="宋体"/>
                <w:kern w:val="0"/>
                <w:sz w:val="16"/>
                <w:szCs w:val="16"/>
              </w:rPr>
              <w:t>3次</w:t>
            </w:r>
          </w:p>
        </w:tc>
      </w:tr>
      <w:tr>
        <w:tblPrEx>
          <w:tblCellMar>
            <w:top w:w="0" w:type="dxa"/>
            <w:left w:w="108" w:type="dxa"/>
            <w:bottom w:w="0" w:type="dxa"/>
            <w:right w:w="108" w:type="dxa"/>
          </w:tblCellMar>
        </w:tblPrEx>
        <w:trPr>
          <w:trHeight w:val="345" w:hRule="atLeast"/>
        </w:trPr>
        <w:tc>
          <w:tcPr>
            <w:tcW w:w="570" w:type="dxa"/>
            <w:vMerge w:val="continue"/>
            <w:tcBorders>
              <w:top w:val="single" w:color="auto" w:sz="4" w:space="0"/>
              <w:left w:val="single" w:color="auto" w:sz="4" w:space="0"/>
              <w:bottom w:val="single" w:color="000000" w:sz="4" w:space="0"/>
              <w:right w:val="single" w:color="auto" w:sz="4" w:space="0"/>
            </w:tcBorders>
            <w:vAlign w:val="center"/>
          </w:tcPr>
          <w:p>
            <w:pPr>
              <w:widowControl/>
              <w:jc w:val="left"/>
              <w:rPr>
                <w:rFonts w:ascii="宋体" w:hAnsi="宋体" w:eastAsia="宋体" w:cs="宋体"/>
                <w:kern w:val="0"/>
                <w:sz w:val="16"/>
                <w:szCs w:val="16"/>
              </w:rPr>
            </w:pPr>
          </w:p>
        </w:tc>
        <w:tc>
          <w:tcPr>
            <w:tcW w:w="980"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eastAsia="宋体" w:cs="宋体"/>
                <w:kern w:val="0"/>
                <w:sz w:val="16"/>
                <w:szCs w:val="16"/>
              </w:rPr>
            </w:pPr>
          </w:p>
        </w:tc>
        <w:tc>
          <w:tcPr>
            <w:tcW w:w="1470" w:type="dxa"/>
            <w:vMerge w:val="continue"/>
            <w:tcBorders>
              <w:top w:val="nil"/>
              <w:left w:val="single" w:color="auto" w:sz="4" w:space="0"/>
              <w:bottom w:val="nil"/>
              <w:right w:val="single" w:color="auto" w:sz="4" w:space="0"/>
            </w:tcBorders>
            <w:vAlign w:val="center"/>
          </w:tcPr>
          <w:p>
            <w:pPr>
              <w:widowControl/>
              <w:jc w:val="left"/>
              <w:rPr>
                <w:rFonts w:ascii="宋体" w:hAnsi="宋体" w:eastAsia="宋体" w:cs="宋体"/>
                <w:kern w:val="0"/>
                <w:sz w:val="16"/>
                <w:szCs w:val="16"/>
              </w:rPr>
            </w:pPr>
          </w:p>
        </w:tc>
        <w:tc>
          <w:tcPr>
            <w:tcW w:w="35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color w:val="000000"/>
                <w:kern w:val="0"/>
                <w:sz w:val="16"/>
                <w:szCs w:val="16"/>
              </w:rPr>
            </w:pPr>
            <w:r>
              <w:rPr>
                <w:rFonts w:hint="eastAsia" w:ascii="宋体" w:hAnsi="宋体" w:eastAsia="宋体" w:cs="宋体"/>
                <w:color w:val="000000"/>
                <w:kern w:val="0"/>
                <w:sz w:val="16"/>
                <w:szCs w:val="16"/>
              </w:rPr>
              <w:t>劳务人员发放工资及时性</w:t>
            </w:r>
          </w:p>
        </w:tc>
        <w:tc>
          <w:tcPr>
            <w:tcW w:w="150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16"/>
                <w:szCs w:val="16"/>
              </w:rPr>
            </w:pPr>
            <w:r>
              <w:rPr>
                <w:rFonts w:hint="eastAsia" w:ascii="宋体" w:hAnsi="宋体" w:eastAsia="宋体" w:cs="宋体"/>
                <w:kern w:val="0"/>
                <w:sz w:val="16"/>
                <w:szCs w:val="16"/>
              </w:rPr>
              <w:t>等于12月</w:t>
            </w:r>
          </w:p>
        </w:tc>
        <w:tc>
          <w:tcPr>
            <w:tcW w:w="152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16"/>
                <w:szCs w:val="16"/>
              </w:rPr>
            </w:pPr>
            <w:r>
              <w:rPr>
                <w:rFonts w:hint="eastAsia" w:ascii="宋体" w:hAnsi="宋体" w:eastAsia="宋体" w:cs="宋体"/>
                <w:kern w:val="0"/>
                <w:sz w:val="16"/>
                <w:szCs w:val="16"/>
              </w:rPr>
              <w:t>12月</w:t>
            </w:r>
          </w:p>
        </w:tc>
      </w:tr>
      <w:tr>
        <w:tblPrEx>
          <w:tblCellMar>
            <w:top w:w="0" w:type="dxa"/>
            <w:left w:w="108" w:type="dxa"/>
            <w:bottom w:w="0" w:type="dxa"/>
            <w:right w:w="108" w:type="dxa"/>
          </w:tblCellMar>
        </w:tblPrEx>
        <w:trPr>
          <w:trHeight w:val="345" w:hRule="atLeast"/>
        </w:trPr>
        <w:tc>
          <w:tcPr>
            <w:tcW w:w="570" w:type="dxa"/>
            <w:vMerge w:val="continue"/>
            <w:tcBorders>
              <w:top w:val="single" w:color="auto" w:sz="4" w:space="0"/>
              <w:left w:val="single" w:color="auto" w:sz="4" w:space="0"/>
              <w:bottom w:val="single" w:color="000000" w:sz="4" w:space="0"/>
              <w:right w:val="single" w:color="auto" w:sz="4" w:space="0"/>
            </w:tcBorders>
            <w:vAlign w:val="center"/>
          </w:tcPr>
          <w:p>
            <w:pPr>
              <w:widowControl/>
              <w:jc w:val="left"/>
              <w:rPr>
                <w:rFonts w:ascii="宋体" w:hAnsi="宋体" w:eastAsia="宋体" w:cs="宋体"/>
                <w:kern w:val="0"/>
                <w:sz w:val="16"/>
                <w:szCs w:val="16"/>
              </w:rPr>
            </w:pPr>
          </w:p>
        </w:tc>
        <w:tc>
          <w:tcPr>
            <w:tcW w:w="980"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eastAsia="宋体" w:cs="宋体"/>
                <w:kern w:val="0"/>
                <w:sz w:val="16"/>
                <w:szCs w:val="16"/>
              </w:rPr>
            </w:pPr>
          </w:p>
        </w:tc>
        <w:tc>
          <w:tcPr>
            <w:tcW w:w="1470" w:type="dxa"/>
            <w:vMerge w:val="continue"/>
            <w:tcBorders>
              <w:top w:val="nil"/>
              <w:left w:val="single" w:color="auto" w:sz="4" w:space="0"/>
              <w:bottom w:val="nil"/>
              <w:right w:val="single" w:color="auto" w:sz="4" w:space="0"/>
            </w:tcBorders>
            <w:vAlign w:val="center"/>
          </w:tcPr>
          <w:p>
            <w:pPr>
              <w:widowControl/>
              <w:jc w:val="left"/>
              <w:rPr>
                <w:rFonts w:ascii="宋体" w:hAnsi="宋体" w:eastAsia="宋体" w:cs="宋体"/>
                <w:kern w:val="0"/>
                <w:sz w:val="16"/>
                <w:szCs w:val="16"/>
              </w:rPr>
            </w:pPr>
          </w:p>
        </w:tc>
        <w:tc>
          <w:tcPr>
            <w:tcW w:w="35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color w:val="000000"/>
                <w:kern w:val="0"/>
                <w:sz w:val="16"/>
                <w:szCs w:val="16"/>
              </w:rPr>
            </w:pPr>
            <w:r>
              <w:rPr>
                <w:rFonts w:hint="eastAsia" w:ascii="宋体" w:hAnsi="宋体" w:eastAsia="宋体" w:cs="宋体"/>
                <w:color w:val="000000"/>
                <w:kern w:val="0"/>
                <w:sz w:val="16"/>
                <w:szCs w:val="16"/>
              </w:rPr>
              <w:t>劳务派遣人数</w:t>
            </w:r>
          </w:p>
        </w:tc>
        <w:tc>
          <w:tcPr>
            <w:tcW w:w="150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16"/>
                <w:szCs w:val="16"/>
              </w:rPr>
            </w:pPr>
            <w:r>
              <w:rPr>
                <w:rFonts w:hint="eastAsia" w:ascii="宋体" w:hAnsi="宋体" w:eastAsia="宋体" w:cs="宋体"/>
                <w:kern w:val="0"/>
                <w:sz w:val="16"/>
                <w:szCs w:val="16"/>
              </w:rPr>
              <w:t>等于5人</w:t>
            </w:r>
          </w:p>
        </w:tc>
        <w:tc>
          <w:tcPr>
            <w:tcW w:w="152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16"/>
                <w:szCs w:val="16"/>
              </w:rPr>
            </w:pPr>
            <w:r>
              <w:rPr>
                <w:rFonts w:hint="eastAsia" w:ascii="宋体" w:hAnsi="宋体" w:eastAsia="宋体" w:cs="宋体"/>
                <w:kern w:val="0"/>
                <w:sz w:val="16"/>
                <w:szCs w:val="16"/>
              </w:rPr>
              <w:t>5人</w:t>
            </w:r>
          </w:p>
        </w:tc>
      </w:tr>
      <w:tr>
        <w:trPr>
          <w:trHeight w:val="345" w:hRule="atLeast"/>
        </w:trPr>
        <w:tc>
          <w:tcPr>
            <w:tcW w:w="570" w:type="dxa"/>
            <w:vMerge w:val="continue"/>
            <w:tcBorders>
              <w:top w:val="single" w:color="auto" w:sz="4" w:space="0"/>
              <w:left w:val="single" w:color="auto" w:sz="4" w:space="0"/>
              <w:bottom w:val="single" w:color="000000" w:sz="4" w:space="0"/>
              <w:right w:val="single" w:color="auto" w:sz="4" w:space="0"/>
            </w:tcBorders>
            <w:vAlign w:val="center"/>
          </w:tcPr>
          <w:p>
            <w:pPr>
              <w:widowControl/>
              <w:jc w:val="left"/>
              <w:rPr>
                <w:rFonts w:ascii="宋体" w:hAnsi="宋体" w:eastAsia="宋体" w:cs="宋体"/>
                <w:kern w:val="0"/>
                <w:sz w:val="16"/>
                <w:szCs w:val="16"/>
              </w:rPr>
            </w:pPr>
          </w:p>
        </w:tc>
        <w:tc>
          <w:tcPr>
            <w:tcW w:w="980"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eastAsia="宋体" w:cs="宋体"/>
                <w:kern w:val="0"/>
                <w:sz w:val="16"/>
                <w:szCs w:val="16"/>
              </w:rPr>
            </w:pPr>
          </w:p>
        </w:tc>
        <w:tc>
          <w:tcPr>
            <w:tcW w:w="1470" w:type="dxa"/>
            <w:vMerge w:val="continue"/>
            <w:tcBorders>
              <w:top w:val="nil"/>
              <w:left w:val="single" w:color="auto" w:sz="4" w:space="0"/>
              <w:bottom w:val="nil"/>
              <w:right w:val="single" w:color="auto" w:sz="4" w:space="0"/>
            </w:tcBorders>
            <w:vAlign w:val="center"/>
          </w:tcPr>
          <w:p>
            <w:pPr>
              <w:widowControl/>
              <w:jc w:val="left"/>
              <w:rPr>
                <w:rFonts w:ascii="宋体" w:hAnsi="宋体" w:eastAsia="宋体" w:cs="宋体"/>
                <w:kern w:val="0"/>
                <w:sz w:val="16"/>
                <w:szCs w:val="16"/>
              </w:rPr>
            </w:pPr>
          </w:p>
        </w:tc>
        <w:tc>
          <w:tcPr>
            <w:tcW w:w="35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color w:val="000000"/>
                <w:kern w:val="0"/>
                <w:sz w:val="16"/>
                <w:szCs w:val="16"/>
              </w:rPr>
            </w:pPr>
            <w:r>
              <w:rPr>
                <w:rFonts w:hint="eastAsia" w:ascii="宋体" w:hAnsi="宋体" w:eastAsia="宋体" w:cs="宋体"/>
                <w:color w:val="000000"/>
                <w:kern w:val="0"/>
                <w:sz w:val="16"/>
                <w:szCs w:val="16"/>
              </w:rPr>
              <w:t>新建乡镇综合服务设施</w:t>
            </w:r>
          </w:p>
        </w:tc>
        <w:tc>
          <w:tcPr>
            <w:tcW w:w="150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16"/>
                <w:szCs w:val="16"/>
              </w:rPr>
            </w:pPr>
            <w:r>
              <w:rPr>
                <w:rFonts w:hint="eastAsia" w:ascii="宋体" w:hAnsi="宋体" w:eastAsia="宋体" w:cs="宋体"/>
                <w:kern w:val="0"/>
                <w:sz w:val="16"/>
                <w:szCs w:val="16"/>
              </w:rPr>
              <w:t>3个</w:t>
            </w:r>
          </w:p>
        </w:tc>
        <w:tc>
          <w:tcPr>
            <w:tcW w:w="152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16"/>
                <w:szCs w:val="16"/>
              </w:rPr>
            </w:pPr>
            <w:r>
              <w:rPr>
                <w:rFonts w:hint="eastAsia" w:ascii="宋体" w:hAnsi="宋体" w:eastAsia="宋体" w:cs="宋体"/>
                <w:kern w:val="0"/>
                <w:sz w:val="16"/>
                <w:szCs w:val="16"/>
              </w:rPr>
              <w:t>3个</w:t>
            </w:r>
          </w:p>
        </w:tc>
      </w:tr>
      <w:tr>
        <w:tblPrEx>
          <w:tblCellMar>
            <w:top w:w="0" w:type="dxa"/>
            <w:left w:w="108" w:type="dxa"/>
            <w:bottom w:w="0" w:type="dxa"/>
            <w:right w:w="108" w:type="dxa"/>
          </w:tblCellMar>
        </w:tblPrEx>
        <w:trPr>
          <w:trHeight w:val="345" w:hRule="atLeast"/>
        </w:trPr>
        <w:tc>
          <w:tcPr>
            <w:tcW w:w="570" w:type="dxa"/>
            <w:vMerge w:val="continue"/>
            <w:tcBorders>
              <w:top w:val="single" w:color="auto" w:sz="4" w:space="0"/>
              <w:left w:val="single" w:color="auto" w:sz="4" w:space="0"/>
              <w:bottom w:val="single" w:color="000000" w:sz="4" w:space="0"/>
              <w:right w:val="single" w:color="auto" w:sz="4" w:space="0"/>
            </w:tcBorders>
            <w:vAlign w:val="center"/>
          </w:tcPr>
          <w:p>
            <w:pPr>
              <w:widowControl/>
              <w:jc w:val="left"/>
              <w:rPr>
                <w:rFonts w:ascii="宋体" w:hAnsi="宋体" w:eastAsia="宋体" w:cs="宋体"/>
                <w:kern w:val="0"/>
                <w:sz w:val="16"/>
                <w:szCs w:val="16"/>
              </w:rPr>
            </w:pPr>
          </w:p>
        </w:tc>
        <w:tc>
          <w:tcPr>
            <w:tcW w:w="980"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eastAsia="宋体" w:cs="宋体"/>
                <w:kern w:val="0"/>
                <w:sz w:val="16"/>
                <w:szCs w:val="16"/>
              </w:rPr>
            </w:pPr>
          </w:p>
        </w:tc>
        <w:tc>
          <w:tcPr>
            <w:tcW w:w="1470" w:type="dxa"/>
            <w:vMerge w:val="continue"/>
            <w:tcBorders>
              <w:top w:val="nil"/>
              <w:left w:val="single" w:color="auto" w:sz="4" w:space="0"/>
              <w:bottom w:val="nil"/>
              <w:right w:val="single" w:color="auto" w:sz="4" w:space="0"/>
            </w:tcBorders>
            <w:vAlign w:val="center"/>
          </w:tcPr>
          <w:p>
            <w:pPr>
              <w:widowControl/>
              <w:jc w:val="left"/>
              <w:rPr>
                <w:rFonts w:ascii="宋体" w:hAnsi="宋体" w:eastAsia="宋体" w:cs="宋体"/>
                <w:kern w:val="0"/>
                <w:sz w:val="16"/>
                <w:szCs w:val="16"/>
              </w:rPr>
            </w:pPr>
          </w:p>
        </w:tc>
        <w:tc>
          <w:tcPr>
            <w:tcW w:w="35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color w:val="000000"/>
                <w:kern w:val="0"/>
                <w:sz w:val="16"/>
                <w:szCs w:val="16"/>
              </w:rPr>
            </w:pPr>
            <w:r>
              <w:rPr>
                <w:rFonts w:hint="eastAsia" w:ascii="宋体" w:hAnsi="宋体" w:eastAsia="宋体" w:cs="宋体"/>
                <w:color w:val="000000"/>
                <w:kern w:val="0"/>
                <w:sz w:val="16"/>
                <w:szCs w:val="16"/>
              </w:rPr>
              <w:t>建筑面积</w:t>
            </w:r>
          </w:p>
        </w:tc>
        <w:tc>
          <w:tcPr>
            <w:tcW w:w="150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16"/>
                <w:szCs w:val="16"/>
              </w:rPr>
            </w:pPr>
            <w:r>
              <w:rPr>
                <w:rFonts w:hint="eastAsia" w:ascii="宋体" w:hAnsi="宋体" w:eastAsia="宋体" w:cs="宋体"/>
                <w:kern w:val="0"/>
                <w:sz w:val="16"/>
                <w:szCs w:val="16"/>
              </w:rPr>
              <w:t>2400平方米</w:t>
            </w:r>
          </w:p>
        </w:tc>
        <w:tc>
          <w:tcPr>
            <w:tcW w:w="152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16"/>
                <w:szCs w:val="16"/>
              </w:rPr>
            </w:pPr>
            <w:r>
              <w:rPr>
                <w:rFonts w:hint="eastAsia" w:ascii="宋体" w:hAnsi="宋体" w:eastAsia="宋体" w:cs="宋体"/>
                <w:kern w:val="0"/>
                <w:sz w:val="16"/>
                <w:szCs w:val="16"/>
              </w:rPr>
              <w:t>2400平方米</w:t>
            </w:r>
          </w:p>
        </w:tc>
      </w:tr>
      <w:tr>
        <w:tblPrEx>
          <w:tblCellMar>
            <w:top w:w="0" w:type="dxa"/>
            <w:left w:w="108" w:type="dxa"/>
            <w:bottom w:w="0" w:type="dxa"/>
            <w:right w:w="108" w:type="dxa"/>
          </w:tblCellMar>
        </w:tblPrEx>
        <w:trPr>
          <w:trHeight w:val="345" w:hRule="atLeast"/>
        </w:trPr>
        <w:tc>
          <w:tcPr>
            <w:tcW w:w="570" w:type="dxa"/>
            <w:vMerge w:val="continue"/>
            <w:tcBorders>
              <w:top w:val="single" w:color="auto" w:sz="4" w:space="0"/>
              <w:left w:val="single" w:color="auto" w:sz="4" w:space="0"/>
              <w:bottom w:val="single" w:color="000000" w:sz="4" w:space="0"/>
              <w:right w:val="single" w:color="auto" w:sz="4" w:space="0"/>
            </w:tcBorders>
            <w:vAlign w:val="center"/>
          </w:tcPr>
          <w:p>
            <w:pPr>
              <w:widowControl/>
              <w:jc w:val="left"/>
              <w:rPr>
                <w:rFonts w:ascii="宋体" w:hAnsi="宋体" w:eastAsia="宋体" w:cs="宋体"/>
                <w:kern w:val="0"/>
                <w:sz w:val="16"/>
                <w:szCs w:val="16"/>
              </w:rPr>
            </w:pPr>
          </w:p>
        </w:tc>
        <w:tc>
          <w:tcPr>
            <w:tcW w:w="980"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eastAsia="宋体" w:cs="宋体"/>
                <w:kern w:val="0"/>
                <w:sz w:val="16"/>
                <w:szCs w:val="16"/>
              </w:rPr>
            </w:pPr>
          </w:p>
        </w:tc>
        <w:tc>
          <w:tcPr>
            <w:tcW w:w="1470" w:type="dxa"/>
            <w:vMerge w:val="restart"/>
            <w:tcBorders>
              <w:top w:val="single" w:color="auto" w:sz="4" w:space="0"/>
              <w:left w:val="single" w:color="auto" w:sz="4" w:space="0"/>
              <w:bottom w:val="nil"/>
              <w:right w:val="single" w:color="auto" w:sz="4" w:space="0"/>
            </w:tcBorders>
            <w:shd w:val="clear" w:color="auto" w:fill="auto"/>
            <w:noWrap/>
            <w:vAlign w:val="center"/>
          </w:tcPr>
          <w:p>
            <w:pPr>
              <w:widowControl/>
              <w:jc w:val="center"/>
              <w:rPr>
                <w:rFonts w:ascii="宋体" w:hAnsi="宋体" w:eastAsia="宋体" w:cs="宋体"/>
                <w:kern w:val="0"/>
                <w:sz w:val="16"/>
                <w:szCs w:val="16"/>
              </w:rPr>
            </w:pPr>
            <w:r>
              <w:rPr>
                <w:rFonts w:hint="eastAsia" w:ascii="宋体" w:hAnsi="宋体" w:eastAsia="宋体" w:cs="宋体"/>
                <w:kern w:val="0"/>
                <w:sz w:val="16"/>
                <w:szCs w:val="16"/>
              </w:rPr>
              <w:t>时效指标</w:t>
            </w:r>
          </w:p>
        </w:tc>
        <w:tc>
          <w:tcPr>
            <w:tcW w:w="35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16"/>
                <w:szCs w:val="16"/>
              </w:rPr>
            </w:pPr>
            <w:r>
              <w:rPr>
                <w:rFonts w:hint="eastAsia" w:ascii="宋体" w:hAnsi="宋体" w:eastAsia="宋体" w:cs="宋体"/>
                <w:kern w:val="0"/>
                <w:sz w:val="16"/>
                <w:szCs w:val="16"/>
              </w:rPr>
              <w:t>解决问题的及时性</w:t>
            </w:r>
          </w:p>
        </w:tc>
        <w:tc>
          <w:tcPr>
            <w:tcW w:w="150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16"/>
                <w:szCs w:val="16"/>
              </w:rPr>
            </w:pPr>
            <w:r>
              <w:rPr>
                <w:rFonts w:hint="eastAsia" w:ascii="宋体" w:hAnsi="宋体" w:eastAsia="宋体" w:cs="宋体"/>
                <w:kern w:val="0"/>
                <w:sz w:val="16"/>
                <w:szCs w:val="16"/>
              </w:rPr>
              <w:t>等于95%</w:t>
            </w:r>
          </w:p>
        </w:tc>
        <w:tc>
          <w:tcPr>
            <w:tcW w:w="152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16"/>
                <w:szCs w:val="16"/>
              </w:rPr>
            </w:pPr>
            <w:r>
              <w:rPr>
                <w:rFonts w:hint="eastAsia" w:ascii="宋体" w:hAnsi="宋体" w:eastAsia="宋体" w:cs="宋体"/>
                <w:kern w:val="0"/>
                <w:sz w:val="16"/>
                <w:szCs w:val="16"/>
              </w:rPr>
              <w:t>95%</w:t>
            </w:r>
          </w:p>
        </w:tc>
      </w:tr>
      <w:tr>
        <w:tblPrEx>
          <w:tblCellMar>
            <w:top w:w="0" w:type="dxa"/>
            <w:left w:w="108" w:type="dxa"/>
            <w:bottom w:w="0" w:type="dxa"/>
            <w:right w:w="108" w:type="dxa"/>
          </w:tblCellMar>
        </w:tblPrEx>
        <w:trPr>
          <w:trHeight w:val="345" w:hRule="atLeast"/>
        </w:trPr>
        <w:tc>
          <w:tcPr>
            <w:tcW w:w="570" w:type="dxa"/>
            <w:vMerge w:val="continue"/>
            <w:tcBorders>
              <w:top w:val="single" w:color="auto" w:sz="4" w:space="0"/>
              <w:left w:val="single" w:color="auto" w:sz="4" w:space="0"/>
              <w:bottom w:val="single" w:color="000000" w:sz="4" w:space="0"/>
              <w:right w:val="single" w:color="auto" w:sz="4" w:space="0"/>
            </w:tcBorders>
            <w:vAlign w:val="center"/>
          </w:tcPr>
          <w:p>
            <w:pPr>
              <w:widowControl/>
              <w:jc w:val="left"/>
              <w:rPr>
                <w:rFonts w:ascii="宋体" w:hAnsi="宋体" w:eastAsia="宋体" w:cs="宋体"/>
                <w:kern w:val="0"/>
                <w:sz w:val="16"/>
                <w:szCs w:val="16"/>
              </w:rPr>
            </w:pPr>
          </w:p>
        </w:tc>
        <w:tc>
          <w:tcPr>
            <w:tcW w:w="980"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eastAsia="宋体" w:cs="宋体"/>
                <w:kern w:val="0"/>
                <w:sz w:val="16"/>
                <w:szCs w:val="16"/>
              </w:rPr>
            </w:pPr>
          </w:p>
        </w:tc>
        <w:tc>
          <w:tcPr>
            <w:tcW w:w="1470" w:type="dxa"/>
            <w:vMerge w:val="continue"/>
            <w:tcBorders>
              <w:top w:val="single" w:color="auto" w:sz="4" w:space="0"/>
              <w:left w:val="single" w:color="auto" w:sz="4" w:space="0"/>
              <w:bottom w:val="nil"/>
              <w:right w:val="single" w:color="auto" w:sz="4" w:space="0"/>
            </w:tcBorders>
            <w:vAlign w:val="center"/>
          </w:tcPr>
          <w:p>
            <w:pPr>
              <w:widowControl/>
              <w:jc w:val="left"/>
              <w:rPr>
                <w:rFonts w:ascii="宋体" w:hAnsi="宋体" w:eastAsia="宋体" w:cs="宋体"/>
                <w:kern w:val="0"/>
                <w:sz w:val="16"/>
                <w:szCs w:val="16"/>
              </w:rPr>
            </w:pPr>
          </w:p>
        </w:tc>
        <w:tc>
          <w:tcPr>
            <w:tcW w:w="35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16"/>
                <w:szCs w:val="16"/>
              </w:rPr>
            </w:pPr>
            <w:r>
              <w:rPr>
                <w:rFonts w:hint="eastAsia" w:ascii="宋体" w:hAnsi="宋体" w:eastAsia="宋体" w:cs="宋体"/>
                <w:kern w:val="0"/>
                <w:sz w:val="16"/>
                <w:szCs w:val="16"/>
              </w:rPr>
              <w:t>报告提交及时性</w:t>
            </w:r>
          </w:p>
        </w:tc>
        <w:tc>
          <w:tcPr>
            <w:tcW w:w="150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16"/>
                <w:szCs w:val="16"/>
              </w:rPr>
            </w:pPr>
            <w:r>
              <w:rPr>
                <w:rFonts w:hint="eastAsia" w:ascii="宋体" w:hAnsi="宋体" w:eastAsia="宋体" w:cs="宋体"/>
                <w:kern w:val="0"/>
                <w:sz w:val="16"/>
                <w:szCs w:val="16"/>
              </w:rPr>
              <w:t>≥95%</w:t>
            </w:r>
          </w:p>
        </w:tc>
        <w:tc>
          <w:tcPr>
            <w:tcW w:w="152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16"/>
                <w:szCs w:val="16"/>
              </w:rPr>
            </w:pPr>
            <w:r>
              <w:rPr>
                <w:rFonts w:hint="eastAsia" w:ascii="宋体" w:hAnsi="宋体" w:eastAsia="宋体" w:cs="宋体"/>
                <w:kern w:val="0"/>
                <w:sz w:val="16"/>
                <w:szCs w:val="16"/>
              </w:rPr>
              <w:t>95%</w:t>
            </w:r>
          </w:p>
        </w:tc>
      </w:tr>
      <w:tr>
        <w:trPr>
          <w:trHeight w:val="345" w:hRule="atLeast"/>
        </w:trPr>
        <w:tc>
          <w:tcPr>
            <w:tcW w:w="570" w:type="dxa"/>
            <w:vMerge w:val="continue"/>
            <w:tcBorders>
              <w:top w:val="single" w:color="auto" w:sz="4" w:space="0"/>
              <w:left w:val="single" w:color="auto" w:sz="4" w:space="0"/>
              <w:bottom w:val="single" w:color="000000" w:sz="4" w:space="0"/>
              <w:right w:val="single" w:color="auto" w:sz="4" w:space="0"/>
            </w:tcBorders>
            <w:vAlign w:val="center"/>
          </w:tcPr>
          <w:p>
            <w:pPr>
              <w:widowControl/>
              <w:jc w:val="left"/>
              <w:rPr>
                <w:rFonts w:ascii="宋体" w:hAnsi="宋体" w:eastAsia="宋体" w:cs="宋体"/>
                <w:kern w:val="0"/>
                <w:sz w:val="16"/>
                <w:szCs w:val="16"/>
              </w:rPr>
            </w:pPr>
          </w:p>
        </w:tc>
        <w:tc>
          <w:tcPr>
            <w:tcW w:w="980"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eastAsia="宋体" w:cs="宋体"/>
                <w:kern w:val="0"/>
                <w:sz w:val="16"/>
                <w:szCs w:val="16"/>
              </w:rPr>
            </w:pPr>
          </w:p>
        </w:tc>
        <w:tc>
          <w:tcPr>
            <w:tcW w:w="1470" w:type="dxa"/>
            <w:vMerge w:val="continue"/>
            <w:tcBorders>
              <w:top w:val="single" w:color="auto" w:sz="4" w:space="0"/>
              <w:left w:val="single" w:color="auto" w:sz="4" w:space="0"/>
              <w:bottom w:val="nil"/>
              <w:right w:val="single" w:color="auto" w:sz="4" w:space="0"/>
            </w:tcBorders>
            <w:vAlign w:val="center"/>
          </w:tcPr>
          <w:p>
            <w:pPr>
              <w:widowControl/>
              <w:jc w:val="left"/>
              <w:rPr>
                <w:rFonts w:ascii="宋体" w:hAnsi="宋体" w:eastAsia="宋体" w:cs="宋体"/>
                <w:kern w:val="0"/>
                <w:sz w:val="16"/>
                <w:szCs w:val="16"/>
              </w:rPr>
            </w:pPr>
          </w:p>
        </w:tc>
        <w:tc>
          <w:tcPr>
            <w:tcW w:w="35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16"/>
                <w:szCs w:val="16"/>
              </w:rPr>
            </w:pPr>
            <w:r>
              <w:rPr>
                <w:rFonts w:hint="eastAsia" w:ascii="宋体" w:hAnsi="宋体" w:eastAsia="宋体" w:cs="宋体"/>
                <w:kern w:val="0"/>
                <w:sz w:val="16"/>
                <w:szCs w:val="16"/>
              </w:rPr>
              <w:t>干部职工用餐完成及时率</w:t>
            </w:r>
          </w:p>
        </w:tc>
        <w:tc>
          <w:tcPr>
            <w:tcW w:w="150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16"/>
                <w:szCs w:val="16"/>
              </w:rPr>
            </w:pPr>
            <w:r>
              <w:rPr>
                <w:rFonts w:hint="eastAsia" w:ascii="宋体" w:hAnsi="宋体" w:eastAsia="宋体" w:cs="宋体"/>
                <w:kern w:val="0"/>
                <w:sz w:val="16"/>
                <w:szCs w:val="16"/>
              </w:rPr>
              <w:t>≥100%</w:t>
            </w:r>
          </w:p>
        </w:tc>
        <w:tc>
          <w:tcPr>
            <w:tcW w:w="152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16"/>
                <w:szCs w:val="16"/>
              </w:rPr>
            </w:pPr>
            <w:r>
              <w:rPr>
                <w:rFonts w:hint="eastAsia" w:ascii="宋体" w:hAnsi="宋体" w:eastAsia="宋体" w:cs="宋体"/>
                <w:kern w:val="0"/>
                <w:sz w:val="16"/>
                <w:szCs w:val="16"/>
              </w:rPr>
              <w:t>100%</w:t>
            </w:r>
          </w:p>
        </w:tc>
      </w:tr>
      <w:tr>
        <w:tblPrEx>
          <w:tblCellMar>
            <w:top w:w="0" w:type="dxa"/>
            <w:left w:w="108" w:type="dxa"/>
            <w:bottom w:w="0" w:type="dxa"/>
            <w:right w:w="108" w:type="dxa"/>
          </w:tblCellMar>
        </w:tblPrEx>
        <w:trPr>
          <w:trHeight w:val="345" w:hRule="atLeast"/>
        </w:trPr>
        <w:tc>
          <w:tcPr>
            <w:tcW w:w="570" w:type="dxa"/>
            <w:vMerge w:val="continue"/>
            <w:tcBorders>
              <w:top w:val="single" w:color="auto" w:sz="4" w:space="0"/>
              <w:left w:val="single" w:color="auto" w:sz="4" w:space="0"/>
              <w:bottom w:val="single" w:color="000000" w:sz="4" w:space="0"/>
              <w:right w:val="single" w:color="auto" w:sz="4" w:space="0"/>
            </w:tcBorders>
            <w:vAlign w:val="center"/>
          </w:tcPr>
          <w:p>
            <w:pPr>
              <w:widowControl/>
              <w:jc w:val="left"/>
              <w:rPr>
                <w:rFonts w:ascii="宋体" w:hAnsi="宋体" w:eastAsia="宋体" w:cs="宋体"/>
                <w:kern w:val="0"/>
                <w:sz w:val="16"/>
                <w:szCs w:val="16"/>
              </w:rPr>
            </w:pPr>
          </w:p>
        </w:tc>
        <w:tc>
          <w:tcPr>
            <w:tcW w:w="980"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eastAsia="宋体" w:cs="宋体"/>
                <w:kern w:val="0"/>
                <w:sz w:val="16"/>
                <w:szCs w:val="16"/>
              </w:rPr>
            </w:pPr>
          </w:p>
        </w:tc>
        <w:tc>
          <w:tcPr>
            <w:tcW w:w="1470" w:type="dxa"/>
            <w:vMerge w:val="restart"/>
            <w:tcBorders>
              <w:top w:val="single" w:color="auto" w:sz="4" w:space="0"/>
              <w:left w:val="single" w:color="auto" w:sz="4" w:space="0"/>
              <w:bottom w:val="nil"/>
              <w:right w:val="single" w:color="auto" w:sz="4" w:space="0"/>
            </w:tcBorders>
            <w:shd w:val="clear" w:color="auto" w:fill="auto"/>
            <w:noWrap/>
            <w:vAlign w:val="center"/>
          </w:tcPr>
          <w:p>
            <w:pPr>
              <w:widowControl/>
              <w:jc w:val="center"/>
              <w:rPr>
                <w:rFonts w:ascii="宋体" w:hAnsi="宋体" w:eastAsia="宋体" w:cs="宋体"/>
                <w:kern w:val="0"/>
                <w:sz w:val="16"/>
                <w:szCs w:val="16"/>
              </w:rPr>
            </w:pPr>
            <w:r>
              <w:rPr>
                <w:rFonts w:hint="eastAsia" w:ascii="宋体" w:hAnsi="宋体" w:eastAsia="宋体" w:cs="宋体"/>
                <w:kern w:val="0"/>
                <w:sz w:val="16"/>
                <w:szCs w:val="16"/>
              </w:rPr>
              <w:t>质量指标</w:t>
            </w:r>
          </w:p>
        </w:tc>
        <w:tc>
          <w:tcPr>
            <w:tcW w:w="35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color w:val="000000"/>
                <w:kern w:val="0"/>
                <w:sz w:val="16"/>
                <w:szCs w:val="16"/>
              </w:rPr>
            </w:pPr>
            <w:r>
              <w:rPr>
                <w:rFonts w:hint="eastAsia" w:ascii="宋体" w:hAnsi="宋体" w:eastAsia="宋体" w:cs="宋体"/>
                <w:color w:val="000000"/>
                <w:kern w:val="0"/>
                <w:sz w:val="16"/>
                <w:szCs w:val="16"/>
              </w:rPr>
              <w:t>运维服务响应时间</w:t>
            </w:r>
          </w:p>
        </w:tc>
        <w:tc>
          <w:tcPr>
            <w:tcW w:w="150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16"/>
                <w:szCs w:val="16"/>
              </w:rPr>
            </w:pPr>
            <w:r>
              <w:rPr>
                <w:rFonts w:hint="eastAsia" w:ascii="宋体" w:hAnsi="宋体" w:eastAsia="宋体" w:cs="宋体"/>
                <w:kern w:val="0"/>
                <w:sz w:val="16"/>
                <w:szCs w:val="16"/>
              </w:rPr>
              <w:t>≦5分钟</w:t>
            </w:r>
          </w:p>
        </w:tc>
        <w:tc>
          <w:tcPr>
            <w:tcW w:w="152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16"/>
                <w:szCs w:val="16"/>
              </w:rPr>
            </w:pPr>
            <w:r>
              <w:rPr>
                <w:rFonts w:hint="eastAsia" w:ascii="宋体" w:hAnsi="宋体" w:eastAsia="宋体" w:cs="宋体"/>
                <w:kern w:val="0"/>
                <w:sz w:val="16"/>
                <w:szCs w:val="16"/>
              </w:rPr>
              <w:t>5分钟</w:t>
            </w:r>
          </w:p>
        </w:tc>
      </w:tr>
      <w:tr>
        <w:tblPrEx>
          <w:tblCellMar>
            <w:top w:w="0" w:type="dxa"/>
            <w:left w:w="108" w:type="dxa"/>
            <w:bottom w:w="0" w:type="dxa"/>
            <w:right w:w="108" w:type="dxa"/>
          </w:tblCellMar>
        </w:tblPrEx>
        <w:trPr>
          <w:trHeight w:val="345" w:hRule="atLeast"/>
        </w:trPr>
        <w:tc>
          <w:tcPr>
            <w:tcW w:w="570" w:type="dxa"/>
            <w:vMerge w:val="continue"/>
            <w:tcBorders>
              <w:top w:val="single" w:color="auto" w:sz="4" w:space="0"/>
              <w:left w:val="single" w:color="auto" w:sz="4" w:space="0"/>
              <w:bottom w:val="single" w:color="000000" w:sz="4" w:space="0"/>
              <w:right w:val="single" w:color="auto" w:sz="4" w:space="0"/>
            </w:tcBorders>
            <w:vAlign w:val="center"/>
          </w:tcPr>
          <w:p>
            <w:pPr>
              <w:widowControl/>
              <w:jc w:val="left"/>
              <w:rPr>
                <w:rFonts w:ascii="宋体" w:hAnsi="宋体" w:eastAsia="宋体" w:cs="宋体"/>
                <w:kern w:val="0"/>
                <w:sz w:val="16"/>
                <w:szCs w:val="16"/>
              </w:rPr>
            </w:pPr>
          </w:p>
        </w:tc>
        <w:tc>
          <w:tcPr>
            <w:tcW w:w="980"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eastAsia="宋体" w:cs="宋体"/>
                <w:kern w:val="0"/>
                <w:sz w:val="16"/>
                <w:szCs w:val="16"/>
              </w:rPr>
            </w:pPr>
          </w:p>
        </w:tc>
        <w:tc>
          <w:tcPr>
            <w:tcW w:w="1470" w:type="dxa"/>
            <w:vMerge w:val="continue"/>
            <w:tcBorders>
              <w:top w:val="single" w:color="auto" w:sz="4" w:space="0"/>
              <w:left w:val="single" w:color="auto" w:sz="4" w:space="0"/>
              <w:bottom w:val="nil"/>
              <w:right w:val="single" w:color="auto" w:sz="4" w:space="0"/>
            </w:tcBorders>
            <w:vAlign w:val="center"/>
          </w:tcPr>
          <w:p>
            <w:pPr>
              <w:widowControl/>
              <w:jc w:val="left"/>
              <w:rPr>
                <w:rFonts w:ascii="宋体" w:hAnsi="宋体" w:eastAsia="宋体" w:cs="宋体"/>
                <w:kern w:val="0"/>
                <w:sz w:val="16"/>
                <w:szCs w:val="16"/>
              </w:rPr>
            </w:pPr>
          </w:p>
        </w:tc>
        <w:tc>
          <w:tcPr>
            <w:tcW w:w="35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color w:val="000000"/>
                <w:kern w:val="0"/>
                <w:sz w:val="16"/>
                <w:szCs w:val="16"/>
              </w:rPr>
            </w:pPr>
            <w:r>
              <w:rPr>
                <w:rFonts w:hint="eastAsia" w:ascii="宋体" w:hAnsi="宋体" w:eastAsia="宋体" w:cs="宋体"/>
                <w:color w:val="000000"/>
                <w:kern w:val="0"/>
                <w:sz w:val="16"/>
                <w:szCs w:val="16"/>
              </w:rPr>
              <w:t>确保财政业务系统平稳运行</w:t>
            </w:r>
          </w:p>
        </w:tc>
        <w:tc>
          <w:tcPr>
            <w:tcW w:w="150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16"/>
                <w:szCs w:val="16"/>
              </w:rPr>
            </w:pPr>
            <w:r>
              <w:rPr>
                <w:rFonts w:hint="eastAsia" w:ascii="宋体" w:hAnsi="宋体" w:eastAsia="宋体" w:cs="宋体"/>
                <w:kern w:val="0"/>
                <w:sz w:val="16"/>
                <w:szCs w:val="16"/>
              </w:rPr>
              <w:t>≤95%</w:t>
            </w:r>
          </w:p>
        </w:tc>
        <w:tc>
          <w:tcPr>
            <w:tcW w:w="152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16"/>
                <w:szCs w:val="16"/>
              </w:rPr>
            </w:pPr>
            <w:r>
              <w:rPr>
                <w:rFonts w:hint="eastAsia" w:ascii="宋体" w:hAnsi="宋体" w:eastAsia="宋体" w:cs="宋体"/>
                <w:kern w:val="0"/>
                <w:sz w:val="16"/>
                <w:szCs w:val="16"/>
              </w:rPr>
              <w:t>95%</w:t>
            </w:r>
          </w:p>
        </w:tc>
      </w:tr>
      <w:tr>
        <w:tblPrEx>
          <w:tblCellMar>
            <w:top w:w="0" w:type="dxa"/>
            <w:left w:w="108" w:type="dxa"/>
            <w:bottom w:w="0" w:type="dxa"/>
            <w:right w:w="108" w:type="dxa"/>
          </w:tblCellMar>
        </w:tblPrEx>
        <w:trPr>
          <w:trHeight w:val="345" w:hRule="atLeast"/>
        </w:trPr>
        <w:tc>
          <w:tcPr>
            <w:tcW w:w="570" w:type="dxa"/>
            <w:vMerge w:val="continue"/>
            <w:tcBorders>
              <w:top w:val="single" w:color="auto" w:sz="4" w:space="0"/>
              <w:left w:val="single" w:color="auto" w:sz="4" w:space="0"/>
              <w:bottom w:val="single" w:color="000000" w:sz="4" w:space="0"/>
              <w:right w:val="single" w:color="auto" w:sz="4" w:space="0"/>
            </w:tcBorders>
            <w:vAlign w:val="center"/>
          </w:tcPr>
          <w:p>
            <w:pPr>
              <w:widowControl/>
              <w:jc w:val="left"/>
              <w:rPr>
                <w:rFonts w:ascii="宋体" w:hAnsi="宋体" w:eastAsia="宋体" w:cs="宋体"/>
                <w:kern w:val="0"/>
                <w:sz w:val="16"/>
                <w:szCs w:val="16"/>
              </w:rPr>
            </w:pPr>
          </w:p>
        </w:tc>
        <w:tc>
          <w:tcPr>
            <w:tcW w:w="980"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eastAsia="宋体" w:cs="宋体"/>
                <w:kern w:val="0"/>
                <w:sz w:val="16"/>
                <w:szCs w:val="16"/>
              </w:rPr>
            </w:pPr>
          </w:p>
        </w:tc>
        <w:tc>
          <w:tcPr>
            <w:tcW w:w="1470" w:type="dxa"/>
            <w:vMerge w:val="continue"/>
            <w:tcBorders>
              <w:top w:val="single" w:color="auto" w:sz="4" w:space="0"/>
              <w:left w:val="single" w:color="auto" w:sz="4" w:space="0"/>
              <w:bottom w:val="nil"/>
              <w:right w:val="single" w:color="auto" w:sz="4" w:space="0"/>
            </w:tcBorders>
            <w:vAlign w:val="center"/>
          </w:tcPr>
          <w:p>
            <w:pPr>
              <w:widowControl/>
              <w:jc w:val="left"/>
              <w:rPr>
                <w:rFonts w:ascii="宋体" w:hAnsi="宋体" w:eastAsia="宋体" w:cs="宋体"/>
                <w:kern w:val="0"/>
                <w:sz w:val="16"/>
                <w:szCs w:val="16"/>
              </w:rPr>
            </w:pPr>
          </w:p>
        </w:tc>
        <w:tc>
          <w:tcPr>
            <w:tcW w:w="35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color w:val="000000"/>
                <w:kern w:val="0"/>
                <w:sz w:val="16"/>
                <w:szCs w:val="16"/>
              </w:rPr>
            </w:pPr>
            <w:r>
              <w:rPr>
                <w:rFonts w:hint="eastAsia" w:ascii="宋体" w:hAnsi="宋体" w:eastAsia="宋体" w:cs="宋体"/>
                <w:color w:val="000000"/>
                <w:kern w:val="0"/>
                <w:sz w:val="16"/>
                <w:szCs w:val="16"/>
              </w:rPr>
              <w:t>项目评审报告合格率</w:t>
            </w:r>
          </w:p>
        </w:tc>
        <w:tc>
          <w:tcPr>
            <w:tcW w:w="150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16"/>
                <w:szCs w:val="16"/>
              </w:rPr>
            </w:pPr>
            <w:r>
              <w:rPr>
                <w:rFonts w:hint="eastAsia" w:ascii="宋体" w:hAnsi="宋体" w:eastAsia="宋体" w:cs="宋体"/>
                <w:kern w:val="0"/>
                <w:sz w:val="16"/>
                <w:szCs w:val="16"/>
              </w:rPr>
              <w:t>≥95%</w:t>
            </w:r>
          </w:p>
        </w:tc>
        <w:tc>
          <w:tcPr>
            <w:tcW w:w="152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16"/>
                <w:szCs w:val="16"/>
              </w:rPr>
            </w:pPr>
            <w:r>
              <w:rPr>
                <w:rFonts w:hint="eastAsia" w:ascii="宋体" w:hAnsi="宋体" w:eastAsia="宋体" w:cs="宋体"/>
                <w:kern w:val="0"/>
                <w:sz w:val="16"/>
                <w:szCs w:val="16"/>
              </w:rPr>
              <w:t>95%</w:t>
            </w:r>
          </w:p>
        </w:tc>
      </w:tr>
      <w:tr>
        <w:trPr>
          <w:trHeight w:val="345" w:hRule="atLeast"/>
        </w:trPr>
        <w:tc>
          <w:tcPr>
            <w:tcW w:w="570" w:type="dxa"/>
            <w:vMerge w:val="continue"/>
            <w:tcBorders>
              <w:top w:val="single" w:color="auto" w:sz="4" w:space="0"/>
              <w:left w:val="single" w:color="auto" w:sz="4" w:space="0"/>
              <w:bottom w:val="single" w:color="000000" w:sz="4" w:space="0"/>
              <w:right w:val="single" w:color="auto" w:sz="4" w:space="0"/>
            </w:tcBorders>
            <w:vAlign w:val="center"/>
          </w:tcPr>
          <w:p>
            <w:pPr>
              <w:widowControl/>
              <w:jc w:val="left"/>
              <w:rPr>
                <w:rFonts w:ascii="宋体" w:hAnsi="宋体" w:eastAsia="宋体" w:cs="宋体"/>
                <w:kern w:val="0"/>
                <w:sz w:val="16"/>
                <w:szCs w:val="16"/>
              </w:rPr>
            </w:pPr>
          </w:p>
        </w:tc>
        <w:tc>
          <w:tcPr>
            <w:tcW w:w="980"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eastAsia="宋体" w:cs="宋体"/>
                <w:kern w:val="0"/>
                <w:sz w:val="16"/>
                <w:szCs w:val="16"/>
              </w:rPr>
            </w:pPr>
          </w:p>
        </w:tc>
        <w:tc>
          <w:tcPr>
            <w:tcW w:w="1470" w:type="dxa"/>
            <w:vMerge w:val="continue"/>
            <w:tcBorders>
              <w:top w:val="single" w:color="auto" w:sz="4" w:space="0"/>
              <w:left w:val="single" w:color="auto" w:sz="4" w:space="0"/>
              <w:bottom w:val="nil"/>
              <w:right w:val="single" w:color="auto" w:sz="4" w:space="0"/>
            </w:tcBorders>
            <w:vAlign w:val="center"/>
          </w:tcPr>
          <w:p>
            <w:pPr>
              <w:widowControl/>
              <w:jc w:val="left"/>
              <w:rPr>
                <w:rFonts w:ascii="宋体" w:hAnsi="宋体" w:eastAsia="宋体" w:cs="宋体"/>
                <w:kern w:val="0"/>
                <w:sz w:val="16"/>
                <w:szCs w:val="16"/>
              </w:rPr>
            </w:pPr>
          </w:p>
        </w:tc>
        <w:tc>
          <w:tcPr>
            <w:tcW w:w="35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color w:val="000000"/>
                <w:kern w:val="0"/>
                <w:sz w:val="16"/>
                <w:szCs w:val="16"/>
              </w:rPr>
            </w:pPr>
            <w:r>
              <w:rPr>
                <w:rFonts w:hint="eastAsia" w:ascii="宋体" w:hAnsi="宋体" w:eastAsia="宋体" w:cs="宋体"/>
                <w:color w:val="000000"/>
                <w:kern w:val="0"/>
                <w:sz w:val="16"/>
                <w:szCs w:val="16"/>
              </w:rPr>
              <w:t>食品质量安全保障率</w:t>
            </w:r>
          </w:p>
        </w:tc>
        <w:tc>
          <w:tcPr>
            <w:tcW w:w="150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16"/>
                <w:szCs w:val="16"/>
              </w:rPr>
            </w:pPr>
            <w:r>
              <w:rPr>
                <w:rFonts w:hint="eastAsia" w:ascii="宋体" w:hAnsi="宋体" w:eastAsia="宋体" w:cs="宋体"/>
                <w:kern w:val="0"/>
                <w:sz w:val="16"/>
                <w:szCs w:val="16"/>
              </w:rPr>
              <w:t>等于100%</w:t>
            </w:r>
          </w:p>
        </w:tc>
        <w:tc>
          <w:tcPr>
            <w:tcW w:w="152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16"/>
                <w:szCs w:val="16"/>
              </w:rPr>
            </w:pPr>
            <w:r>
              <w:rPr>
                <w:rFonts w:hint="eastAsia" w:ascii="宋体" w:hAnsi="宋体" w:eastAsia="宋体" w:cs="宋体"/>
                <w:kern w:val="0"/>
                <w:sz w:val="16"/>
                <w:szCs w:val="16"/>
              </w:rPr>
              <w:t>100%</w:t>
            </w:r>
          </w:p>
        </w:tc>
      </w:tr>
      <w:tr>
        <w:tblPrEx>
          <w:tblCellMar>
            <w:top w:w="0" w:type="dxa"/>
            <w:left w:w="108" w:type="dxa"/>
            <w:bottom w:w="0" w:type="dxa"/>
            <w:right w:w="108" w:type="dxa"/>
          </w:tblCellMar>
        </w:tblPrEx>
        <w:trPr>
          <w:trHeight w:val="345" w:hRule="atLeast"/>
        </w:trPr>
        <w:tc>
          <w:tcPr>
            <w:tcW w:w="570" w:type="dxa"/>
            <w:vMerge w:val="continue"/>
            <w:tcBorders>
              <w:top w:val="single" w:color="auto" w:sz="4" w:space="0"/>
              <w:left w:val="single" w:color="auto" w:sz="4" w:space="0"/>
              <w:bottom w:val="single" w:color="000000" w:sz="4" w:space="0"/>
              <w:right w:val="single" w:color="auto" w:sz="4" w:space="0"/>
            </w:tcBorders>
            <w:vAlign w:val="center"/>
          </w:tcPr>
          <w:p>
            <w:pPr>
              <w:widowControl/>
              <w:jc w:val="left"/>
              <w:rPr>
                <w:rFonts w:ascii="宋体" w:hAnsi="宋体" w:eastAsia="宋体" w:cs="宋体"/>
                <w:kern w:val="0"/>
                <w:sz w:val="16"/>
                <w:szCs w:val="16"/>
              </w:rPr>
            </w:pPr>
          </w:p>
        </w:tc>
        <w:tc>
          <w:tcPr>
            <w:tcW w:w="980" w:type="dxa"/>
            <w:vMerge w:val="restart"/>
            <w:tcBorders>
              <w:top w:val="nil"/>
              <w:left w:val="single" w:color="auto" w:sz="4" w:space="0"/>
              <w:bottom w:val="nil"/>
              <w:right w:val="single" w:color="auto" w:sz="4" w:space="0"/>
            </w:tcBorders>
            <w:shd w:val="clear" w:color="auto" w:fill="auto"/>
            <w:noWrap/>
            <w:vAlign w:val="center"/>
          </w:tcPr>
          <w:p>
            <w:pPr>
              <w:widowControl/>
              <w:jc w:val="center"/>
              <w:rPr>
                <w:rFonts w:ascii="宋体" w:hAnsi="宋体" w:eastAsia="宋体" w:cs="宋体"/>
                <w:kern w:val="0"/>
                <w:sz w:val="16"/>
                <w:szCs w:val="16"/>
              </w:rPr>
            </w:pPr>
            <w:r>
              <w:rPr>
                <w:rFonts w:hint="eastAsia" w:ascii="宋体" w:hAnsi="宋体" w:eastAsia="宋体" w:cs="宋体"/>
                <w:kern w:val="0"/>
                <w:sz w:val="16"/>
                <w:szCs w:val="16"/>
              </w:rPr>
              <w:t>成本指标</w:t>
            </w:r>
          </w:p>
        </w:tc>
        <w:tc>
          <w:tcPr>
            <w:tcW w:w="1470" w:type="dxa"/>
            <w:vMerge w:val="restart"/>
            <w:tcBorders>
              <w:top w:val="single" w:color="auto" w:sz="4" w:space="0"/>
              <w:left w:val="single" w:color="auto" w:sz="4" w:space="0"/>
              <w:bottom w:val="single" w:color="000000" w:sz="4" w:space="0"/>
              <w:right w:val="single" w:color="auto" w:sz="4" w:space="0"/>
            </w:tcBorders>
            <w:shd w:val="clear" w:color="auto" w:fill="auto"/>
            <w:noWrap/>
            <w:vAlign w:val="center"/>
          </w:tcPr>
          <w:p>
            <w:pPr>
              <w:widowControl/>
              <w:jc w:val="center"/>
              <w:rPr>
                <w:rFonts w:ascii="宋体" w:hAnsi="宋体" w:eastAsia="宋体" w:cs="宋体"/>
                <w:kern w:val="0"/>
                <w:sz w:val="16"/>
                <w:szCs w:val="16"/>
              </w:rPr>
            </w:pPr>
            <w:r>
              <w:rPr>
                <w:rFonts w:hint="eastAsia" w:ascii="宋体" w:hAnsi="宋体" w:eastAsia="宋体" w:cs="宋体"/>
                <w:kern w:val="0"/>
                <w:sz w:val="16"/>
                <w:szCs w:val="16"/>
              </w:rPr>
              <w:t>经济成本指标</w:t>
            </w:r>
          </w:p>
        </w:tc>
        <w:tc>
          <w:tcPr>
            <w:tcW w:w="35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16"/>
                <w:szCs w:val="16"/>
              </w:rPr>
            </w:pPr>
            <w:r>
              <w:rPr>
                <w:rFonts w:hint="eastAsia" w:ascii="宋体" w:hAnsi="宋体" w:eastAsia="宋体" w:cs="宋体"/>
                <w:kern w:val="0"/>
                <w:sz w:val="16"/>
                <w:szCs w:val="16"/>
              </w:rPr>
              <w:t>总项目投资</w:t>
            </w:r>
          </w:p>
        </w:tc>
        <w:tc>
          <w:tcPr>
            <w:tcW w:w="150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16"/>
                <w:szCs w:val="16"/>
              </w:rPr>
            </w:pPr>
            <w:r>
              <w:rPr>
                <w:rFonts w:hint="eastAsia" w:ascii="宋体" w:hAnsi="宋体" w:eastAsia="宋体" w:cs="宋体"/>
                <w:kern w:val="0"/>
                <w:sz w:val="16"/>
                <w:szCs w:val="16"/>
              </w:rPr>
              <w:t>≦647.39868万元</w:t>
            </w:r>
          </w:p>
        </w:tc>
        <w:tc>
          <w:tcPr>
            <w:tcW w:w="152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16"/>
                <w:szCs w:val="16"/>
              </w:rPr>
            </w:pPr>
            <w:r>
              <w:rPr>
                <w:rFonts w:hint="eastAsia" w:ascii="宋体" w:hAnsi="宋体" w:eastAsia="宋体" w:cs="宋体"/>
                <w:kern w:val="0"/>
                <w:sz w:val="16"/>
                <w:szCs w:val="16"/>
              </w:rPr>
              <w:t>35.4万元</w:t>
            </w:r>
          </w:p>
        </w:tc>
      </w:tr>
      <w:tr>
        <w:tblPrEx>
          <w:tblCellMar>
            <w:top w:w="0" w:type="dxa"/>
            <w:left w:w="108" w:type="dxa"/>
            <w:bottom w:w="0" w:type="dxa"/>
            <w:right w:w="108" w:type="dxa"/>
          </w:tblCellMar>
        </w:tblPrEx>
        <w:trPr>
          <w:trHeight w:val="345" w:hRule="atLeast"/>
        </w:trPr>
        <w:tc>
          <w:tcPr>
            <w:tcW w:w="570" w:type="dxa"/>
            <w:vMerge w:val="continue"/>
            <w:tcBorders>
              <w:top w:val="single" w:color="auto" w:sz="4" w:space="0"/>
              <w:left w:val="single" w:color="auto" w:sz="4" w:space="0"/>
              <w:bottom w:val="single" w:color="000000" w:sz="4" w:space="0"/>
              <w:right w:val="single" w:color="auto" w:sz="4" w:space="0"/>
            </w:tcBorders>
            <w:vAlign w:val="center"/>
          </w:tcPr>
          <w:p>
            <w:pPr>
              <w:widowControl/>
              <w:jc w:val="left"/>
              <w:rPr>
                <w:rFonts w:ascii="宋体" w:hAnsi="宋体" w:eastAsia="宋体" w:cs="宋体"/>
                <w:kern w:val="0"/>
                <w:sz w:val="16"/>
                <w:szCs w:val="16"/>
              </w:rPr>
            </w:pPr>
          </w:p>
        </w:tc>
        <w:tc>
          <w:tcPr>
            <w:tcW w:w="980" w:type="dxa"/>
            <w:vMerge w:val="continue"/>
            <w:tcBorders>
              <w:top w:val="nil"/>
              <w:left w:val="single" w:color="auto" w:sz="4" w:space="0"/>
              <w:bottom w:val="nil"/>
              <w:right w:val="single" w:color="auto" w:sz="4" w:space="0"/>
            </w:tcBorders>
            <w:vAlign w:val="center"/>
          </w:tcPr>
          <w:p>
            <w:pPr>
              <w:widowControl/>
              <w:jc w:val="left"/>
              <w:rPr>
                <w:rFonts w:ascii="宋体" w:hAnsi="宋体" w:eastAsia="宋体" w:cs="宋体"/>
                <w:kern w:val="0"/>
                <w:sz w:val="16"/>
                <w:szCs w:val="16"/>
              </w:rPr>
            </w:pPr>
          </w:p>
        </w:tc>
        <w:tc>
          <w:tcPr>
            <w:tcW w:w="1470" w:type="dxa"/>
            <w:vMerge w:val="continue"/>
            <w:tcBorders>
              <w:top w:val="single" w:color="auto" w:sz="4" w:space="0"/>
              <w:left w:val="single" w:color="auto" w:sz="4" w:space="0"/>
              <w:bottom w:val="single" w:color="000000" w:sz="4" w:space="0"/>
              <w:right w:val="single" w:color="auto" w:sz="4" w:space="0"/>
            </w:tcBorders>
            <w:vAlign w:val="center"/>
          </w:tcPr>
          <w:p>
            <w:pPr>
              <w:widowControl/>
              <w:jc w:val="left"/>
              <w:rPr>
                <w:rFonts w:ascii="宋体" w:hAnsi="宋体" w:eastAsia="宋体" w:cs="宋体"/>
                <w:kern w:val="0"/>
                <w:sz w:val="16"/>
                <w:szCs w:val="16"/>
              </w:rPr>
            </w:pPr>
          </w:p>
        </w:tc>
        <w:tc>
          <w:tcPr>
            <w:tcW w:w="35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16"/>
                <w:szCs w:val="16"/>
              </w:rPr>
            </w:pPr>
            <w:r>
              <w:rPr>
                <w:rFonts w:hint="eastAsia" w:ascii="宋体" w:hAnsi="宋体" w:eastAsia="宋体" w:cs="宋体"/>
                <w:kern w:val="0"/>
                <w:sz w:val="16"/>
                <w:szCs w:val="16"/>
              </w:rPr>
              <w:t>年度维护成本控制</w:t>
            </w:r>
          </w:p>
        </w:tc>
        <w:tc>
          <w:tcPr>
            <w:tcW w:w="150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16"/>
                <w:szCs w:val="16"/>
              </w:rPr>
            </w:pPr>
            <w:r>
              <w:rPr>
                <w:rFonts w:hint="eastAsia" w:ascii="宋体" w:hAnsi="宋体" w:eastAsia="宋体" w:cs="宋体"/>
                <w:kern w:val="0"/>
                <w:sz w:val="16"/>
                <w:szCs w:val="16"/>
              </w:rPr>
              <w:t>≦21.75万元</w:t>
            </w:r>
          </w:p>
        </w:tc>
        <w:tc>
          <w:tcPr>
            <w:tcW w:w="152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16"/>
                <w:szCs w:val="16"/>
              </w:rPr>
            </w:pPr>
            <w:r>
              <w:rPr>
                <w:rFonts w:hint="eastAsia" w:ascii="宋体" w:hAnsi="宋体" w:eastAsia="宋体" w:cs="宋体"/>
                <w:kern w:val="0"/>
                <w:sz w:val="16"/>
                <w:szCs w:val="16"/>
              </w:rPr>
              <w:t>30万元</w:t>
            </w:r>
          </w:p>
        </w:tc>
      </w:tr>
      <w:tr>
        <w:tblPrEx>
          <w:tblCellMar>
            <w:top w:w="0" w:type="dxa"/>
            <w:left w:w="108" w:type="dxa"/>
            <w:bottom w:w="0" w:type="dxa"/>
            <w:right w:w="108" w:type="dxa"/>
          </w:tblCellMar>
        </w:tblPrEx>
        <w:trPr>
          <w:trHeight w:val="345" w:hRule="atLeast"/>
        </w:trPr>
        <w:tc>
          <w:tcPr>
            <w:tcW w:w="570" w:type="dxa"/>
            <w:vMerge w:val="continue"/>
            <w:tcBorders>
              <w:top w:val="single" w:color="auto" w:sz="4" w:space="0"/>
              <w:left w:val="single" w:color="auto" w:sz="4" w:space="0"/>
              <w:bottom w:val="single" w:color="000000" w:sz="4" w:space="0"/>
              <w:right w:val="single" w:color="auto" w:sz="4" w:space="0"/>
            </w:tcBorders>
            <w:vAlign w:val="center"/>
          </w:tcPr>
          <w:p>
            <w:pPr>
              <w:widowControl/>
              <w:jc w:val="left"/>
              <w:rPr>
                <w:rFonts w:ascii="宋体" w:hAnsi="宋体" w:eastAsia="宋体" w:cs="宋体"/>
                <w:kern w:val="0"/>
                <w:sz w:val="16"/>
                <w:szCs w:val="16"/>
              </w:rPr>
            </w:pPr>
          </w:p>
        </w:tc>
        <w:tc>
          <w:tcPr>
            <w:tcW w:w="980" w:type="dxa"/>
            <w:vMerge w:val="continue"/>
            <w:tcBorders>
              <w:top w:val="nil"/>
              <w:left w:val="single" w:color="auto" w:sz="4" w:space="0"/>
              <w:bottom w:val="nil"/>
              <w:right w:val="single" w:color="auto" w:sz="4" w:space="0"/>
            </w:tcBorders>
            <w:vAlign w:val="center"/>
          </w:tcPr>
          <w:p>
            <w:pPr>
              <w:widowControl/>
              <w:jc w:val="left"/>
              <w:rPr>
                <w:rFonts w:ascii="宋体" w:hAnsi="宋体" w:eastAsia="宋体" w:cs="宋体"/>
                <w:kern w:val="0"/>
                <w:sz w:val="16"/>
                <w:szCs w:val="16"/>
              </w:rPr>
            </w:pPr>
          </w:p>
        </w:tc>
        <w:tc>
          <w:tcPr>
            <w:tcW w:w="1470" w:type="dxa"/>
            <w:vMerge w:val="continue"/>
            <w:tcBorders>
              <w:top w:val="single" w:color="auto" w:sz="4" w:space="0"/>
              <w:left w:val="single" w:color="auto" w:sz="4" w:space="0"/>
              <w:bottom w:val="single" w:color="000000" w:sz="4" w:space="0"/>
              <w:right w:val="single" w:color="auto" w:sz="4" w:space="0"/>
            </w:tcBorders>
            <w:vAlign w:val="center"/>
          </w:tcPr>
          <w:p>
            <w:pPr>
              <w:widowControl/>
              <w:jc w:val="left"/>
              <w:rPr>
                <w:rFonts w:ascii="宋体" w:hAnsi="宋体" w:eastAsia="宋体" w:cs="宋体"/>
                <w:kern w:val="0"/>
                <w:sz w:val="16"/>
                <w:szCs w:val="16"/>
              </w:rPr>
            </w:pPr>
          </w:p>
        </w:tc>
        <w:tc>
          <w:tcPr>
            <w:tcW w:w="35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16"/>
                <w:szCs w:val="16"/>
              </w:rPr>
            </w:pPr>
            <w:r>
              <w:rPr>
                <w:rFonts w:hint="eastAsia" w:ascii="宋体" w:hAnsi="宋体" w:eastAsia="宋体" w:cs="宋体"/>
                <w:kern w:val="0"/>
                <w:sz w:val="16"/>
                <w:szCs w:val="16"/>
              </w:rPr>
              <w:t>项目评审审减率</w:t>
            </w:r>
          </w:p>
        </w:tc>
        <w:tc>
          <w:tcPr>
            <w:tcW w:w="150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16"/>
                <w:szCs w:val="16"/>
              </w:rPr>
            </w:pPr>
            <w:r>
              <w:rPr>
                <w:rFonts w:hint="eastAsia" w:ascii="宋体" w:hAnsi="宋体" w:eastAsia="宋体" w:cs="宋体"/>
                <w:kern w:val="0"/>
                <w:sz w:val="16"/>
                <w:szCs w:val="16"/>
              </w:rPr>
              <w:t>≥7%</w:t>
            </w:r>
          </w:p>
        </w:tc>
        <w:tc>
          <w:tcPr>
            <w:tcW w:w="152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16"/>
                <w:szCs w:val="16"/>
              </w:rPr>
            </w:pPr>
            <w:r>
              <w:rPr>
                <w:rFonts w:hint="eastAsia" w:ascii="宋体" w:hAnsi="宋体" w:eastAsia="宋体" w:cs="宋体"/>
                <w:kern w:val="0"/>
                <w:sz w:val="16"/>
                <w:szCs w:val="16"/>
              </w:rPr>
              <w:t>7%</w:t>
            </w:r>
          </w:p>
        </w:tc>
      </w:tr>
      <w:tr>
        <w:trPr>
          <w:trHeight w:val="345" w:hRule="atLeast"/>
        </w:trPr>
        <w:tc>
          <w:tcPr>
            <w:tcW w:w="570" w:type="dxa"/>
            <w:vMerge w:val="continue"/>
            <w:tcBorders>
              <w:top w:val="single" w:color="auto" w:sz="4" w:space="0"/>
              <w:left w:val="single" w:color="auto" w:sz="4" w:space="0"/>
              <w:bottom w:val="single" w:color="000000" w:sz="4" w:space="0"/>
              <w:right w:val="single" w:color="auto" w:sz="4" w:space="0"/>
            </w:tcBorders>
            <w:vAlign w:val="center"/>
          </w:tcPr>
          <w:p>
            <w:pPr>
              <w:widowControl/>
              <w:jc w:val="left"/>
              <w:rPr>
                <w:rFonts w:ascii="宋体" w:hAnsi="宋体" w:eastAsia="宋体" w:cs="宋体"/>
                <w:kern w:val="0"/>
                <w:sz w:val="16"/>
                <w:szCs w:val="16"/>
              </w:rPr>
            </w:pPr>
          </w:p>
        </w:tc>
        <w:tc>
          <w:tcPr>
            <w:tcW w:w="980" w:type="dxa"/>
            <w:vMerge w:val="continue"/>
            <w:tcBorders>
              <w:top w:val="nil"/>
              <w:left w:val="single" w:color="auto" w:sz="4" w:space="0"/>
              <w:bottom w:val="nil"/>
              <w:right w:val="single" w:color="auto" w:sz="4" w:space="0"/>
            </w:tcBorders>
            <w:vAlign w:val="center"/>
          </w:tcPr>
          <w:p>
            <w:pPr>
              <w:widowControl/>
              <w:jc w:val="left"/>
              <w:rPr>
                <w:rFonts w:ascii="宋体" w:hAnsi="宋体" w:eastAsia="宋体" w:cs="宋体"/>
                <w:kern w:val="0"/>
                <w:sz w:val="16"/>
                <w:szCs w:val="16"/>
              </w:rPr>
            </w:pPr>
          </w:p>
        </w:tc>
        <w:tc>
          <w:tcPr>
            <w:tcW w:w="1470" w:type="dxa"/>
            <w:vMerge w:val="continue"/>
            <w:tcBorders>
              <w:top w:val="single" w:color="auto" w:sz="4" w:space="0"/>
              <w:left w:val="single" w:color="auto" w:sz="4" w:space="0"/>
              <w:bottom w:val="single" w:color="000000" w:sz="4" w:space="0"/>
              <w:right w:val="single" w:color="auto" w:sz="4" w:space="0"/>
            </w:tcBorders>
            <w:vAlign w:val="center"/>
          </w:tcPr>
          <w:p>
            <w:pPr>
              <w:widowControl/>
              <w:jc w:val="left"/>
              <w:rPr>
                <w:rFonts w:ascii="宋体" w:hAnsi="宋体" w:eastAsia="宋体" w:cs="宋体"/>
                <w:kern w:val="0"/>
                <w:sz w:val="16"/>
                <w:szCs w:val="16"/>
              </w:rPr>
            </w:pPr>
          </w:p>
        </w:tc>
        <w:tc>
          <w:tcPr>
            <w:tcW w:w="35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16"/>
                <w:szCs w:val="16"/>
              </w:rPr>
            </w:pPr>
            <w:r>
              <w:rPr>
                <w:rFonts w:hint="eastAsia" w:ascii="宋体" w:hAnsi="宋体" w:eastAsia="宋体" w:cs="宋体"/>
                <w:kern w:val="0"/>
                <w:sz w:val="16"/>
                <w:szCs w:val="16"/>
              </w:rPr>
              <w:t>总控制劳务派遣费用</w:t>
            </w:r>
          </w:p>
        </w:tc>
        <w:tc>
          <w:tcPr>
            <w:tcW w:w="150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16"/>
                <w:szCs w:val="16"/>
              </w:rPr>
            </w:pPr>
            <w:r>
              <w:rPr>
                <w:rFonts w:hint="eastAsia" w:ascii="宋体" w:hAnsi="宋体" w:eastAsia="宋体" w:cs="宋体"/>
                <w:kern w:val="0"/>
                <w:sz w:val="16"/>
                <w:szCs w:val="16"/>
              </w:rPr>
              <w:t>≦34.0776万元</w:t>
            </w:r>
          </w:p>
        </w:tc>
        <w:tc>
          <w:tcPr>
            <w:tcW w:w="152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16"/>
                <w:szCs w:val="16"/>
              </w:rPr>
            </w:pPr>
            <w:r>
              <w:rPr>
                <w:rFonts w:hint="eastAsia" w:ascii="宋体" w:hAnsi="宋体" w:eastAsia="宋体" w:cs="宋体"/>
                <w:kern w:val="0"/>
                <w:sz w:val="16"/>
                <w:szCs w:val="16"/>
              </w:rPr>
              <w:t>24.13万元</w:t>
            </w:r>
          </w:p>
        </w:tc>
      </w:tr>
      <w:tr>
        <w:tblPrEx>
          <w:tblCellMar>
            <w:top w:w="0" w:type="dxa"/>
            <w:left w:w="108" w:type="dxa"/>
            <w:bottom w:w="0" w:type="dxa"/>
            <w:right w:w="108" w:type="dxa"/>
          </w:tblCellMar>
        </w:tblPrEx>
        <w:trPr>
          <w:trHeight w:val="540" w:hRule="atLeast"/>
        </w:trPr>
        <w:tc>
          <w:tcPr>
            <w:tcW w:w="570" w:type="dxa"/>
            <w:vMerge w:val="continue"/>
            <w:tcBorders>
              <w:top w:val="single" w:color="auto" w:sz="4" w:space="0"/>
              <w:left w:val="single" w:color="auto" w:sz="4" w:space="0"/>
              <w:bottom w:val="single" w:color="000000" w:sz="4" w:space="0"/>
              <w:right w:val="single" w:color="auto" w:sz="4" w:space="0"/>
            </w:tcBorders>
            <w:vAlign w:val="center"/>
          </w:tcPr>
          <w:p>
            <w:pPr>
              <w:widowControl/>
              <w:jc w:val="left"/>
              <w:rPr>
                <w:rFonts w:ascii="宋体" w:hAnsi="宋体" w:eastAsia="宋体" w:cs="宋体"/>
                <w:kern w:val="0"/>
                <w:sz w:val="16"/>
                <w:szCs w:val="16"/>
              </w:rPr>
            </w:pPr>
          </w:p>
        </w:tc>
        <w:tc>
          <w:tcPr>
            <w:tcW w:w="980" w:type="dxa"/>
            <w:vMerge w:val="restart"/>
            <w:tcBorders>
              <w:top w:val="single" w:color="auto" w:sz="4" w:space="0"/>
              <w:left w:val="single" w:color="auto" w:sz="4" w:space="0"/>
              <w:bottom w:val="single" w:color="000000" w:sz="4" w:space="0"/>
              <w:right w:val="single" w:color="auto" w:sz="4" w:space="0"/>
            </w:tcBorders>
            <w:shd w:val="clear" w:color="auto" w:fill="auto"/>
            <w:noWrap/>
            <w:vAlign w:val="center"/>
          </w:tcPr>
          <w:p>
            <w:pPr>
              <w:widowControl/>
              <w:jc w:val="center"/>
              <w:rPr>
                <w:rFonts w:ascii="宋体" w:hAnsi="宋体" w:eastAsia="宋体" w:cs="宋体"/>
                <w:kern w:val="0"/>
                <w:sz w:val="16"/>
                <w:szCs w:val="16"/>
              </w:rPr>
            </w:pPr>
            <w:r>
              <w:rPr>
                <w:rFonts w:hint="eastAsia" w:ascii="宋体" w:hAnsi="宋体" w:eastAsia="宋体" w:cs="宋体"/>
                <w:kern w:val="0"/>
                <w:sz w:val="16"/>
                <w:szCs w:val="16"/>
              </w:rPr>
              <w:t>效益指标</w:t>
            </w:r>
          </w:p>
        </w:tc>
        <w:tc>
          <w:tcPr>
            <w:tcW w:w="1470" w:type="dxa"/>
            <w:vMerge w:val="restart"/>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16"/>
                <w:szCs w:val="16"/>
              </w:rPr>
            </w:pPr>
            <w:r>
              <w:rPr>
                <w:rFonts w:hint="eastAsia" w:ascii="宋体" w:hAnsi="宋体" w:eastAsia="宋体" w:cs="宋体"/>
                <w:kern w:val="0"/>
                <w:sz w:val="16"/>
                <w:szCs w:val="16"/>
              </w:rPr>
              <w:t>社会效益指标</w:t>
            </w:r>
          </w:p>
        </w:tc>
        <w:tc>
          <w:tcPr>
            <w:tcW w:w="354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16"/>
                <w:szCs w:val="16"/>
              </w:rPr>
            </w:pPr>
            <w:r>
              <w:rPr>
                <w:rFonts w:hint="eastAsia" w:ascii="宋体" w:hAnsi="宋体" w:eastAsia="宋体" w:cs="宋体"/>
                <w:kern w:val="0"/>
                <w:sz w:val="16"/>
                <w:szCs w:val="16"/>
              </w:rPr>
              <w:t>促进乡镇经济发展，提高社区群众的生活质量，体现党的富民政策。</w:t>
            </w:r>
          </w:p>
        </w:tc>
        <w:tc>
          <w:tcPr>
            <w:tcW w:w="150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16"/>
                <w:szCs w:val="16"/>
              </w:rPr>
            </w:pPr>
            <w:r>
              <w:rPr>
                <w:rFonts w:hint="eastAsia" w:ascii="宋体" w:hAnsi="宋体" w:eastAsia="宋体" w:cs="宋体"/>
                <w:kern w:val="0"/>
                <w:sz w:val="16"/>
                <w:szCs w:val="16"/>
              </w:rPr>
              <w:t>提升</w:t>
            </w:r>
          </w:p>
        </w:tc>
        <w:tc>
          <w:tcPr>
            <w:tcW w:w="152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16"/>
                <w:szCs w:val="16"/>
              </w:rPr>
            </w:pPr>
            <w:r>
              <w:rPr>
                <w:rFonts w:hint="eastAsia" w:ascii="宋体" w:hAnsi="宋体" w:eastAsia="宋体" w:cs="宋体"/>
                <w:kern w:val="0"/>
                <w:sz w:val="16"/>
                <w:szCs w:val="16"/>
              </w:rPr>
              <w:t>提升</w:t>
            </w:r>
          </w:p>
        </w:tc>
      </w:tr>
      <w:tr>
        <w:tblPrEx>
          <w:tblCellMar>
            <w:top w:w="0" w:type="dxa"/>
            <w:left w:w="108" w:type="dxa"/>
            <w:bottom w:w="0" w:type="dxa"/>
            <w:right w:w="108" w:type="dxa"/>
          </w:tblCellMar>
        </w:tblPrEx>
        <w:trPr>
          <w:trHeight w:val="345" w:hRule="atLeast"/>
        </w:trPr>
        <w:tc>
          <w:tcPr>
            <w:tcW w:w="570" w:type="dxa"/>
            <w:vMerge w:val="continue"/>
            <w:tcBorders>
              <w:top w:val="single" w:color="auto" w:sz="4" w:space="0"/>
              <w:left w:val="single" w:color="auto" w:sz="4" w:space="0"/>
              <w:bottom w:val="single" w:color="000000" w:sz="4" w:space="0"/>
              <w:right w:val="single" w:color="auto" w:sz="4" w:space="0"/>
            </w:tcBorders>
            <w:vAlign w:val="center"/>
          </w:tcPr>
          <w:p>
            <w:pPr>
              <w:widowControl/>
              <w:jc w:val="left"/>
              <w:rPr>
                <w:rFonts w:ascii="宋体" w:hAnsi="宋体" w:eastAsia="宋体" w:cs="宋体"/>
                <w:kern w:val="0"/>
                <w:sz w:val="16"/>
                <w:szCs w:val="16"/>
              </w:rPr>
            </w:pPr>
          </w:p>
        </w:tc>
        <w:tc>
          <w:tcPr>
            <w:tcW w:w="980" w:type="dxa"/>
            <w:vMerge w:val="continue"/>
            <w:tcBorders>
              <w:top w:val="single" w:color="auto" w:sz="4" w:space="0"/>
              <w:left w:val="single" w:color="auto" w:sz="4" w:space="0"/>
              <w:bottom w:val="single" w:color="000000" w:sz="4" w:space="0"/>
              <w:right w:val="single" w:color="auto" w:sz="4" w:space="0"/>
            </w:tcBorders>
            <w:vAlign w:val="center"/>
          </w:tcPr>
          <w:p>
            <w:pPr>
              <w:widowControl/>
              <w:jc w:val="left"/>
              <w:rPr>
                <w:rFonts w:ascii="宋体" w:hAnsi="宋体" w:eastAsia="宋体" w:cs="宋体"/>
                <w:kern w:val="0"/>
                <w:sz w:val="16"/>
                <w:szCs w:val="16"/>
              </w:rPr>
            </w:pPr>
          </w:p>
        </w:tc>
        <w:tc>
          <w:tcPr>
            <w:tcW w:w="147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16"/>
                <w:szCs w:val="16"/>
              </w:rPr>
            </w:pPr>
          </w:p>
        </w:tc>
        <w:tc>
          <w:tcPr>
            <w:tcW w:w="35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16"/>
                <w:szCs w:val="16"/>
              </w:rPr>
            </w:pPr>
            <w:r>
              <w:rPr>
                <w:rFonts w:hint="eastAsia" w:ascii="宋体" w:hAnsi="宋体" w:eastAsia="宋体" w:cs="宋体"/>
                <w:kern w:val="0"/>
                <w:sz w:val="16"/>
                <w:szCs w:val="16"/>
              </w:rPr>
              <w:t>受益人口数</w:t>
            </w:r>
          </w:p>
        </w:tc>
        <w:tc>
          <w:tcPr>
            <w:tcW w:w="150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16"/>
                <w:szCs w:val="16"/>
              </w:rPr>
            </w:pPr>
            <w:r>
              <w:rPr>
                <w:rFonts w:hint="eastAsia" w:ascii="宋体" w:hAnsi="宋体" w:eastAsia="宋体" w:cs="宋体"/>
                <w:kern w:val="0"/>
                <w:sz w:val="16"/>
                <w:szCs w:val="16"/>
              </w:rPr>
              <w:t>≥28人次</w:t>
            </w:r>
          </w:p>
        </w:tc>
        <w:tc>
          <w:tcPr>
            <w:tcW w:w="152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16"/>
                <w:szCs w:val="16"/>
              </w:rPr>
            </w:pPr>
            <w:r>
              <w:rPr>
                <w:rFonts w:hint="eastAsia" w:ascii="宋体" w:hAnsi="宋体" w:eastAsia="宋体" w:cs="宋体"/>
                <w:kern w:val="0"/>
                <w:sz w:val="16"/>
                <w:szCs w:val="16"/>
              </w:rPr>
              <w:t>30人次</w:t>
            </w:r>
          </w:p>
        </w:tc>
      </w:tr>
      <w:tr>
        <w:tblPrEx>
          <w:tblCellMar>
            <w:top w:w="0" w:type="dxa"/>
            <w:left w:w="108" w:type="dxa"/>
            <w:bottom w:w="0" w:type="dxa"/>
            <w:right w:w="108" w:type="dxa"/>
          </w:tblCellMar>
        </w:tblPrEx>
        <w:trPr>
          <w:trHeight w:val="345" w:hRule="atLeast"/>
        </w:trPr>
        <w:tc>
          <w:tcPr>
            <w:tcW w:w="570" w:type="dxa"/>
            <w:vMerge w:val="continue"/>
            <w:tcBorders>
              <w:top w:val="single" w:color="auto" w:sz="4" w:space="0"/>
              <w:left w:val="single" w:color="auto" w:sz="4" w:space="0"/>
              <w:bottom w:val="single" w:color="000000" w:sz="4" w:space="0"/>
              <w:right w:val="single" w:color="auto" w:sz="4" w:space="0"/>
            </w:tcBorders>
            <w:vAlign w:val="center"/>
          </w:tcPr>
          <w:p>
            <w:pPr>
              <w:widowControl/>
              <w:jc w:val="left"/>
              <w:rPr>
                <w:rFonts w:ascii="宋体" w:hAnsi="宋体" w:eastAsia="宋体" w:cs="宋体"/>
                <w:kern w:val="0"/>
                <w:sz w:val="16"/>
                <w:szCs w:val="16"/>
              </w:rPr>
            </w:pPr>
          </w:p>
        </w:tc>
        <w:tc>
          <w:tcPr>
            <w:tcW w:w="980" w:type="dxa"/>
            <w:vMerge w:val="continue"/>
            <w:tcBorders>
              <w:top w:val="single" w:color="auto" w:sz="4" w:space="0"/>
              <w:left w:val="single" w:color="auto" w:sz="4" w:space="0"/>
              <w:bottom w:val="single" w:color="000000" w:sz="4" w:space="0"/>
              <w:right w:val="single" w:color="auto" w:sz="4" w:space="0"/>
            </w:tcBorders>
            <w:vAlign w:val="center"/>
          </w:tcPr>
          <w:p>
            <w:pPr>
              <w:widowControl/>
              <w:jc w:val="left"/>
              <w:rPr>
                <w:rFonts w:ascii="宋体" w:hAnsi="宋体" w:eastAsia="宋体" w:cs="宋体"/>
                <w:kern w:val="0"/>
                <w:sz w:val="16"/>
                <w:szCs w:val="16"/>
              </w:rPr>
            </w:pPr>
          </w:p>
        </w:tc>
        <w:tc>
          <w:tcPr>
            <w:tcW w:w="1470" w:type="dxa"/>
            <w:vMerge w:val="restart"/>
            <w:tcBorders>
              <w:top w:val="nil"/>
              <w:left w:val="single" w:color="auto" w:sz="4" w:space="0"/>
              <w:bottom w:val="single" w:color="000000" w:sz="4" w:space="0"/>
              <w:right w:val="single" w:color="auto" w:sz="4" w:space="0"/>
            </w:tcBorders>
            <w:shd w:val="clear" w:color="auto" w:fill="auto"/>
            <w:noWrap/>
            <w:vAlign w:val="center"/>
          </w:tcPr>
          <w:p>
            <w:pPr>
              <w:widowControl/>
              <w:jc w:val="center"/>
              <w:rPr>
                <w:rFonts w:ascii="宋体" w:hAnsi="宋体" w:eastAsia="宋体" w:cs="宋体"/>
                <w:kern w:val="0"/>
                <w:sz w:val="16"/>
                <w:szCs w:val="16"/>
              </w:rPr>
            </w:pPr>
            <w:r>
              <w:rPr>
                <w:rFonts w:hint="eastAsia" w:ascii="宋体" w:hAnsi="宋体" w:eastAsia="宋体" w:cs="宋体"/>
                <w:kern w:val="0"/>
                <w:sz w:val="16"/>
                <w:szCs w:val="16"/>
              </w:rPr>
              <w:t>可持续影响指标</w:t>
            </w:r>
          </w:p>
        </w:tc>
        <w:tc>
          <w:tcPr>
            <w:tcW w:w="35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color w:val="000000"/>
                <w:kern w:val="0"/>
                <w:sz w:val="16"/>
                <w:szCs w:val="16"/>
              </w:rPr>
            </w:pPr>
            <w:r>
              <w:rPr>
                <w:rFonts w:hint="eastAsia" w:ascii="宋体" w:hAnsi="宋体" w:eastAsia="宋体" w:cs="宋体"/>
                <w:color w:val="000000"/>
                <w:kern w:val="0"/>
                <w:sz w:val="16"/>
                <w:szCs w:val="16"/>
              </w:rPr>
              <w:t>用餐环境健康保障率</w:t>
            </w:r>
          </w:p>
        </w:tc>
        <w:tc>
          <w:tcPr>
            <w:tcW w:w="150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16"/>
                <w:szCs w:val="16"/>
              </w:rPr>
            </w:pPr>
            <w:r>
              <w:rPr>
                <w:rFonts w:hint="eastAsia" w:ascii="宋体" w:hAnsi="宋体" w:eastAsia="宋体" w:cs="宋体"/>
                <w:kern w:val="0"/>
                <w:sz w:val="16"/>
                <w:szCs w:val="16"/>
              </w:rPr>
              <w:t>≥100%</w:t>
            </w:r>
          </w:p>
        </w:tc>
        <w:tc>
          <w:tcPr>
            <w:tcW w:w="152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16"/>
                <w:szCs w:val="16"/>
              </w:rPr>
            </w:pPr>
            <w:r>
              <w:rPr>
                <w:rFonts w:hint="eastAsia" w:ascii="宋体" w:hAnsi="宋体" w:eastAsia="宋体" w:cs="宋体"/>
                <w:kern w:val="0"/>
                <w:sz w:val="16"/>
                <w:szCs w:val="16"/>
              </w:rPr>
              <w:t>100%</w:t>
            </w:r>
          </w:p>
        </w:tc>
      </w:tr>
      <w:tr>
        <w:trPr>
          <w:trHeight w:val="345" w:hRule="atLeast"/>
        </w:trPr>
        <w:tc>
          <w:tcPr>
            <w:tcW w:w="570" w:type="dxa"/>
            <w:vMerge w:val="continue"/>
            <w:tcBorders>
              <w:top w:val="single" w:color="auto" w:sz="4" w:space="0"/>
              <w:left w:val="single" w:color="auto" w:sz="4" w:space="0"/>
              <w:bottom w:val="single" w:color="000000" w:sz="4" w:space="0"/>
              <w:right w:val="single" w:color="auto" w:sz="4" w:space="0"/>
            </w:tcBorders>
            <w:vAlign w:val="center"/>
          </w:tcPr>
          <w:p>
            <w:pPr>
              <w:widowControl/>
              <w:jc w:val="left"/>
              <w:rPr>
                <w:rFonts w:ascii="宋体" w:hAnsi="宋体" w:eastAsia="宋体" w:cs="宋体"/>
                <w:kern w:val="0"/>
                <w:sz w:val="16"/>
                <w:szCs w:val="16"/>
              </w:rPr>
            </w:pPr>
          </w:p>
        </w:tc>
        <w:tc>
          <w:tcPr>
            <w:tcW w:w="980" w:type="dxa"/>
            <w:vMerge w:val="continue"/>
            <w:tcBorders>
              <w:top w:val="single" w:color="auto" w:sz="4" w:space="0"/>
              <w:left w:val="single" w:color="auto" w:sz="4" w:space="0"/>
              <w:bottom w:val="single" w:color="000000" w:sz="4" w:space="0"/>
              <w:right w:val="single" w:color="auto" w:sz="4" w:space="0"/>
            </w:tcBorders>
            <w:vAlign w:val="center"/>
          </w:tcPr>
          <w:p>
            <w:pPr>
              <w:widowControl/>
              <w:jc w:val="left"/>
              <w:rPr>
                <w:rFonts w:ascii="宋体" w:hAnsi="宋体" w:eastAsia="宋体" w:cs="宋体"/>
                <w:kern w:val="0"/>
                <w:sz w:val="16"/>
                <w:szCs w:val="16"/>
              </w:rPr>
            </w:pPr>
          </w:p>
        </w:tc>
        <w:tc>
          <w:tcPr>
            <w:tcW w:w="1470"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eastAsia="宋体" w:cs="宋体"/>
                <w:kern w:val="0"/>
                <w:sz w:val="16"/>
                <w:szCs w:val="16"/>
              </w:rPr>
            </w:pPr>
          </w:p>
        </w:tc>
        <w:tc>
          <w:tcPr>
            <w:tcW w:w="35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color w:val="000000"/>
                <w:kern w:val="0"/>
                <w:sz w:val="16"/>
                <w:szCs w:val="16"/>
              </w:rPr>
            </w:pPr>
            <w:r>
              <w:rPr>
                <w:rFonts w:hint="eastAsia" w:ascii="宋体" w:hAnsi="宋体" w:eastAsia="宋体" w:cs="宋体"/>
                <w:color w:val="000000"/>
                <w:kern w:val="0"/>
                <w:sz w:val="16"/>
                <w:szCs w:val="16"/>
              </w:rPr>
              <w:t>保障工作开展及正常运转</w:t>
            </w:r>
          </w:p>
        </w:tc>
        <w:tc>
          <w:tcPr>
            <w:tcW w:w="150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16"/>
                <w:szCs w:val="16"/>
              </w:rPr>
            </w:pPr>
            <w:r>
              <w:rPr>
                <w:rFonts w:hint="eastAsia" w:ascii="宋体" w:hAnsi="宋体" w:eastAsia="宋体" w:cs="宋体"/>
                <w:kern w:val="0"/>
                <w:sz w:val="16"/>
                <w:szCs w:val="16"/>
              </w:rPr>
              <w:t>≥95%</w:t>
            </w:r>
          </w:p>
        </w:tc>
        <w:tc>
          <w:tcPr>
            <w:tcW w:w="152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16"/>
                <w:szCs w:val="16"/>
              </w:rPr>
            </w:pPr>
            <w:r>
              <w:rPr>
                <w:rFonts w:hint="eastAsia" w:ascii="宋体" w:hAnsi="宋体" w:eastAsia="宋体" w:cs="宋体"/>
                <w:kern w:val="0"/>
                <w:sz w:val="16"/>
                <w:szCs w:val="16"/>
              </w:rPr>
              <w:t>95%</w:t>
            </w:r>
          </w:p>
        </w:tc>
      </w:tr>
      <w:tr>
        <w:tblPrEx>
          <w:tblCellMar>
            <w:top w:w="0" w:type="dxa"/>
            <w:left w:w="108" w:type="dxa"/>
            <w:bottom w:w="0" w:type="dxa"/>
            <w:right w:w="108" w:type="dxa"/>
          </w:tblCellMar>
        </w:tblPrEx>
        <w:trPr>
          <w:trHeight w:val="345" w:hRule="atLeast"/>
        </w:trPr>
        <w:tc>
          <w:tcPr>
            <w:tcW w:w="570" w:type="dxa"/>
            <w:vMerge w:val="continue"/>
            <w:tcBorders>
              <w:top w:val="single" w:color="auto" w:sz="4" w:space="0"/>
              <w:left w:val="single" w:color="auto" w:sz="4" w:space="0"/>
              <w:bottom w:val="single" w:color="000000" w:sz="4" w:space="0"/>
              <w:right w:val="single" w:color="auto" w:sz="4" w:space="0"/>
            </w:tcBorders>
            <w:vAlign w:val="center"/>
          </w:tcPr>
          <w:p>
            <w:pPr>
              <w:widowControl/>
              <w:jc w:val="left"/>
              <w:rPr>
                <w:rFonts w:ascii="宋体" w:hAnsi="宋体" w:eastAsia="宋体" w:cs="宋体"/>
                <w:kern w:val="0"/>
                <w:sz w:val="16"/>
                <w:szCs w:val="16"/>
              </w:rPr>
            </w:pPr>
          </w:p>
        </w:tc>
        <w:tc>
          <w:tcPr>
            <w:tcW w:w="980" w:type="dxa"/>
            <w:vMerge w:val="continue"/>
            <w:tcBorders>
              <w:top w:val="single" w:color="auto" w:sz="4" w:space="0"/>
              <w:left w:val="single" w:color="auto" w:sz="4" w:space="0"/>
              <w:bottom w:val="single" w:color="000000" w:sz="4" w:space="0"/>
              <w:right w:val="single" w:color="auto" w:sz="4" w:space="0"/>
            </w:tcBorders>
            <w:vAlign w:val="center"/>
          </w:tcPr>
          <w:p>
            <w:pPr>
              <w:widowControl/>
              <w:jc w:val="left"/>
              <w:rPr>
                <w:rFonts w:ascii="宋体" w:hAnsi="宋体" w:eastAsia="宋体" w:cs="宋体"/>
                <w:kern w:val="0"/>
                <w:sz w:val="16"/>
                <w:szCs w:val="16"/>
              </w:rPr>
            </w:pPr>
          </w:p>
        </w:tc>
        <w:tc>
          <w:tcPr>
            <w:tcW w:w="1470"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eastAsia="宋体" w:cs="宋体"/>
                <w:kern w:val="0"/>
                <w:sz w:val="16"/>
                <w:szCs w:val="16"/>
              </w:rPr>
            </w:pPr>
          </w:p>
        </w:tc>
        <w:tc>
          <w:tcPr>
            <w:tcW w:w="35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16"/>
                <w:szCs w:val="16"/>
              </w:rPr>
            </w:pPr>
            <w:r>
              <w:rPr>
                <w:rFonts w:hint="eastAsia" w:ascii="宋体" w:hAnsi="宋体" w:eastAsia="宋体" w:cs="宋体"/>
                <w:kern w:val="0"/>
                <w:sz w:val="16"/>
                <w:szCs w:val="16"/>
              </w:rPr>
              <w:t>财政业务系统应用持续性</w:t>
            </w:r>
          </w:p>
        </w:tc>
        <w:tc>
          <w:tcPr>
            <w:tcW w:w="150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16"/>
                <w:szCs w:val="16"/>
              </w:rPr>
            </w:pPr>
            <w:r>
              <w:rPr>
                <w:rFonts w:hint="eastAsia" w:ascii="宋体" w:hAnsi="宋体" w:eastAsia="宋体" w:cs="宋体"/>
                <w:kern w:val="0"/>
                <w:sz w:val="16"/>
                <w:szCs w:val="16"/>
              </w:rPr>
              <w:t>等于5套</w:t>
            </w:r>
          </w:p>
        </w:tc>
        <w:tc>
          <w:tcPr>
            <w:tcW w:w="152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16"/>
                <w:szCs w:val="16"/>
              </w:rPr>
            </w:pPr>
            <w:r>
              <w:rPr>
                <w:rFonts w:hint="eastAsia" w:ascii="宋体" w:hAnsi="宋体" w:eastAsia="宋体" w:cs="宋体"/>
                <w:kern w:val="0"/>
                <w:sz w:val="16"/>
                <w:szCs w:val="16"/>
              </w:rPr>
              <w:t>5套</w:t>
            </w:r>
          </w:p>
        </w:tc>
      </w:tr>
      <w:tr>
        <w:tblPrEx>
          <w:tblCellMar>
            <w:top w:w="0" w:type="dxa"/>
            <w:left w:w="108" w:type="dxa"/>
            <w:bottom w:w="0" w:type="dxa"/>
            <w:right w:w="108" w:type="dxa"/>
          </w:tblCellMar>
        </w:tblPrEx>
        <w:trPr>
          <w:trHeight w:val="345" w:hRule="atLeast"/>
        </w:trPr>
        <w:tc>
          <w:tcPr>
            <w:tcW w:w="570" w:type="dxa"/>
            <w:vMerge w:val="continue"/>
            <w:tcBorders>
              <w:top w:val="single" w:color="auto" w:sz="4" w:space="0"/>
              <w:left w:val="single" w:color="auto" w:sz="4" w:space="0"/>
              <w:bottom w:val="single" w:color="000000" w:sz="4" w:space="0"/>
              <w:right w:val="single" w:color="auto" w:sz="4" w:space="0"/>
            </w:tcBorders>
            <w:vAlign w:val="center"/>
          </w:tcPr>
          <w:p>
            <w:pPr>
              <w:widowControl/>
              <w:jc w:val="left"/>
              <w:rPr>
                <w:rFonts w:ascii="宋体" w:hAnsi="宋体" w:eastAsia="宋体" w:cs="宋体"/>
                <w:kern w:val="0"/>
                <w:sz w:val="16"/>
                <w:szCs w:val="16"/>
              </w:rPr>
            </w:pPr>
          </w:p>
        </w:tc>
        <w:tc>
          <w:tcPr>
            <w:tcW w:w="980" w:type="dxa"/>
            <w:vMerge w:val="continue"/>
            <w:tcBorders>
              <w:top w:val="single" w:color="auto" w:sz="4" w:space="0"/>
              <w:left w:val="single" w:color="auto" w:sz="4" w:space="0"/>
              <w:bottom w:val="single" w:color="000000" w:sz="4" w:space="0"/>
              <w:right w:val="single" w:color="auto" w:sz="4" w:space="0"/>
            </w:tcBorders>
            <w:vAlign w:val="center"/>
          </w:tcPr>
          <w:p>
            <w:pPr>
              <w:widowControl/>
              <w:jc w:val="left"/>
              <w:rPr>
                <w:rFonts w:ascii="宋体" w:hAnsi="宋体" w:eastAsia="宋体" w:cs="宋体"/>
                <w:kern w:val="0"/>
                <w:sz w:val="16"/>
                <w:szCs w:val="16"/>
              </w:rPr>
            </w:pPr>
          </w:p>
        </w:tc>
        <w:tc>
          <w:tcPr>
            <w:tcW w:w="1470"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eastAsia="宋体" w:cs="宋体"/>
                <w:kern w:val="0"/>
                <w:sz w:val="16"/>
                <w:szCs w:val="16"/>
              </w:rPr>
            </w:pPr>
          </w:p>
        </w:tc>
        <w:tc>
          <w:tcPr>
            <w:tcW w:w="35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16"/>
                <w:szCs w:val="16"/>
              </w:rPr>
            </w:pPr>
            <w:r>
              <w:rPr>
                <w:rFonts w:hint="eastAsia" w:ascii="宋体" w:hAnsi="宋体" w:eastAsia="宋体" w:cs="宋体"/>
                <w:kern w:val="0"/>
                <w:sz w:val="16"/>
                <w:szCs w:val="16"/>
              </w:rPr>
              <w:t>部门预算绩效管理水平提升</w:t>
            </w:r>
          </w:p>
        </w:tc>
        <w:tc>
          <w:tcPr>
            <w:tcW w:w="150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16"/>
                <w:szCs w:val="16"/>
              </w:rPr>
            </w:pPr>
            <w:r>
              <w:rPr>
                <w:rFonts w:hint="eastAsia" w:ascii="宋体" w:hAnsi="宋体" w:eastAsia="宋体" w:cs="宋体"/>
                <w:kern w:val="0"/>
                <w:sz w:val="16"/>
                <w:szCs w:val="16"/>
              </w:rPr>
              <w:t>显著提升</w:t>
            </w:r>
          </w:p>
        </w:tc>
        <w:tc>
          <w:tcPr>
            <w:tcW w:w="152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16"/>
                <w:szCs w:val="16"/>
              </w:rPr>
            </w:pPr>
            <w:r>
              <w:rPr>
                <w:rFonts w:hint="eastAsia" w:ascii="宋体" w:hAnsi="宋体" w:eastAsia="宋体" w:cs="宋体"/>
                <w:kern w:val="0"/>
                <w:sz w:val="16"/>
                <w:szCs w:val="16"/>
              </w:rPr>
              <w:t>显著提升</w:t>
            </w:r>
          </w:p>
        </w:tc>
      </w:tr>
      <w:tr>
        <w:tblPrEx>
          <w:tblCellMar>
            <w:top w:w="0" w:type="dxa"/>
            <w:left w:w="108" w:type="dxa"/>
            <w:bottom w:w="0" w:type="dxa"/>
            <w:right w:w="108" w:type="dxa"/>
          </w:tblCellMar>
        </w:tblPrEx>
        <w:trPr>
          <w:trHeight w:val="345" w:hRule="atLeast"/>
        </w:trPr>
        <w:tc>
          <w:tcPr>
            <w:tcW w:w="570" w:type="dxa"/>
            <w:vMerge w:val="continue"/>
            <w:tcBorders>
              <w:top w:val="single" w:color="auto" w:sz="4" w:space="0"/>
              <w:left w:val="single" w:color="auto" w:sz="4" w:space="0"/>
              <w:bottom w:val="single" w:color="000000" w:sz="4" w:space="0"/>
              <w:right w:val="single" w:color="auto" w:sz="4" w:space="0"/>
            </w:tcBorders>
            <w:vAlign w:val="center"/>
          </w:tcPr>
          <w:p>
            <w:pPr>
              <w:widowControl/>
              <w:jc w:val="left"/>
              <w:rPr>
                <w:rFonts w:ascii="宋体" w:hAnsi="宋体" w:eastAsia="宋体" w:cs="宋体"/>
                <w:kern w:val="0"/>
                <w:sz w:val="16"/>
                <w:szCs w:val="16"/>
              </w:rPr>
            </w:pPr>
          </w:p>
        </w:tc>
        <w:tc>
          <w:tcPr>
            <w:tcW w:w="980" w:type="dxa"/>
            <w:vMerge w:val="restart"/>
            <w:tcBorders>
              <w:top w:val="nil"/>
              <w:left w:val="single" w:color="auto" w:sz="4" w:space="0"/>
              <w:bottom w:val="single" w:color="000000" w:sz="4" w:space="0"/>
              <w:right w:val="single" w:color="auto" w:sz="4" w:space="0"/>
            </w:tcBorders>
            <w:shd w:val="clear" w:color="auto" w:fill="auto"/>
            <w:noWrap/>
            <w:vAlign w:val="center"/>
          </w:tcPr>
          <w:p>
            <w:pPr>
              <w:widowControl/>
              <w:jc w:val="center"/>
              <w:rPr>
                <w:rFonts w:ascii="宋体" w:hAnsi="宋体" w:eastAsia="宋体" w:cs="宋体"/>
                <w:kern w:val="0"/>
                <w:sz w:val="16"/>
                <w:szCs w:val="16"/>
              </w:rPr>
            </w:pPr>
            <w:r>
              <w:rPr>
                <w:rFonts w:hint="eastAsia" w:ascii="宋体" w:hAnsi="宋体" w:eastAsia="宋体" w:cs="宋体"/>
                <w:kern w:val="0"/>
                <w:sz w:val="16"/>
                <w:szCs w:val="16"/>
              </w:rPr>
              <w:t>满意度指标</w:t>
            </w:r>
          </w:p>
        </w:tc>
        <w:tc>
          <w:tcPr>
            <w:tcW w:w="1470" w:type="dxa"/>
            <w:vMerge w:val="restart"/>
            <w:tcBorders>
              <w:top w:val="nil"/>
              <w:left w:val="single" w:color="auto" w:sz="4" w:space="0"/>
              <w:bottom w:val="single" w:color="000000" w:sz="4" w:space="0"/>
              <w:right w:val="single" w:color="auto" w:sz="4" w:space="0"/>
            </w:tcBorders>
            <w:shd w:val="clear" w:color="auto" w:fill="auto"/>
            <w:noWrap/>
            <w:vAlign w:val="center"/>
          </w:tcPr>
          <w:p>
            <w:pPr>
              <w:widowControl/>
              <w:jc w:val="center"/>
              <w:rPr>
                <w:rFonts w:ascii="宋体" w:hAnsi="宋体" w:eastAsia="宋体" w:cs="宋体"/>
                <w:kern w:val="0"/>
                <w:sz w:val="16"/>
                <w:szCs w:val="16"/>
              </w:rPr>
            </w:pPr>
            <w:r>
              <w:rPr>
                <w:rFonts w:hint="eastAsia" w:ascii="宋体" w:hAnsi="宋体" w:eastAsia="宋体" w:cs="宋体"/>
                <w:kern w:val="0"/>
                <w:sz w:val="16"/>
                <w:szCs w:val="16"/>
              </w:rPr>
              <w:t>服务对象满意度指标</w:t>
            </w:r>
          </w:p>
        </w:tc>
        <w:tc>
          <w:tcPr>
            <w:tcW w:w="354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16"/>
                <w:szCs w:val="16"/>
              </w:rPr>
            </w:pPr>
            <w:r>
              <w:rPr>
                <w:rFonts w:hint="eastAsia" w:ascii="宋体" w:hAnsi="宋体" w:eastAsia="宋体" w:cs="宋体"/>
                <w:kern w:val="0"/>
                <w:sz w:val="16"/>
                <w:szCs w:val="16"/>
              </w:rPr>
              <w:t>人民群众满意度</w:t>
            </w:r>
          </w:p>
        </w:tc>
        <w:tc>
          <w:tcPr>
            <w:tcW w:w="150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16"/>
                <w:szCs w:val="16"/>
              </w:rPr>
            </w:pPr>
            <w:r>
              <w:rPr>
                <w:rFonts w:hint="eastAsia" w:ascii="宋体" w:hAnsi="宋体" w:eastAsia="宋体" w:cs="宋体"/>
                <w:kern w:val="0"/>
                <w:sz w:val="16"/>
                <w:szCs w:val="16"/>
              </w:rPr>
              <w:t>≥98%</w:t>
            </w:r>
          </w:p>
        </w:tc>
        <w:tc>
          <w:tcPr>
            <w:tcW w:w="152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16"/>
                <w:szCs w:val="16"/>
              </w:rPr>
            </w:pPr>
            <w:r>
              <w:rPr>
                <w:rFonts w:hint="eastAsia" w:ascii="宋体" w:hAnsi="宋体" w:eastAsia="宋体" w:cs="宋体"/>
                <w:kern w:val="0"/>
                <w:sz w:val="16"/>
                <w:szCs w:val="16"/>
              </w:rPr>
              <w:t>98%</w:t>
            </w:r>
          </w:p>
        </w:tc>
      </w:tr>
      <w:tr>
        <w:trPr>
          <w:trHeight w:val="345" w:hRule="atLeast"/>
        </w:trPr>
        <w:tc>
          <w:tcPr>
            <w:tcW w:w="570" w:type="dxa"/>
            <w:vMerge w:val="continue"/>
            <w:tcBorders>
              <w:top w:val="single" w:color="auto" w:sz="4" w:space="0"/>
              <w:left w:val="single" w:color="auto" w:sz="4" w:space="0"/>
              <w:bottom w:val="single" w:color="000000" w:sz="4" w:space="0"/>
              <w:right w:val="single" w:color="auto" w:sz="4" w:space="0"/>
            </w:tcBorders>
            <w:vAlign w:val="center"/>
          </w:tcPr>
          <w:p>
            <w:pPr>
              <w:widowControl/>
              <w:jc w:val="left"/>
              <w:rPr>
                <w:rFonts w:ascii="宋体" w:hAnsi="宋体" w:eastAsia="宋体" w:cs="宋体"/>
                <w:kern w:val="0"/>
                <w:sz w:val="16"/>
                <w:szCs w:val="16"/>
              </w:rPr>
            </w:pPr>
          </w:p>
        </w:tc>
        <w:tc>
          <w:tcPr>
            <w:tcW w:w="980"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eastAsia="宋体" w:cs="宋体"/>
                <w:kern w:val="0"/>
                <w:sz w:val="16"/>
                <w:szCs w:val="16"/>
              </w:rPr>
            </w:pPr>
          </w:p>
        </w:tc>
        <w:tc>
          <w:tcPr>
            <w:tcW w:w="1470"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eastAsia="宋体" w:cs="宋体"/>
                <w:kern w:val="0"/>
                <w:sz w:val="16"/>
                <w:szCs w:val="16"/>
              </w:rPr>
            </w:pPr>
          </w:p>
        </w:tc>
        <w:tc>
          <w:tcPr>
            <w:tcW w:w="35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16"/>
                <w:szCs w:val="16"/>
              </w:rPr>
            </w:pPr>
            <w:r>
              <w:rPr>
                <w:rFonts w:hint="eastAsia" w:ascii="宋体" w:hAnsi="宋体" w:eastAsia="宋体" w:cs="宋体"/>
                <w:kern w:val="0"/>
                <w:sz w:val="16"/>
                <w:szCs w:val="16"/>
              </w:rPr>
              <w:t>使用人员满意度</w:t>
            </w:r>
          </w:p>
        </w:tc>
        <w:tc>
          <w:tcPr>
            <w:tcW w:w="150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16"/>
                <w:szCs w:val="16"/>
              </w:rPr>
            </w:pPr>
            <w:r>
              <w:rPr>
                <w:rFonts w:hint="eastAsia" w:ascii="宋体" w:hAnsi="宋体" w:eastAsia="宋体" w:cs="宋体"/>
                <w:kern w:val="0"/>
                <w:sz w:val="16"/>
                <w:szCs w:val="16"/>
              </w:rPr>
              <w:t>≥95%</w:t>
            </w:r>
          </w:p>
        </w:tc>
        <w:tc>
          <w:tcPr>
            <w:tcW w:w="152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16"/>
                <w:szCs w:val="16"/>
              </w:rPr>
            </w:pPr>
            <w:r>
              <w:rPr>
                <w:rFonts w:hint="eastAsia" w:ascii="宋体" w:hAnsi="宋体" w:eastAsia="宋体" w:cs="宋体"/>
                <w:kern w:val="0"/>
                <w:sz w:val="16"/>
                <w:szCs w:val="16"/>
              </w:rPr>
              <w:t>95%</w:t>
            </w:r>
          </w:p>
        </w:tc>
      </w:tr>
      <w:tr>
        <w:tblPrEx>
          <w:tblCellMar>
            <w:top w:w="0" w:type="dxa"/>
            <w:left w:w="108" w:type="dxa"/>
            <w:bottom w:w="0" w:type="dxa"/>
            <w:right w:w="108" w:type="dxa"/>
          </w:tblCellMar>
        </w:tblPrEx>
        <w:trPr>
          <w:trHeight w:val="345" w:hRule="atLeast"/>
        </w:trPr>
        <w:tc>
          <w:tcPr>
            <w:tcW w:w="570" w:type="dxa"/>
            <w:vMerge w:val="continue"/>
            <w:tcBorders>
              <w:top w:val="single" w:color="auto" w:sz="4" w:space="0"/>
              <w:left w:val="single" w:color="auto" w:sz="4" w:space="0"/>
              <w:bottom w:val="single" w:color="000000" w:sz="4" w:space="0"/>
              <w:right w:val="single" w:color="auto" w:sz="4" w:space="0"/>
            </w:tcBorders>
            <w:vAlign w:val="center"/>
          </w:tcPr>
          <w:p>
            <w:pPr>
              <w:widowControl/>
              <w:jc w:val="left"/>
              <w:rPr>
                <w:rFonts w:ascii="宋体" w:hAnsi="宋体" w:eastAsia="宋体" w:cs="宋体"/>
                <w:kern w:val="0"/>
                <w:sz w:val="16"/>
                <w:szCs w:val="16"/>
              </w:rPr>
            </w:pPr>
          </w:p>
        </w:tc>
        <w:tc>
          <w:tcPr>
            <w:tcW w:w="980"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eastAsia="宋体" w:cs="宋体"/>
                <w:kern w:val="0"/>
                <w:sz w:val="16"/>
                <w:szCs w:val="16"/>
              </w:rPr>
            </w:pPr>
          </w:p>
        </w:tc>
        <w:tc>
          <w:tcPr>
            <w:tcW w:w="1470" w:type="dxa"/>
            <w:vMerge w:val="restart"/>
            <w:tcBorders>
              <w:top w:val="nil"/>
              <w:left w:val="single" w:color="auto" w:sz="4" w:space="0"/>
              <w:bottom w:val="single" w:color="000000" w:sz="4" w:space="0"/>
              <w:right w:val="single" w:color="auto" w:sz="4" w:space="0"/>
            </w:tcBorders>
            <w:shd w:val="clear" w:color="auto" w:fill="auto"/>
            <w:noWrap/>
            <w:vAlign w:val="center"/>
          </w:tcPr>
          <w:p>
            <w:pPr>
              <w:widowControl/>
              <w:jc w:val="center"/>
              <w:rPr>
                <w:rFonts w:ascii="宋体" w:hAnsi="宋体" w:eastAsia="宋体" w:cs="宋体"/>
                <w:kern w:val="0"/>
                <w:sz w:val="16"/>
                <w:szCs w:val="16"/>
              </w:rPr>
            </w:pPr>
            <w:r>
              <w:rPr>
                <w:rFonts w:hint="eastAsia" w:ascii="宋体" w:hAnsi="宋体" w:eastAsia="宋体" w:cs="宋体"/>
                <w:kern w:val="0"/>
                <w:sz w:val="16"/>
                <w:szCs w:val="16"/>
              </w:rPr>
              <w:t>满意度指标</w:t>
            </w:r>
          </w:p>
        </w:tc>
        <w:tc>
          <w:tcPr>
            <w:tcW w:w="35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16"/>
                <w:szCs w:val="16"/>
              </w:rPr>
            </w:pPr>
            <w:r>
              <w:rPr>
                <w:rFonts w:hint="eastAsia" w:ascii="宋体" w:hAnsi="宋体" w:eastAsia="宋体" w:cs="宋体"/>
                <w:kern w:val="0"/>
                <w:sz w:val="16"/>
                <w:szCs w:val="16"/>
              </w:rPr>
              <w:t>干部职工满意度</w:t>
            </w:r>
          </w:p>
        </w:tc>
        <w:tc>
          <w:tcPr>
            <w:tcW w:w="150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16"/>
                <w:szCs w:val="16"/>
              </w:rPr>
            </w:pPr>
            <w:r>
              <w:rPr>
                <w:rFonts w:hint="eastAsia" w:ascii="宋体" w:hAnsi="宋体" w:eastAsia="宋体" w:cs="宋体"/>
                <w:kern w:val="0"/>
                <w:sz w:val="16"/>
                <w:szCs w:val="16"/>
              </w:rPr>
              <w:t>≥98%</w:t>
            </w:r>
          </w:p>
        </w:tc>
        <w:tc>
          <w:tcPr>
            <w:tcW w:w="152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16"/>
                <w:szCs w:val="16"/>
              </w:rPr>
            </w:pPr>
            <w:r>
              <w:rPr>
                <w:rFonts w:hint="eastAsia" w:ascii="宋体" w:hAnsi="宋体" w:eastAsia="宋体" w:cs="宋体"/>
                <w:kern w:val="0"/>
                <w:sz w:val="16"/>
                <w:szCs w:val="16"/>
              </w:rPr>
              <w:t>98%</w:t>
            </w:r>
          </w:p>
        </w:tc>
      </w:tr>
      <w:tr>
        <w:tblPrEx>
          <w:tblCellMar>
            <w:top w:w="0" w:type="dxa"/>
            <w:left w:w="108" w:type="dxa"/>
            <w:bottom w:w="0" w:type="dxa"/>
            <w:right w:w="108" w:type="dxa"/>
          </w:tblCellMar>
        </w:tblPrEx>
        <w:trPr>
          <w:trHeight w:val="345" w:hRule="atLeast"/>
        </w:trPr>
        <w:tc>
          <w:tcPr>
            <w:tcW w:w="570" w:type="dxa"/>
            <w:vMerge w:val="continue"/>
            <w:tcBorders>
              <w:top w:val="single" w:color="auto" w:sz="4" w:space="0"/>
              <w:left w:val="single" w:color="auto" w:sz="4" w:space="0"/>
              <w:bottom w:val="single" w:color="000000" w:sz="4" w:space="0"/>
              <w:right w:val="single" w:color="auto" w:sz="4" w:space="0"/>
            </w:tcBorders>
            <w:vAlign w:val="center"/>
          </w:tcPr>
          <w:p>
            <w:pPr>
              <w:widowControl/>
              <w:jc w:val="left"/>
              <w:rPr>
                <w:rFonts w:ascii="宋体" w:hAnsi="宋体" w:eastAsia="宋体" w:cs="宋体"/>
                <w:kern w:val="0"/>
                <w:sz w:val="16"/>
                <w:szCs w:val="16"/>
              </w:rPr>
            </w:pPr>
          </w:p>
        </w:tc>
        <w:tc>
          <w:tcPr>
            <w:tcW w:w="980"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eastAsia="宋体" w:cs="宋体"/>
                <w:kern w:val="0"/>
                <w:sz w:val="16"/>
                <w:szCs w:val="16"/>
              </w:rPr>
            </w:pPr>
          </w:p>
        </w:tc>
        <w:tc>
          <w:tcPr>
            <w:tcW w:w="1470"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eastAsia="宋体" w:cs="宋体"/>
                <w:kern w:val="0"/>
                <w:sz w:val="16"/>
                <w:szCs w:val="16"/>
              </w:rPr>
            </w:pPr>
          </w:p>
        </w:tc>
        <w:tc>
          <w:tcPr>
            <w:tcW w:w="35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color w:val="000000"/>
                <w:kern w:val="0"/>
                <w:sz w:val="16"/>
                <w:szCs w:val="16"/>
              </w:rPr>
            </w:pPr>
            <w:r>
              <w:rPr>
                <w:rFonts w:hint="eastAsia" w:ascii="宋体" w:hAnsi="宋体" w:eastAsia="宋体" w:cs="宋体"/>
                <w:color w:val="000000"/>
                <w:kern w:val="0"/>
                <w:sz w:val="16"/>
                <w:szCs w:val="16"/>
              </w:rPr>
              <w:t>被评价部门的满意度</w:t>
            </w:r>
          </w:p>
        </w:tc>
        <w:tc>
          <w:tcPr>
            <w:tcW w:w="150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16"/>
                <w:szCs w:val="16"/>
              </w:rPr>
            </w:pPr>
            <w:r>
              <w:rPr>
                <w:rFonts w:hint="eastAsia" w:ascii="宋体" w:hAnsi="宋体" w:eastAsia="宋体" w:cs="宋体"/>
                <w:kern w:val="0"/>
                <w:sz w:val="16"/>
                <w:szCs w:val="16"/>
              </w:rPr>
              <w:t>≥85%</w:t>
            </w:r>
          </w:p>
        </w:tc>
        <w:tc>
          <w:tcPr>
            <w:tcW w:w="152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16"/>
                <w:szCs w:val="16"/>
              </w:rPr>
            </w:pPr>
            <w:r>
              <w:rPr>
                <w:rFonts w:hint="eastAsia" w:ascii="宋体" w:hAnsi="宋体" w:eastAsia="宋体" w:cs="宋体"/>
                <w:kern w:val="0"/>
                <w:sz w:val="16"/>
                <w:szCs w:val="16"/>
              </w:rPr>
              <w:t>89%</w:t>
            </w:r>
          </w:p>
        </w:tc>
      </w:tr>
      <w:tr>
        <w:tblPrEx>
          <w:tblCellMar>
            <w:top w:w="0" w:type="dxa"/>
            <w:left w:w="108" w:type="dxa"/>
            <w:bottom w:w="0" w:type="dxa"/>
            <w:right w:w="108" w:type="dxa"/>
          </w:tblCellMar>
        </w:tblPrEx>
        <w:trPr>
          <w:trHeight w:val="345" w:hRule="atLeast"/>
        </w:trPr>
        <w:tc>
          <w:tcPr>
            <w:tcW w:w="570" w:type="dxa"/>
            <w:vMerge w:val="continue"/>
            <w:tcBorders>
              <w:top w:val="single" w:color="auto" w:sz="4" w:space="0"/>
              <w:left w:val="single" w:color="auto" w:sz="4" w:space="0"/>
              <w:bottom w:val="single" w:color="000000" w:sz="4" w:space="0"/>
              <w:right w:val="single" w:color="auto" w:sz="4" w:space="0"/>
            </w:tcBorders>
            <w:vAlign w:val="center"/>
          </w:tcPr>
          <w:p>
            <w:pPr>
              <w:widowControl/>
              <w:jc w:val="left"/>
              <w:rPr>
                <w:rFonts w:ascii="宋体" w:hAnsi="宋体" w:eastAsia="宋体" w:cs="宋体"/>
                <w:kern w:val="0"/>
                <w:sz w:val="16"/>
                <w:szCs w:val="16"/>
              </w:rPr>
            </w:pPr>
          </w:p>
        </w:tc>
        <w:tc>
          <w:tcPr>
            <w:tcW w:w="980"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eastAsia="宋体" w:cs="宋体"/>
                <w:kern w:val="0"/>
                <w:sz w:val="16"/>
                <w:szCs w:val="16"/>
              </w:rPr>
            </w:pPr>
          </w:p>
        </w:tc>
        <w:tc>
          <w:tcPr>
            <w:tcW w:w="1470"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eastAsia="宋体" w:cs="宋体"/>
                <w:kern w:val="0"/>
                <w:sz w:val="16"/>
                <w:szCs w:val="16"/>
              </w:rPr>
            </w:pPr>
          </w:p>
        </w:tc>
        <w:tc>
          <w:tcPr>
            <w:tcW w:w="35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color w:val="000000"/>
                <w:kern w:val="0"/>
                <w:sz w:val="16"/>
                <w:szCs w:val="16"/>
              </w:rPr>
            </w:pPr>
            <w:r>
              <w:rPr>
                <w:rFonts w:hint="eastAsia" w:ascii="宋体" w:hAnsi="宋体" w:eastAsia="宋体" w:cs="宋体"/>
                <w:color w:val="000000"/>
                <w:kern w:val="0"/>
                <w:sz w:val="16"/>
                <w:szCs w:val="16"/>
              </w:rPr>
              <w:t>被指导部门的满意度</w:t>
            </w:r>
          </w:p>
        </w:tc>
        <w:tc>
          <w:tcPr>
            <w:tcW w:w="150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16"/>
                <w:szCs w:val="16"/>
              </w:rPr>
            </w:pPr>
            <w:r>
              <w:rPr>
                <w:rFonts w:hint="eastAsia" w:ascii="宋体" w:hAnsi="宋体" w:eastAsia="宋体" w:cs="宋体"/>
                <w:kern w:val="0"/>
                <w:sz w:val="16"/>
                <w:szCs w:val="16"/>
              </w:rPr>
              <w:t>≥85%</w:t>
            </w:r>
          </w:p>
        </w:tc>
        <w:tc>
          <w:tcPr>
            <w:tcW w:w="152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16"/>
                <w:szCs w:val="16"/>
              </w:rPr>
            </w:pPr>
            <w:r>
              <w:rPr>
                <w:rFonts w:hint="eastAsia" w:ascii="宋体" w:hAnsi="宋体" w:eastAsia="宋体" w:cs="宋体"/>
                <w:kern w:val="0"/>
                <w:sz w:val="16"/>
                <w:szCs w:val="16"/>
              </w:rPr>
              <w:t>89%</w:t>
            </w:r>
          </w:p>
        </w:tc>
      </w:tr>
    </w:tbl>
    <w:p>
      <w:pPr>
        <w:spacing w:line="560" w:lineRule="exact"/>
        <w:ind w:firstLine="640" w:firstLineChars="200"/>
        <w:jc w:val="left"/>
        <w:rPr>
          <w:rFonts w:ascii="仿宋_GB2312" w:hAnsi="宋体"/>
          <w:szCs w:val="32"/>
        </w:rPr>
      </w:pPr>
      <w:r>
        <w:rPr>
          <w:rFonts w:hint="eastAsia" w:ascii="仿宋_GB2312" w:hAnsi="宋体"/>
          <w:szCs w:val="32"/>
        </w:rPr>
        <w:t>（3）项目入库。黑水县财政局部门预算项目在年初预算安排局务会通过时，将项目在规定期限内入库。</w:t>
      </w:r>
    </w:p>
    <w:p>
      <w:pPr>
        <w:adjustRightInd w:val="0"/>
        <w:snapToGrid w:val="0"/>
        <w:spacing w:line="560" w:lineRule="exact"/>
        <w:ind w:firstLine="640" w:firstLineChars="200"/>
        <w:contextualSpacing/>
        <w:jc w:val="left"/>
        <w:rPr>
          <w:rFonts w:ascii="楷体_GB2312" w:hAnsi="楷体_GB2312" w:eastAsia="楷体_GB2312" w:cs="楷体_GB2312"/>
          <w:color w:val="000000"/>
          <w:kern w:val="0"/>
          <w:szCs w:val="32"/>
          <w:shd w:val="clear" w:color="auto" w:fill="FFFFFF"/>
          <w:lang w:val="zh-CN"/>
        </w:rPr>
      </w:pPr>
      <w:r>
        <w:rPr>
          <w:rFonts w:hint="eastAsia" w:ascii="楷体_GB2312" w:hAnsi="楷体_GB2312" w:eastAsia="楷体_GB2312" w:cs="楷体_GB2312"/>
          <w:color w:val="000000"/>
          <w:kern w:val="0"/>
          <w:szCs w:val="32"/>
          <w:shd w:val="clear" w:color="auto" w:fill="FFFFFF"/>
        </w:rPr>
        <w:t>2.项目执行</w:t>
      </w:r>
      <w:r>
        <w:rPr>
          <w:rFonts w:hint="eastAsia" w:ascii="楷体_GB2312" w:hAnsi="楷体_GB2312" w:eastAsia="楷体_GB2312" w:cs="楷体_GB2312"/>
          <w:color w:val="000000"/>
          <w:kern w:val="0"/>
          <w:szCs w:val="32"/>
          <w:shd w:val="clear" w:color="auto" w:fill="FFFFFF"/>
          <w:lang w:val="zh-CN"/>
        </w:rPr>
        <w:t>。</w:t>
      </w:r>
    </w:p>
    <w:p>
      <w:pPr>
        <w:adjustRightInd w:val="0"/>
        <w:snapToGrid w:val="0"/>
        <w:spacing w:line="560" w:lineRule="exact"/>
        <w:ind w:firstLine="640" w:firstLineChars="200"/>
        <w:contextualSpacing/>
        <w:jc w:val="left"/>
        <w:rPr>
          <w:color w:val="000000"/>
          <w:kern w:val="0"/>
          <w:szCs w:val="32"/>
          <w:shd w:val="clear" w:color="auto" w:fill="FFFFFF"/>
          <w:lang w:val="zh-CN"/>
        </w:rPr>
      </w:pPr>
      <w:r>
        <w:rPr>
          <w:rFonts w:hint="eastAsia"/>
          <w:color w:val="000000"/>
          <w:kern w:val="0"/>
          <w:szCs w:val="32"/>
          <w:shd w:val="clear" w:color="auto" w:fill="FFFFFF"/>
          <w:lang w:val="zh-CN"/>
        </w:rPr>
        <w:t>（1）执行</w:t>
      </w:r>
      <w:r>
        <w:rPr>
          <w:rFonts w:hint="default"/>
          <w:color w:val="000000"/>
          <w:kern w:val="0"/>
          <w:szCs w:val="32"/>
          <w:shd w:val="clear" w:color="auto" w:fill="FFFFFF"/>
        </w:rPr>
        <w:t>方</w:t>
      </w:r>
      <w:r>
        <w:rPr>
          <w:rFonts w:hint="eastAsia"/>
          <w:color w:val="000000"/>
          <w:kern w:val="0"/>
          <w:szCs w:val="32"/>
          <w:shd w:val="clear" w:color="auto" w:fill="FFFFFF"/>
          <w:lang w:val="zh-CN"/>
        </w:rPr>
        <w:t>向。</w:t>
      </w:r>
    </w:p>
    <w:p>
      <w:pPr>
        <w:adjustRightInd w:val="0"/>
        <w:snapToGrid w:val="0"/>
        <w:spacing w:line="560" w:lineRule="exact"/>
        <w:ind w:firstLine="640" w:firstLineChars="200"/>
        <w:contextualSpacing/>
        <w:jc w:val="left"/>
        <w:rPr>
          <w:color w:val="000000"/>
          <w:kern w:val="0"/>
          <w:szCs w:val="32"/>
          <w:shd w:val="clear" w:color="auto" w:fill="FFFFFF"/>
          <w:lang w:val="zh-CN"/>
        </w:rPr>
      </w:pPr>
      <w:r>
        <w:rPr>
          <w:rFonts w:hint="eastAsia"/>
          <w:color w:val="000000"/>
          <w:kern w:val="0"/>
          <w:szCs w:val="32"/>
          <w:shd w:val="clear" w:color="auto" w:fill="FFFFFF"/>
          <w:lang w:val="zh-CN"/>
        </w:rPr>
        <w:t>黑水县财政局部门预算项目列支内容与绩效目标设置方向相符，</w:t>
      </w:r>
      <w:r>
        <w:rPr>
          <w:rFonts w:hint="eastAsia" w:ascii="仿宋_GB2312" w:hAnsi="宋体"/>
          <w:szCs w:val="32"/>
        </w:rPr>
        <w:t>重点项目明确实施主体责任，制定具体的、可行的、操作性强的方案</w:t>
      </w:r>
      <w:r>
        <w:rPr>
          <w:rFonts w:hint="eastAsia"/>
          <w:color w:val="000000"/>
          <w:kern w:val="0"/>
          <w:szCs w:val="32"/>
          <w:shd w:val="clear" w:color="auto" w:fill="FFFFFF"/>
          <w:lang w:val="zh-CN"/>
        </w:rPr>
        <w:t>。</w:t>
      </w:r>
    </w:p>
    <w:p>
      <w:pPr>
        <w:adjustRightInd w:val="0"/>
        <w:snapToGrid w:val="0"/>
        <w:spacing w:line="560" w:lineRule="exact"/>
        <w:ind w:firstLine="640" w:firstLineChars="200"/>
        <w:contextualSpacing/>
        <w:jc w:val="left"/>
        <w:rPr>
          <w:rFonts w:ascii="仿宋_GB2312" w:hAnsi="宋体"/>
          <w:szCs w:val="32"/>
        </w:rPr>
      </w:pPr>
      <w:r>
        <w:rPr>
          <w:rFonts w:hint="eastAsia"/>
          <w:color w:val="000000"/>
          <w:kern w:val="0"/>
          <w:szCs w:val="32"/>
          <w:shd w:val="clear" w:color="auto" w:fill="FFFFFF"/>
          <w:lang w:val="zh-CN"/>
        </w:rPr>
        <w:t>（2）项目调整。</w:t>
      </w:r>
    </w:p>
    <w:p>
      <w:pPr>
        <w:adjustRightInd w:val="0"/>
        <w:snapToGrid w:val="0"/>
        <w:spacing w:line="560" w:lineRule="exact"/>
        <w:ind w:firstLine="640" w:firstLineChars="200"/>
        <w:contextualSpacing/>
        <w:jc w:val="left"/>
        <w:rPr>
          <w:color w:val="000000"/>
          <w:kern w:val="0"/>
          <w:szCs w:val="32"/>
          <w:shd w:val="clear" w:color="auto" w:fill="FFFFFF"/>
          <w:lang w:val="zh-CN"/>
        </w:rPr>
      </w:pPr>
      <w:r>
        <w:rPr>
          <w:rFonts w:hint="eastAsia" w:ascii="仿宋_GB2312" w:hAnsi="宋体"/>
          <w:szCs w:val="32"/>
        </w:rPr>
        <w:t>黑水县财政局除落实国家政策、发生不可抗力、上级部门或县委县政府临时交办而必须调整预算外，严格按照批复执行预算，同时“三公”经费节支增效。</w:t>
      </w:r>
    </w:p>
    <w:p>
      <w:pPr>
        <w:adjustRightInd w:val="0"/>
        <w:snapToGrid w:val="0"/>
        <w:spacing w:line="560" w:lineRule="exact"/>
        <w:ind w:firstLine="640" w:firstLineChars="200"/>
        <w:contextualSpacing/>
        <w:jc w:val="left"/>
        <w:rPr>
          <w:color w:val="000000"/>
          <w:kern w:val="0"/>
          <w:szCs w:val="32"/>
          <w:shd w:val="clear" w:color="auto" w:fill="FFFFFF"/>
          <w:lang w:val="zh-CN"/>
        </w:rPr>
      </w:pPr>
      <w:r>
        <w:rPr>
          <w:rFonts w:hint="eastAsia"/>
          <w:lang w:val="zh-CN"/>
        </w:rPr>
        <w:t>（3）执行结果。</w:t>
      </w:r>
    </w:p>
    <w:p>
      <w:pPr>
        <w:adjustRightInd w:val="0"/>
        <w:snapToGrid w:val="0"/>
        <w:spacing w:line="560" w:lineRule="exact"/>
        <w:ind w:firstLine="640" w:firstLineChars="200"/>
        <w:contextualSpacing/>
        <w:jc w:val="left"/>
        <w:rPr>
          <w:rFonts w:ascii="楷体_GB2312" w:hAnsi="楷体_GB2312" w:eastAsia="楷体_GB2312" w:cs="楷体_GB2312"/>
          <w:color w:val="000000"/>
          <w:kern w:val="0"/>
          <w:szCs w:val="32"/>
          <w:shd w:val="clear" w:color="auto" w:fill="FFFFFF"/>
          <w:lang w:val="zh-CN"/>
        </w:rPr>
      </w:pPr>
      <w:r>
        <w:rPr>
          <w:rFonts w:hint="eastAsia"/>
          <w:color w:val="000000"/>
          <w:kern w:val="0"/>
          <w:szCs w:val="32"/>
          <w:shd w:val="clear" w:color="auto" w:fill="FFFFFF"/>
          <w:lang w:val="zh-CN"/>
        </w:rPr>
        <w:t>黑水县财政局部门预算执行完成，执行率100%。</w:t>
      </w:r>
    </w:p>
    <w:p>
      <w:pPr>
        <w:adjustRightInd w:val="0"/>
        <w:snapToGrid w:val="0"/>
        <w:spacing w:line="560" w:lineRule="exact"/>
        <w:ind w:firstLine="640" w:firstLineChars="200"/>
        <w:contextualSpacing/>
        <w:jc w:val="left"/>
        <w:rPr>
          <w:rFonts w:ascii="楷体_GB2312" w:hAnsi="楷体_GB2312" w:eastAsia="楷体_GB2312" w:cs="楷体_GB2312"/>
          <w:color w:val="000000"/>
          <w:kern w:val="0"/>
          <w:szCs w:val="32"/>
          <w:shd w:val="clear" w:color="auto" w:fill="FFFFFF"/>
          <w:lang w:val="zh-CN"/>
        </w:rPr>
      </w:pPr>
      <w:r>
        <w:rPr>
          <w:rFonts w:hint="eastAsia" w:ascii="楷体_GB2312" w:hAnsi="楷体_GB2312" w:eastAsia="楷体_GB2312" w:cs="楷体_GB2312"/>
          <w:color w:val="000000"/>
          <w:kern w:val="0"/>
          <w:szCs w:val="32"/>
          <w:shd w:val="clear" w:color="auto" w:fill="FFFFFF"/>
        </w:rPr>
        <w:t>3.</w:t>
      </w:r>
      <w:r>
        <w:rPr>
          <w:rFonts w:hint="eastAsia" w:ascii="楷体_GB2312" w:hAnsi="楷体_GB2312" w:eastAsia="楷体_GB2312" w:cs="楷体_GB2312"/>
          <w:color w:val="000000"/>
          <w:kern w:val="0"/>
          <w:szCs w:val="32"/>
          <w:shd w:val="clear" w:color="auto" w:fill="FFFFFF"/>
          <w:lang w:val="zh-CN"/>
        </w:rPr>
        <w:t>目标实现。</w:t>
      </w:r>
    </w:p>
    <w:p>
      <w:pPr>
        <w:adjustRightInd w:val="0"/>
        <w:snapToGrid w:val="0"/>
        <w:spacing w:line="560" w:lineRule="exact"/>
        <w:ind w:firstLine="640" w:firstLineChars="200"/>
        <w:contextualSpacing/>
        <w:jc w:val="left"/>
        <w:rPr>
          <w:rFonts w:ascii="仿宋_GB2312" w:hAnsi="宋体"/>
          <w:szCs w:val="32"/>
        </w:rPr>
      </w:pPr>
      <w:r>
        <w:rPr>
          <w:rFonts w:hint="eastAsia"/>
          <w:color w:val="000000"/>
          <w:kern w:val="0"/>
          <w:szCs w:val="32"/>
          <w:shd w:val="clear" w:color="auto" w:fill="FFFFFF"/>
          <w:lang w:val="zh-CN"/>
        </w:rPr>
        <w:t>（1）目标完成。</w:t>
      </w:r>
    </w:p>
    <w:p>
      <w:pPr>
        <w:spacing w:line="560" w:lineRule="exact"/>
        <w:ind w:firstLine="640" w:firstLineChars="200"/>
        <w:jc w:val="left"/>
        <w:rPr>
          <w:rFonts w:ascii="仿宋_GB2312" w:hAnsi="宋体"/>
          <w:szCs w:val="32"/>
        </w:rPr>
      </w:pPr>
      <w:r>
        <w:rPr>
          <w:rFonts w:hint="eastAsia" w:ascii="仿宋_GB2312" w:hAnsi="宋体"/>
          <w:szCs w:val="32"/>
        </w:rPr>
        <w:t>黑水县财政局紧紧围绕年初制定的各项工作计划，切实加强组织领导，落实工作责任，全面完成了各项目标任务。为实现全县财政运行平稳，全面履行了财政职责职能。</w:t>
      </w:r>
    </w:p>
    <w:p>
      <w:pPr>
        <w:adjustRightInd w:val="0"/>
        <w:snapToGrid w:val="0"/>
        <w:spacing w:line="560" w:lineRule="exact"/>
        <w:ind w:firstLine="640" w:firstLineChars="200"/>
        <w:contextualSpacing/>
        <w:jc w:val="left"/>
        <w:rPr>
          <w:rFonts w:ascii="仿宋_GB2312" w:hAnsi="宋体"/>
          <w:szCs w:val="32"/>
        </w:rPr>
      </w:pPr>
      <w:r>
        <w:rPr>
          <w:rFonts w:hint="eastAsia"/>
          <w:color w:val="000000"/>
          <w:kern w:val="0"/>
          <w:szCs w:val="32"/>
          <w:shd w:val="clear" w:color="auto" w:fill="FFFFFF"/>
          <w:lang w:val="zh-CN"/>
        </w:rPr>
        <w:t>（2）目标偏离。</w:t>
      </w:r>
    </w:p>
    <w:p>
      <w:pPr>
        <w:adjustRightInd w:val="0"/>
        <w:snapToGrid w:val="0"/>
        <w:spacing w:line="560" w:lineRule="exact"/>
        <w:ind w:firstLine="640" w:firstLineChars="200"/>
        <w:contextualSpacing/>
        <w:jc w:val="left"/>
        <w:rPr>
          <w:color w:val="000000"/>
          <w:kern w:val="0"/>
          <w:szCs w:val="32"/>
          <w:shd w:val="clear" w:color="auto" w:fill="FFFFFF"/>
          <w:lang w:val="zh-CN"/>
        </w:rPr>
      </w:pPr>
      <w:r>
        <w:rPr>
          <w:rFonts w:hint="eastAsia" w:ascii="仿宋_GB2312" w:hAnsi="宋体"/>
          <w:szCs w:val="32"/>
        </w:rPr>
        <w:t>黑水县财政局部门预算项目绩效目标数量指标实现程度不存在与预期目标偏离。</w:t>
      </w:r>
    </w:p>
    <w:p>
      <w:pPr>
        <w:adjustRightInd w:val="0"/>
        <w:snapToGrid w:val="0"/>
        <w:spacing w:line="560" w:lineRule="exact"/>
        <w:ind w:firstLine="640" w:firstLineChars="200"/>
        <w:contextualSpacing/>
        <w:jc w:val="left"/>
        <w:rPr>
          <w:rFonts w:ascii="仿宋_GB2312" w:hAnsi="宋体"/>
          <w:szCs w:val="32"/>
        </w:rPr>
      </w:pPr>
      <w:r>
        <w:rPr>
          <w:rFonts w:hint="eastAsia"/>
          <w:color w:val="000000"/>
          <w:kern w:val="0"/>
          <w:szCs w:val="32"/>
          <w:shd w:val="clear" w:color="auto" w:fill="FFFFFF"/>
          <w:lang w:val="zh-CN"/>
        </w:rPr>
        <w:t>（3）实现效果。</w:t>
      </w:r>
    </w:p>
    <w:p>
      <w:pPr>
        <w:spacing w:line="560" w:lineRule="exact"/>
        <w:ind w:firstLine="640" w:firstLineChars="200"/>
        <w:jc w:val="left"/>
        <w:rPr>
          <w:rFonts w:ascii="仿宋_GB2312" w:hAnsi="宋体"/>
          <w:szCs w:val="32"/>
        </w:rPr>
      </w:pPr>
      <w:r>
        <w:rPr>
          <w:rFonts w:hint="eastAsia" w:ascii="仿宋_GB2312" w:hAnsi="宋体"/>
          <w:szCs w:val="32"/>
        </w:rPr>
        <w:t>部门立足本职，围绕中心，服务大局，部门支出保障工作正常运转，部门预算执行有效，充分发挥了资金使用效益。充分发挥财政职能，为促进我县经济社会发展，取得了一定经济、生态和社会效益。</w:t>
      </w:r>
    </w:p>
    <w:p>
      <w:pPr>
        <w:adjustRightInd w:val="0"/>
        <w:snapToGrid w:val="0"/>
        <w:spacing w:line="560" w:lineRule="exact"/>
        <w:ind w:firstLine="642" w:firstLineChars="200"/>
        <w:contextualSpacing/>
        <w:jc w:val="left"/>
        <w:rPr>
          <w:rFonts w:eastAsia="楷体_GB2312"/>
          <w:b/>
          <w:bCs/>
          <w:color w:val="000000"/>
          <w:kern w:val="0"/>
          <w:szCs w:val="32"/>
          <w:shd w:val="clear" w:color="auto" w:fill="FFFFFF"/>
          <w:lang w:val="zh-CN"/>
        </w:rPr>
      </w:pPr>
      <w:r>
        <w:rPr>
          <w:rFonts w:eastAsia="楷体_GB2312"/>
          <w:b/>
          <w:bCs/>
          <w:color w:val="000000"/>
          <w:kern w:val="0"/>
          <w:szCs w:val="32"/>
          <w:shd w:val="clear" w:color="auto" w:fill="FFFFFF"/>
          <w:lang w:val="zh-CN"/>
        </w:rPr>
        <w:t>（</w:t>
      </w:r>
      <w:r>
        <w:rPr>
          <w:rFonts w:hint="eastAsia" w:eastAsia="楷体_GB2312"/>
          <w:b/>
          <w:bCs/>
          <w:color w:val="000000"/>
          <w:kern w:val="0"/>
          <w:szCs w:val="32"/>
          <w:shd w:val="clear" w:color="auto" w:fill="FFFFFF"/>
          <w:lang w:val="zh-CN"/>
        </w:rPr>
        <w:t>三</w:t>
      </w:r>
      <w:r>
        <w:rPr>
          <w:rFonts w:eastAsia="楷体_GB2312"/>
          <w:b/>
          <w:bCs/>
          <w:color w:val="000000"/>
          <w:kern w:val="0"/>
          <w:szCs w:val="32"/>
          <w:shd w:val="clear" w:color="auto" w:fill="FFFFFF"/>
          <w:lang w:val="zh-CN"/>
        </w:rPr>
        <w:t>）重点领域绩效分析。</w:t>
      </w:r>
    </w:p>
    <w:p>
      <w:pPr>
        <w:adjustRightInd w:val="0"/>
        <w:snapToGrid w:val="0"/>
        <w:spacing w:line="560" w:lineRule="exact"/>
        <w:ind w:firstLine="640" w:firstLineChars="200"/>
        <w:contextualSpacing/>
        <w:jc w:val="left"/>
        <w:rPr>
          <w:rFonts w:ascii="楷体_GB2312" w:hAnsi="楷体_GB2312" w:eastAsia="楷体_GB2312" w:cs="楷体_GB2312"/>
          <w:color w:val="000000"/>
          <w:kern w:val="0"/>
          <w:szCs w:val="32"/>
          <w:highlight w:val="yellow"/>
          <w:shd w:val="clear" w:color="auto" w:fill="FFFFFF"/>
        </w:rPr>
      </w:pPr>
      <w:r>
        <w:rPr>
          <w:rFonts w:hint="eastAsia" w:ascii="楷体_GB2312" w:hAnsi="楷体_GB2312" w:eastAsia="楷体_GB2312" w:cs="楷体_GB2312"/>
          <w:color w:val="000000"/>
          <w:kern w:val="0"/>
          <w:szCs w:val="32"/>
          <w:shd w:val="clear" w:color="auto" w:fill="FFFFFF"/>
        </w:rPr>
        <w:t>1.</w:t>
      </w:r>
      <w:r>
        <w:rPr>
          <w:rFonts w:ascii="楷体_GB2312" w:hAnsi="楷体_GB2312" w:eastAsia="楷体_GB2312" w:cs="楷体_GB2312"/>
          <w:color w:val="000000"/>
          <w:kern w:val="0"/>
          <w:szCs w:val="32"/>
          <w:shd w:val="clear" w:color="auto" w:fill="FFFFFF"/>
        </w:rPr>
        <w:t xml:space="preserve"> 行政事业性国有资产</w:t>
      </w:r>
      <w:r>
        <w:rPr>
          <w:rFonts w:hint="eastAsia" w:ascii="楷体_GB2312" w:hAnsi="楷体_GB2312" w:eastAsia="楷体_GB2312" w:cs="楷体_GB2312"/>
          <w:color w:val="000000"/>
          <w:kern w:val="0"/>
          <w:szCs w:val="32"/>
          <w:shd w:val="clear" w:color="auto" w:fill="FFFFFF"/>
        </w:rPr>
        <w:t>。</w:t>
      </w:r>
      <w:r>
        <w:rPr>
          <w:rFonts w:hint="eastAsia"/>
          <w:szCs w:val="32"/>
        </w:rPr>
        <w:t>截止2023年12月31日，黑水县财政局2023年资产原值933.84万元。从资产总体情况分析，资产总额933.84万元，较上年资产950.14万元减少16.3万元；负债总额27.63万元，较上年13.84万元增加13.79万元；净资产388.59万元，较上年418.7万元减少30.11万元。从资产类别分析，</w:t>
      </w:r>
      <w:r>
        <w:rPr>
          <w:rStyle w:val="30"/>
        </w:rPr>
        <w:t>房屋和构筑物</w:t>
      </w:r>
      <w:r>
        <w:rPr>
          <w:rStyle w:val="30"/>
          <w:rFonts w:hint="eastAsia"/>
        </w:rPr>
        <w:t>587.37万元，占比62.9%；专用</w:t>
      </w:r>
      <w:r>
        <w:rPr>
          <w:rStyle w:val="30"/>
        </w:rPr>
        <w:t>设备</w:t>
      </w:r>
      <w:r>
        <w:rPr>
          <w:rStyle w:val="30"/>
          <w:rFonts w:hint="eastAsia"/>
        </w:rPr>
        <w:t>0.25万元，占比0.03%；通用</w:t>
      </w:r>
      <w:r>
        <w:rPr>
          <w:rStyle w:val="30"/>
        </w:rPr>
        <w:t>设备</w:t>
      </w:r>
      <w:r>
        <w:rPr>
          <w:rStyle w:val="30"/>
          <w:rFonts w:hint="eastAsia"/>
        </w:rPr>
        <w:t>308.29万元，占比33.01%；</w:t>
      </w:r>
      <w:r>
        <w:rPr>
          <w:rStyle w:val="30"/>
        </w:rPr>
        <w:t>家具和用具</w:t>
      </w:r>
      <w:r>
        <w:rPr>
          <w:rStyle w:val="30"/>
          <w:rFonts w:hint="eastAsia"/>
        </w:rPr>
        <w:t>、</w:t>
      </w:r>
      <w:r>
        <w:rPr>
          <w:rStyle w:val="31"/>
        </w:rPr>
        <w:t>装具及动植物</w:t>
      </w:r>
      <w:r>
        <w:rPr>
          <w:rStyle w:val="31"/>
          <w:rFonts w:hint="eastAsia"/>
        </w:rPr>
        <w:t>37.93</w:t>
      </w:r>
      <w:r>
        <w:rPr>
          <w:rStyle w:val="30"/>
          <w:rFonts w:hint="eastAsia"/>
        </w:rPr>
        <w:t>万元，占比4.06%。</w:t>
      </w:r>
    </w:p>
    <w:p>
      <w:pPr>
        <w:snapToGrid w:val="0"/>
        <w:spacing w:line="560" w:lineRule="exact"/>
        <w:ind w:firstLine="642" w:firstLineChars="200"/>
        <w:rPr>
          <w:rFonts w:eastAsia="楷体_GB2312"/>
          <w:b/>
          <w:bCs/>
          <w:szCs w:val="32"/>
          <w:highlight w:val="yellow"/>
          <w:lang w:val="zh-CN"/>
        </w:rPr>
      </w:pPr>
      <w:r>
        <w:rPr>
          <w:rFonts w:eastAsia="楷体_GB2312"/>
          <w:b/>
          <w:bCs/>
          <w:szCs w:val="32"/>
          <w:lang w:val="zh-CN"/>
        </w:rPr>
        <w:t>（四）绩效结果应用情况</w:t>
      </w:r>
      <w:r>
        <w:rPr>
          <w:rFonts w:hint="eastAsia" w:eastAsia="楷体_GB2312"/>
          <w:b/>
          <w:bCs/>
          <w:szCs w:val="32"/>
          <w:lang w:val="zh-CN"/>
        </w:rPr>
        <w:t>。</w:t>
      </w:r>
    </w:p>
    <w:p>
      <w:pPr>
        <w:spacing w:line="560" w:lineRule="exact"/>
        <w:ind w:firstLine="640" w:firstLineChars="200"/>
        <w:rPr>
          <w:rFonts w:ascii="仿宋_GB2312" w:hAnsi="仿宋_GB2312" w:cs="仿宋_GB2312"/>
          <w:color w:val="333333"/>
          <w:kern w:val="0"/>
          <w:szCs w:val="32"/>
          <w:shd w:val="clear" w:color="auto" w:fill="FFFFFF"/>
        </w:rPr>
      </w:pPr>
      <w:r>
        <w:rPr>
          <w:rFonts w:hint="eastAsia"/>
          <w:szCs w:val="32"/>
        </w:rPr>
        <w:t>（1）围绕内部应用情况。</w:t>
      </w:r>
      <w:r>
        <w:rPr>
          <w:rFonts w:hint="eastAsia"/>
          <w:b/>
          <w:szCs w:val="32"/>
        </w:rPr>
        <w:t>一是</w:t>
      </w:r>
      <w:r>
        <w:rPr>
          <w:rFonts w:hint="eastAsia"/>
          <w:szCs w:val="32"/>
        </w:rPr>
        <w:t>黑水县财政局</w:t>
      </w:r>
      <w:r>
        <w:rPr>
          <w:rFonts w:hint="eastAsia" w:ascii="仿宋_GB2312" w:hAnsi="仿宋_GB2312" w:cs="仿宋_GB2312"/>
          <w:color w:val="333333"/>
          <w:kern w:val="0"/>
          <w:szCs w:val="32"/>
          <w:shd w:val="clear" w:color="auto" w:fill="FFFFFF"/>
        </w:rPr>
        <w:t>部门预算编制规范、准确，确保了部门正常运转和专项工作的顺利开展，较好完成年初绩效目标任务。</w:t>
      </w:r>
      <w:r>
        <w:rPr>
          <w:rFonts w:hint="eastAsia" w:ascii="仿宋_GB2312" w:hAnsi="仿宋_GB2312" w:cs="仿宋_GB2312"/>
          <w:b/>
          <w:color w:val="333333"/>
          <w:kern w:val="0"/>
          <w:szCs w:val="32"/>
          <w:shd w:val="clear" w:color="auto" w:fill="FFFFFF"/>
        </w:rPr>
        <w:t>二是</w:t>
      </w:r>
      <w:r>
        <w:rPr>
          <w:rFonts w:hint="eastAsia" w:ascii="仿宋_GB2312" w:hAnsi="仿宋_GB2312" w:cs="仿宋_GB2312"/>
          <w:color w:val="333333"/>
          <w:kern w:val="0"/>
          <w:szCs w:val="32"/>
          <w:shd w:val="clear" w:color="auto" w:fill="FFFFFF"/>
        </w:rPr>
        <w:t>部门决算按照县财政和上级财政要求进行编制，准确、详实、真实地反映了本单位财政收支情况。结合本单位实际情况按财经要求建立健全了财务管理制度、约束机制及监督机制，依法、有效地利用财政资金，提高财政资金使用效率，合理分配人、财、物，完成了部门职能目标，实现了较高的工作效率和支出绩效。</w:t>
      </w:r>
      <w:r>
        <w:rPr>
          <w:rFonts w:hint="eastAsia" w:ascii="仿宋_GB2312" w:hAnsi="仿宋_GB2312" w:cs="仿宋_GB2312"/>
          <w:b/>
          <w:color w:val="333333"/>
          <w:kern w:val="0"/>
          <w:szCs w:val="32"/>
          <w:shd w:val="clear" w:color="auto" w:fill="FFFFFF"/>
        </w:rPr>
        <w:t>三是</w:t>
      </w:r>
      <w:r>
        <w:rPr>
          <w:rFonts w:hint="eastAsia" w:ascii="仿宋_GB2312" w:hAnsi="仿宋_GB2312" w:cs="仿宋_GB2312"/>
          <w:color w:val="333333"/>
          <w:kern w:val="0"/>
          <w:szCs w:val="32"/>
          <w:shd w:val="clear" w:color="auto" w:fill="FFFFFF"/>
        </w:rPr>
        <w:t>作为全过程预算绩效管理的落脚点，我局高度重视部门的自评结果，及时整理、汇总、分析、反馈绩效自评结果，并将其作为改进预算管理和以后年度预算安排的重要依据。本绩效报告将向县财政局报送，拟公开于黑水财政局门户网站，并自愿接受社会各界人民群众的监督。</w:t>
      </w:r>
    </w:p>
    <w:p>
      <w:pPr>
        <w:snapToGrid w:val="0"/>
        <w:spacing w:line="560" w:lineRule="exact"/>
        <w:ind w:firstLine="640" w:firstLineChars="200"/>
        <w:rPr>
          <w:szCs w:val="32"/>
        </w:rPr>
      </w:pPr>
      <w:r>
        <w:rPr>
          <w:rFonts w:hint="eastAsia"/>
          <w:szCs w:val="32"/>
        </w:rPr>
        <w:t>（2）</w:t>
      </w:r>
      <w:r>
        <w:rPr>
          <w:szCs w:val="32"/>
        </w:rPr>
        <w:t>信息公开情况</w:t>
      </w:r>
      <w:r>
        <w:rPr>
          <w:rFonts w:hint="eastAsia"/>
          <w:szCs w:val="32"/>
        </w:rPr>
        <w:t>。黑水县财政局</w:t>
      </w:r>
      <w:r>
        <w:rPr>
          <w:rFonts w:hint="eastAsia" w:ascii="仿宋_GB2312" w:hAnsi="仿宋_GB2312" w:cs="仿宋_GB2312"/>
          <w:szCs w:val="32"/>
        </w:rPr>
        <w:t>按照上级要求，在政府网站上进行预算、决算公开。</w:t>
      </w:r>
    </w:p>
    <w:p>
      <w:pPr>
        <w:snapToGrid w:val="0"/>
        <w:spacing w:line="560" w:lineRule="exact"/>
        <w:ind w:firstLine="640" w:firstLineChars="200"/>
        <w:rPr>
          <w:szCs w:val="32"/>
        </w:rPr>
      </w:pPr>
      <w:r>
        <w:rPr>
          <w:rFonts w:hint="eastAsia"/>
          <w:szCs w:val="32"/>
        </w:rPr>
        <w:t>（3）</w:t>
      </w:r>
      <w:r>
        <w:rPr>
          <w:szCs w:val="32"/>
        </w:rPr>
        <w:t>整改反馈情况</w:t>
      </w:r>
      <w:r>
        <w:rPr>
          <w:rFonts w:hint="eastAsia"/>
          <w:szCs w:val="32"/>
        </w:rPr>
        <w:t>。近三年内人大、纪检监察、审计、财政等部门各项检查、绩效评价等发现的问题进行整改。</w:t>
      </w:r>
    </w:p>
    <w:p>
      <w:pPr>
        <w:adjustRightInd w:val="0"/>
        <w:snapToGrid w:val="0"/>
        <w:spacing w:line="560" w:lineRule="exact"/>
        <w:ind w:firstLine="640" w:firstLineChars="200"/>
        <w:contextualSpacing/>
        <w:jc w:val="left"/>
        <w:rPr>
          <w:rFonts w:eastAsia="黑体"/>
          <w:color w:val="000000"/>
          <w:kern w:val="0"/>
          <w:szCs w:val="32"/>
          <w:shd w:val="clear" w:color="auto" w:fill="FFFFFF"/>
        </w:rPr>
      </w:pPr>
      <w:r>
        <w:rPr>
          <w:rFonts w:eastAsia="黑体"/>
          <w:color w:val="000000"/>
          <w:kern w:val="0"/>
          <w:szCs w:val="32"/>
          <w:shd w:val="clear" w:color="auto" w:fill="FFFFFF"/>
        </w:rPr>
        <w:t>四、评价结论及建议</w:t>
      </w:r>
    </w:p>
    <w:p>
      <w:pPr>
        <w:adjustRightInd w:val="0"/>
        <w:snapToGrid w:val="0"/>
        <w:spacing w:line="560" w:lineRule="exact"/>
        <w:ind w:firstLine="642" w:firstLineChars="200"/>
        <w:contextualSpacing/>
        <w:jc w:val="left"/>
        <w:rPr>
          <w:rFonts w:eastAsia="楷体_GB2312"/>
          <w:b/>
          <w:bCs/>
          <w:color w:val="000000"/>
          <w:kern w:val="0"/>
          <w:szCs w:val="32"/>
          <w:shd w:val="clear" w:color="auto" w:fill="FFFFFF"/>
          <w:lang w:val="zh-CN"/>
        </w:rPr>
      </w:pPr>
      <w:r>
        <w:rPr>
          <w:rFonts w:eastAsia="楷体_GB2312"/>
          <w:b/>
          <w:bCs/>
          <w:color w:val="000000"/>
          <w:kern w:val="0"/>
          <w:szCs w:val="32"/>
          <w:shd w:val="clear" w:color="auto" w:fill="FFFFFF"/>
          <w:lang w:val="zh-CN"/>
        </w:rPr>
        <w:t>（一）评价结论。</w:t>
      </w:r>
    </w:p>
    <w:p>
      <w:pPr>
        <w:adjustRightInd w:val="0"/>
        <w:snapToGrid w:val="0"/>
        <w:spacing w:line="560" w:lineRule="exact"/>
        <w:ind w:firstLine="640" w:firstLineChars="200"/>
        <w:contextualSpacing/>
        <w:jc w:val="left"/>
        <w:rPr>
          <w:rFonts w:ascii="仿宋_GB2312" w:hAnsi="宋体"/>
          <w:szCs w:val="32"/>
        </w:rPr>
      </w:pPr>
      <w:r>
        <w:rPr>
          <w:rFonts w:hint="eastAsia" w:ascii="仿宋_GB2312" w:hAnsi="宋体"/>
          <w:szCs w:val="32"/>
        </w:rPr>
        <w:t>根据部门预算绩效评价指标体系，2023年自评得分为94分，评价等级为“优”。2023年，我局的预算编制全面、科学、合理，部门整体绩效目标与部门职责职能、部门年度重点工作任务相匹配，为部门履职尽责明确了方向，预算执行到位，预算管理规范，履职效益明显，重点工作任务资金安排得到有效保障，部门预算配置较为合理，部门各项经费支出合法合规，不存在挤占、挪用、截留等违规现象。严格执行各项财经法规和会计制度，财务管理和会计基础工作进一步规范，有效提升了部门整体支出管理水平。</w:t>
      </w:r>
    </w:p>
    <w:p>
      <w:pPr>
        <w:adjustRightInd w:val="0"/>
        <w:snapToGrid w:val="0"/>
        <w:spacing w:line="560" w:lineRule="exact"/>
        <w:ind w:firstLine="642" w:firstLineChars="200"/>
        <w:contextualSpacing/>
        <w:jc w:val="left"/>
        <w:rPr>
          <w:rFonts w:eastAsia="楷体_GB2312"/>
          <w:b/>
          <w:bCs/>
          <w:color w:val="000000"/>
          <w:kern w:val="0"/>
          <w:szCs w:val="32"/>
          <w:shd w:val="clear" w:color="auto" w:fill="FFFFFF"/>
          <w:lang w:val="zh-CN"/>
        </w:rPr>
      </w:pPr>
      <w:r>
        <w:rPr>
          <w:rFonts w:eastAsia="楷体_GB2312"/>
          <w:b/>
          <w:bCs/>
          <w:color w:val="000000"/>
          <w:kern w:val="0"/>
          <w:szCs w:val="32"/>
          <w:shd w:val="clear" w:color="auto" w:fill="FFFFFF"/>
          <w:lang w:val="zh-CN"/>
        </w:rPr>
        <w:t>（二）存在问题。</w:t>
      </w:r>
    </w:p>
    <w:p>
      <w:pPr>
        <w:spacing w:line="560" w:lineRule="exact"/>
        <w:ind w:firstLine="640" w:firstLineChars="200"/>
        <w:jc w:val="left"/>
        <w:rPr>
          <w:rFonts w:ascii="仿宋_GB2312" w:hAnsi="宋体"/>
          <w:szCs w:val="32"/>
        </w:rPr>
      </w:pPr>
      <w:r>
        <w:rPr>
          <w:rFonts w:hint="eastAsia" w:ascii="仿宋_GB2312" w:hAnsi="宋体"/>
          <w:szCs w:val="32"/>
        </w:rPr>
        <w:t>一是对预算绩效评价工作的重要性认识有待进一步提高，绩效评价制度建设和规范化管理还有待加强；二是项目支出绩效评价指标体系不完善，绩效目标设立不够明确、细化和量化；三是</w:t>
      </w:r>
      <w:r>
        <w:rPr>
          <w:rFonts w:hint="eastAsia" w:ascii="仿宋_GB2312" w:hAnsi="仿宋_GB2312" w:cs="仿宋_GB2312"/>
          <w:szCs w:val="32"/>
        </w:rPr>
        <w:t>个别支出支付进度安排不够合理。</w:t>
      </w:r>
    </w:p>
    <w:p>
      <w:pPr>
        <w:adjustRightInd w:val="0"/>
        <w:snapToGrid w:val="0"/>
        <w:spacing w:line="560" w:lineRule="exact"/>
        <w:ind w:firstLine="642" w:firstLineChars="200"/>
        <w:contextualSpacing/>
        <w:jc w:val="left"/>
        <w:rPr>
          <w:rFonts w:eastAsia="楷体_GB2312"/>
          <w:b/>
          <w:bCs/>
          <w:color w:val="000000"/>
          <w:kern w:val="0"/>
          <w:szCs w:val="32"/>
          <w:shd w:val="clear" w:color="auto" w:fill="FFFFFF"/>
          <w:lang w:val="zh-CN"/>
        </w:rPr>
      </w:pPr>
      <w:r>
        <w:rPr>
          <w:rFonts w:eastAsia="楷体_GB2312"/>
          <w:b/>
          <w:bCs/>
          <w:color w:val="000000"/>
          <w:kern w:val="0"/>
          <w:szCs w:val="32"/>
          <w:shd w:val="clear" w:color="auto" w:fill="FFFFFF"/>
          <w:lang w:val="zh-CN"/>
        </w:rPr>
        <w:t>（三）改进建议。</w:t>
      </w:r>
    </w:p>
    <w:p>
      <w:pPr>
        <w:adjustRightInd w:val="0"/>
        <w:snapToGrid w:val="0"/>
        <w:spacing w:line="560" w:lineRule="exact"/>
        <w:ind w:firstLine="640" w:firstLineChars="200"/>
        <w:contextualSpacing/>
        <w:jc w:val="left"/>
        <w:rPr>
          <w:rFonts w:ascii="仿宋_GB2312" w:hAnsi="仿宋_GB2312" w:cs="仿宋_GB2312"/>
          <w:kern w:val="0"/>
          <w:szCs w:val="32"/>
        </w:rPr>
      </w:pPr>
      <w:r>
        <w:rPr>
          <w:rFonts w:hint="eastAsia" w:ascii="仿宋_GB2312" w:hAnsi="宋体"/>
          <w:szCs w:val="32"/>
        </w:rPr>
        <w:t>一是及时调整和优化本部门后续项目和以后年度预算支出的方向和结构，合理配置资源。二是强化评价结果在项目申报和预算编制中的有效应用。三是促进单位规范使用资金。</w:t>
      </w:r>
    </w:p>
    <w:p>
      <w:pPr>
        <w:spacing w:line="560" w:lineRule="exact"/>
        <w:contextualSpacing/>
        <w:rPr>
          <w:rFonts w:eastAsia="黑体"/>
          <w:szCs w:val="32"/>
        </w:rPr>
      </w:pPr>
    </w:p>
    <w:p>
      <w:pPr>
        <w:spacing w:line="560" w:lineRule="exact"/>
        <w:ind w:firstLine="640" w:firstLineChars="200"/>
      </w:pPr>
      <w:r>
        <w:rPr>
          <w:rFonts w:hint="eastAsia"/>
          <w:color w:val="000000"/>
          <w:kern w:val="0"/>
          <w:szCs w:val="32"/>
          <w:shd w:val="clear" w:color="auto" w:fill="FFFFFF"/>
        </w:rPr>
        <w:t>附表：</w:t>
      </w:r>
      <w:r>
        <w:rPr>
          <w:color w:val="000000"/>
          <w:kern w:val="0"/>
          <w:szCs w:val="32"/>
          <w:shd w:val="clear" w:color="auto" w:fill="FFFFFF"/>
        </w:rPr>
        <w:t>部门整体支出绩效目标完成情况自评表</w:t>
      </w:r>
      <w:r>
        <w:rPr>
          <w:color w:val="000000"/>
          <w:kern w:val="0"/>
          <w:szCs w:val="32"/>
          <w:shd w:val="clear" w:color="auto" w:fill="FFFFFF"/>
        </w:rPr>
        <w:br w:type="page"/>
      </w:r>
      <w:r>
        <w:rPr>
          <w:rFonts w:hint="eastAsia" w:ascii="黑体" w:hAnsi="黑体" w:eastAsia="黑体" w:cs="黑体"/>
        </w:rPr>
        <w:t>附表</w:t>
      </w:r>
    </w:p>
    <w:tbl>
      <w:tblPr>
        <w:tblStyle w:val="14"/>
        <w:tblW w:w="8620" w:type="dxa"/>
        <w:tblInd w:w="93" w:type="dxa"/>
        <w:tblLayout w:type="autofit"/>
        <w:tblCellMar>
          <w:top w:w="0" w:type="dxa"/>
          <w:left w:w="108" w:type="dxa"/>
          <w:bottom w:w="0" w:type="dxa"/>
          <w:right w:w="108" w:type="dxa"/>
        </w:tblCellMar>
      </w:tblPr>
      <w:tblGrid>
        <w:gridCol w:w="800"/>
        <w:gridCol w:w="940"/>
        <w:gridCol w:w="1120"/>
        <w:gridCol w:w="2560"/>
        <w:gridCol w:w="540"/>
        <w:gridCol w:w="620"/>
        <w:gridCol w:w="600"/>
        <w:gridCol w:w="660"/>
        <w:gridCol w:w="780"/>
      </w:tblGrid>
      <w:tr>
        <w:tblPrEx>
          <w:tblCellMar>
            <w:top w:w="0" w:type="dxa"/>
            <w:left w:w="108" w:type="dxa"/>
            <w:bottom w:w="0" w:type="dxa"/>
            <w:right w:w="108" w:type="dxa"/>
          </w:tblCellMar>
        </w:tblPrEx>
        <w:trPr>
          <w:trHeight w:val="540" w:hRule="atLeast"/>
        </w:trPr>
        <w:tc>
          <w:tcPr>
            <w:tcW w:w="8620" w:type="dxa"/>
            <w:gridSpan w:val="9"/>
            <w:tcBorders>
              <w:top w:val="nil"/>
              <w:left w:val="nil"/>
              <w:bottom w:val="nil"/>
              <w:right w:val="nil"/>
            </w:tcBorders>
            <w:shd w:val="clear" w:color="auto" w:fill="auto"/>
            <w:vAlign w:val="center"/>
          </w:tcPr>
          <w:p>
            <w:pPr>
              <w:widowControl/>
              <w:jc w:val="center"/>
              <w:rPr>
                <w:rFonts w:ascii="方正小标宋简体" w:hAnsi="方正小标宋简体" w:eastAsia="方正小标宋简体" w:cs="宋体"/>
                <w:color w:val="000000"/>
                <w:kern w:val="0"/>
                <w:sz w:val="44"/>
                <w:szCs w:val="44"/>
              </w:rPr>
            </w:pPr>
            <w:r>
              <w:rPr>
                <w:rFonts w:hint="eastAsia" w:ascii="方正小标宋简体" w:hAnsi="方正小标宋简体" w:eastAsia="方正小标宋简体" w:cs="宋体"/>
                <w:color w:val="000000"/>
                <w:kern w:val="0"/>
                <w:sz w:val="44"/>
                <w:szCs w:val="44"/>
              </w:rPr>
              <w:t>部门整体支出绩效目标完成情况自评表</w:t>
            </w:r>
          </w:p>
        </w:tc>
      </w:tr>
      <w:tr>
        <w:tblPrEx>
          <w:tblCellMar>
            <w:top w:w="0" w:type="dxa"/>
            <w:left w:w="108" w:type="dxa"/>
            <w:bottom w:w="0" w:type="dxa"/>
            <w:right w:w="108" w:type="dxa"/>
          </w:tblCellMar>
        </w:tblPrEx>
        <w:trPr>
          <w:trHeight w:val="390" w:hRule="atLeast"/>
        </w:trPr>
        <w:tc>
          <w:tcPr>
            <w:tcW w:w="8620" w:type="dxa"/>
            <w:gridSpan w:val="9"/>
            <w:tcBorders>
              <w:top w:val="nil"/>
              <w:left w:val="nil"/>
              <w:bottom w:val="nil"/>
              <w:right w:val="nil"/>
            </w:tcBorders>
            <w:shd w:val="clear" w:color="auto" w:fill="auto"/>
            <w:vAlign w:val="center"/>
          </w:tcPr>
          <w:p>
            <w:pPr>
              <w:widowControl/>
              <w:jc w:val="center"/>
              <w:rPr>
                <w:rFonts w:ascii="宋体" w:hAnsi="宋体" w:eastAsia="宋体" w:cs="宋体"/>
                <w:color w:val="000000"/>
                <w:kern w:val="0"/>
                <w:sz w:val="28"/>
                <w:szCs w:val="28"/>
              </w:rPr>
            </w:pPr>
            <w:r>
              <w:rPr>
                <w:rFonts w:hint="eastAsia" w:ascii="宋体" w:hAnsi="宋体" w:eastAsia="宋体" w:cs="宋体"/>
                <w:color w:val="000000"/>
                <w:kern w:val="0"/>
                <w:sz w:val="28"/>
                <w:szCs w:val="28"/>
              </w:rPr>
              <w:t>（</w:t>
            </w:r>
            <w:r>
              <w:rPr>
                <w:rFonts w:eastAsia="宋体"/>
                <w:color w:val="000000"/>
                <w:kern w:val="0"/>
                <w:sz w:val="28"/>
                <w:szCs w:val="28"/>
              </w:rPr>
              <w:t>2023</w:t>
            </w:r>
            <w:r>
              <w:rPr>
                <w:rFonts w:hint="eastAsia" w:ascii="宋体" w:hAnsi="宋体" w:eastAsia="宋体" w:cs="宋体"/>
                <w:color w:val="000000"/>
                <w:kern w:val="0"/>
                <w:sz w:val="28"/>
                <w:szCs w:val="28"/>
              </w:rPr>
              <w:t>年度）</w:t>
            </w:r>
          </w:p>
        </w:tc>
      </w:tr>
      <w:tr>
        <w:tblPrEx>
          <w:tblCellMar>
            <w:top w:w="0" w:type="dxa"/>
            <w:left w:w="108" w:type="dxa"/>
            <w:bottom w:w="0" w:type="dxa"/>
            <w:right w:w="108" w:type="dxa"/>
          </w:tblCellMar>
        </w:tblPrEx>
        <w:trPr>
          <w:trHeight w:val="255" w:hRule="atLeast"/>
        </w:trPr>
        <w:tc>
          <w:tcPr>
            <w:tcW w:w="8620" w:type="dxa"/>
            <w:gridSpan w:val="9"/>
            <w:tcBorders>
              <w:top w:val="nil"/>
              <w:left w:val="nil"/>
              <w:bottom w:val="nil"/>
              <w:right w:val="nil"/>
            </w:tcBorders>
            <w:shd w:val="clear" w:color="auto" w:fill="auto"/>
            <w:vAlign w:val="center"/>
          </w:tcPr>
          <w:p>
            <w:pPr>
              <w:widowControl/>
              <w:jc w:val="right"/>
              <w:rPr>
                <w:rFonts w:ascii="宋体" w:hAnsi="宋体" w:eastAsia="宋体" w:cs="宋体"/>
                <w:color w:val="000000"/>
                <w:kern w:val="0"/>
                <w:sz w:val="21"/>
                <w:szCs w:val="21"/>
              </w:rPr>
            </w:pPr>
            <w:r>
              <w:rPr>
                <w:rFonts w:hint="eastAsia" w:ascii="宋体" w:hAnsi="宋体" w:eastAsia="宋体" w:cs="宋体"/>
                <w:color w:val="000000"/>
                <w:kern w:val="0"/>
                <w:sz w:val="21"/>
                <w:szCs w:val="21"/>
              </w:rPr>
              <w:t>单位：万元</w:t>
            </w:r>
          </w:p>
        </w:tc>
      </w:tr>
      <w:tr>
        <w:tblPrEx>
          <w:tblCellMar>
            <w:top w:w="0" w:type="dxa"/>
            <w:left w:w="108" w:type="dxa"/>
            <w:bottom w:w="0" w:type="dxa"/>
            <w:right w:w="108" w:type="dxa"/>
          </w:tblCellMar>
        </w:tblPrEx>
        <w:trPr>
          <w:trHeight w:val="390" w:hRule="atLeast"/>
        </w:trPr>
        <w:tc>
          <w:tcPr>
            <w:tcW w:w="2860" w:type="dxa"/>
            <w:gridSpan w:val="3"/>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6"/>
                <w:szCs w:val="16"/>
              </w:rPr>
            </w:pPr>
            <w:r>
              <w:rPr>
                <w:rFonts w:hint="eastAsia" w:ascii="宋体" w:hAnsi="宋体" w:eastAsia="宋体" w:cs="宋体"/>
                <w:color w:val="000000"/>
                <w:kern w:val="0"/>
                <w:sz w:val="16"/>
                <w:szCs w:val="16"/>
              </w:rPr>
              <w:t>部门名称</w:t>
            </w:r>
          </w:p>
        </w:tc>
        <w:tc>
          <w:tcPr>
            <w:tcW w:w="5760" w:type="dxa"/>
            <w:gridSpan w:val="6"/>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6"/>
                <w:szCs w:val="16"/>
              </w:rPr>
            </w:pPr>
            <w:r>
              <w:rPr>
                <w:rFonts w:hint="eastAsia" w:ascii="宋体" w:hAnsi="宋体" w:eastAsia="宋体" w:cs="宋体"/>
                <w:color w:val="000000"/>
                <w:kern w:val="0"/>
                <w:sz w:val="16"/>
                <w:szCs w:val="16"/>
              </w:rPr>
              <w:t>黑水县财政局</w:t>
            </w:r>
          </w:p>
        </w:tc>
      </w:tr>
      <w:tr>
        <w:tblPrEx>
          <w:tblCellMar>
            <w:top w:w="0" w:type="dxa"/>
            <w:left w:w="108" w:type="dxa"/>
            <w:bottom w:w="0" w:type="dxa"/>
            <w:right w:w="108" w:type="dxa"/>
          </w:tblCellMar>
        </w:tblPrEx>
        <w:trPr>
          <w:trHeight w:val="435" w:hRule="atLeast"/>
        </w:trPr>
        <w:tc>
          <w:tcPr>
            <w:tcW w:w="800"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6"/>
                <w:szCs w:val="16"/>
              </w:rPr>
            </w:pPr>
            <w:r>
              <w:rPr>
                <w:rFonts w:hint="eastAsia" w:ascii="宋体" w:hAnsi="宋体" w:eastAsia="宋体" w:cs="宋体"/>
                <w:color w:val="000000"/>
                <w:kern w:val="0"/>
                <w:sz w:val="16"/>
                <w:szCs w:val="16"/>
              </w:rPr>
              <w:t>年度部门整体支出预算</w:t>
            </w:r>
          </w:p>
        </w:tc>
        <w:tc>
          <w:tcPr>
            <w:tcW w:w="2060" w:type="dxa"/>
            <w:gridSpan w:val="2"/>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6"/>
                <w:szCs w:val="16"/>
              </w:rPr>
            </w:pPr>
            <w:r>
              <w:rPr>
                <w:rFonts w:hint="eastAsia" w:ascii="宋体" w:hAnsi="宋体" w:eastAsia="宋体" w:cs="宋体"/>
                <w:color w:val="000000"/>
                <w:kern w:val="0"/>
                <w:sz w:val="16"/>
                <w:szCs w:val="16"/>
              </w:rPr>
              <w:t>资金总额</w:t>
            </w:r>
          </w:p>
        </w:tc>
        <w:tc>
          <w:tcPr>
            <w:tcW w:w="3100" w:type="dxa"/>
            <w:gridSpan w:val="2"/>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6"/>
                <w:szCs w:val="16"/>
              </w:rPr>
            </w:pPr>
            <w:r>
              <w:rPr>
                <w:rFonts w:hint="eastAsia" w:ascii="宋体" w:hAnsi="宋体" w:eastAsia="宋体" w:cs="宋体"/>
                <w:color w:val="000000"/>
                <w:kern w:val="0"/>
                <w:sz w:val="16"/>
                <w:szCs w:val="16"/>
              </w:rPr>
              <w:t>财政拨款</w:t>
            </w:r>
          </w:p>
        </w:tc>
        <w:tc>
          <w:tcPr>
            <w:tcW w:w="2660" w:type="dxa"/>
            <w:gridSpan w:val="4"/>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6"/>
                <w:szCs w:val="16"/>
              </w:rPr>
            </w:pPr>
            <w:r>
              <w:rPr>
                <w:rFonts w:hint="eastAsia" w:ascii="宋体" w:hAnsi="宋体" w:eastAsia="宋体" w:cs="宋体"/>
                <w:color w:val="000000"/>
                <w:kern w:val="0"/>
                <w:sz w:val="16"/>
                <w:szCs w:val="16"/>
              </w:rPr>
              <w:t>其他资金</w:t>
            </w:r>
          </w:p>
        </w:tc>
      </w:tr>
      <w:tr>
        <w:tblPrEx>
          <w:tblCellMar>
            <w:top w:w="0" w:type="dxa"/>
            <w:left w:w="108" w:type="dxa"/>
            <w:bottom w:w="0" w:type="dxa"/>
            <w:right w:w="108" w:type="dxa"/>
          </w:tblCellMar>
        </w:tblPrEx>
        <w:trPr>
          <w:trHeight w:val="435" w:hRule="atLeast"/>
        </w:trPr>
        <w:tc>
          <w:tcPr>
            <w:tcW w:w="80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16"/>
                <w:szCs w:val="16"/>
              </w:rPr>
            </w:pPr>
          </w:p>
        </w:tc>
        <w:tc>
          <w:tcPr>
            <w:tcW w:w="2060" w:type="dxa"/>
            <w:gridSpan w:val="2"/>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6"/>
                <w:szCs w:val="16"/>
              </w:rPr>
            </w:pPr>
            <w:r>
              <w:rPr>
                <w:rFonts w:hint="eastAsia" w:ascii="宋体" w:hAnsi="宋体" w:eastAsia="宋体" w:cs="宋体"/>
                <w:color w:val="000000"/>
                <w:kern w:val="0"/>
                <w:sz w:val="16"/>
                <w:szCs w:val="16"/>
              </w:rPr>
              <w:t>959.57</w:t>
            </w:r>
          </w:p>
        </w:tc>
        <w:tc>
          <w:tcPr>
            <w:tcW w:w="3100" w:type="dxa"/>
            <w:gridSpan w:val="2"/>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6"/>
                <w:szCs w:val="16"/>
              </w:rPr>
            </w:pPr>
            <w:r>
              <w:rPr>
                <w:rFonts w:hint="eastAsia" w:ascii="宋体" w:hAnsi="宋体" w:eastAsia="宋体" w:cs="宋体"/>
                <w:color w:val="000000"/>
                <w:kern w:val="0"/>
                <w:sz w:val="16"/>
                <w:szCs w:val="16"/>
              </w:rPr>
              <w:t>959.57</w:t>
            </w:r>
          </w:p>
        </w:tc>
        <w:tc>
          <w:tcPr>
            <w:tcW w:w="2660" w:type="dxa"/>
            <w:gridSpan w:val="4"/>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6"/>
                <w:szCs w:val="16"/>
              </w:rPr>
            </w:pPr>
            <w:r>
              <w:rPr>
                <w:rFonts w:hint="eastAsia" w:ascii="宋体" w:hAnsi="宋体" w:eastAsia="宋体" w:cs="宋体"/>
                <w:color w:val="000000"/>
                <w:kern w:val="0"/>
                <w:sz w:val="16"/>
                <w:szCs w:val="16"/>
              </w:rPr>
              <w:t>　</w:t>
            </w:r>
          </w:p>
        </w:tc>
      </w:tr>
      <w:tr>
        <w:tblPrEx>
          <w:tblCellMar>
            <w:top w:w="0" w:type="dxa"/>
            <w:left w:w="108" w:type="dxa"/>
            <w:bottom w:w="0" w:type="dxa"/>
            <w:right w:w="108" w:type="dxa"/>
          </w:tblCellMar>
        </w:tblPrEx>
        <w:trPr>
          <w:trHeight w:val="435" w:hRule="atLeast"/>
        </w:trPr>
        <w:tc>
          <w:tcPr>
            <w:tcW w:w="800"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ascii="宋体" w:hAnsi="宋体" w:eastAsia="宋体" w:cs="宋体"/>
                <w:color w:val="000000"/>
                <w:kern w:val="0"/>
                <w:sz w:val="16"/>
                <w:szCs w:val="16"/>
              </w:rPr>
            </w:pPr>
            <w:r>
              <w:rPr>
                <w:rFonts w:hint="eastAsia" w:ascii="宋体" w:hAnsi="宋体" w:eastAsia="宋体" w:cs="宋体"/>
                <w:color w:val="000000"/>
                <w:kern w:val="0"/>
                <w:sz w:val="16"/>
                <w:szCs w:val="16"/>
              </w:rPr>
              <w:t>年度总体目标</w:t>
            </w:r>
          </w:p>
        </w:tc>
        <w:tc>
          <w:tcPr>
            <w:tcW w:w="7820" w:type="dxa"/>
            <w:gridSpan w:val="8"/>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 w:val="16"/>
                <w:szCs w:val="16"/>
              </w:rPr>
            </w:pPr>
            <w:r>
              <w:rPr>
                <w:rFonts w:hint="eastAsia" w:ascii="宋体" w:hAnsi="宋体" w:eastAsia="宋体" w:cs="宋体"/>
                <w:color w:val="000000"/>
                <w:kern w:val="0"/>
                <w:sz w:val="16"/>
                <w:szCs w:val="16"/>
              </w:rPr>
              <w:t>以学习贯彻党的二十大精神为引领，全面落实中央、省委、州委、县委、财政中心工作和重点任务精神，牢牢把握财政高质量发展政治方向，在“稳经济、强收支、守底线”上下功夫，始终保持“善创新、重实干、勇担当”的奋进姿态，坚定“勇攻坚、快追赶、求突破”的决心信心，紧扣“南农北林，冰雪立业，精神铸魂，共同富裕”发展思路，大力弘扬黑水“四种精神”，主动对标“六区建设”目标，认真贯彻落实县委“开局就是决战、起步就是冲刺”的要求，主动融入全县高质量发展大局找定位，主动对接全州财政工作核心找方向，以思想认识上的破冰引领目标行动上的突围，以更大的力度、更实的举措，以一域之为为谱写黑水高质量发展新篇章贡献财政力量。</w:t>
            </w:r>
          </w:p>
        </w:tc>
      </w:tr>
      <w:tr>
        <w:tblPrEx>
          <w:tblCellMar>
            <w:top w:w="0" w:type="dxa"/>
            <w:left w:w="108" w:type="dxa"/>
            <w:bottom w:w="0" w:type="dxa"/>
            <w:right w:w="108" w:type="dxa"/>
          </w:tblCellMar>
        </w:tblPrEx>
        <w:trPr>
          <w:trHeight w:val="1035" w:hRule="atLeast"/>
        </w:trPr>
        <w:tc>
          <w:tcPr>
            <w:tcW w:w="800"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eastAsia="宋体" w:cs="宋体"/>
                <w:color w:val="000000"/>
                <w:kern w:val="0"/>
                <w:sz w:val="16"/>
                <w:szCs w:val="16"/>
              </w:rPr>
            </w:pPr>
          </w:p>
        </w:tc>
        <w:tc>
          <w:tcPr>
            <w:tcW w:w="7820" w:type="dxa"/>
            <w:gridSpan w:val="8"/>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16"/>
                <w:szCs w:val="16"/>
              </w:rPr>
            </w:pPr>
          </w:p>
        </w:tc>
      </w:tr>
      <w:tr>
        <w:tblPrEx>
          <w:tblCellMar>
            <w:top w:w="0" w:type="dxa"/>
            <w:left w:w="108" w:type="dxa"/>
            <w:bottom w:w="0" w:type="dxa"/>
            <w:right w:w="108" w:type="dxa"/>
          </w:tblCellMar>
        </w:tblPrEx>
        <w:trPr>
          <w:trHeight w:val="435" w:hRule="atLeast"/>
        </w:trPr>
        <w:tc>
          <w:tcPr>
            <w:tcW w:w="800"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ascii="宋体" w:hAnsi="宋体" w:eastAsia="宋体" w:cs="宋体"/>
                <w:color w:val="000000"/>
                <w:kern w:val="0"/>
                <w:sz w:val="16"/>
                <w:szCs w:val="16"/>
              </w:rPr>
            </w:pPr>
            <w:r>
              <w:rPr>
                <w:rFonts w:hint="eastAsia" w:ascii="宋体" w:hAnsi="宋体" w:eastAsia="宋体" w:cs="宋体"/>
                <w:color w:val="000000"/>
                <w:kern w:val="0"/>
                <w:sz w:val="16"/>
                <w:szCs w:val="16"/>
              </w:rPr>
              <w:t>年度主要任务</w:t>
            </w:r>
          </w:p>
        </w:tc>
        <w:tc>
          <w:tcPr>
            <w:tcW w:w="2060" w:type="dxa"/>
            <w:gridSpan w:val="2"/>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6"/>
                <w:szCs w:val="16"/>
              </w:rPr>
            </w:pPr>
            <w:r>
              <w:rPr>
                <w:rFonts w:hint="eastAsia" w:ascii="宋体" w:hAnsi="宋体" w:eastAsia="宋体" w:cs="宋体"/>
                <w:color w:val="000000"/>
                <w:kern w:val="0"/>
                <w:sz w:val="16"/>
                <w:szCs w:val="16"/>
              </w:rPr>
              <w:t>任务名称</w:t>
            </w:r>
          </w:p>
        </w:tc>
        <w:tc>
          <w:tcPr>
            <w:tcW w:w="5760" w:type="dxa"/>
            <w:gridSpan w:val="6"/>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6"/>
                <w:szCs w:val="16"/>
              </w:rPr>
            </w:pPr>
            <w:r>
              <w:rPr>
                <w:rFonts w:hint="eastAsia" w:ascii="宋体" w:hAnsi="宋体" w:eastAsia="宋体" w:cs="宋体"/>
                <w:color w:val="000000"/>
                <w:kern w:val="0"/>
                <w:sz w:val="16"/>
                <w:szCs w:val="16"/>
              </w:rPr>
              <w:t>主要内容</w:t>
            </w:r>
          </w:p>
        </w:tc>
      </w:tr>
      <w:tr>
        <w:tblPrEx>
          <w:tblCellMar>
            <w:top w:w="0" w:type="dxa"/>
            <w:left w:w="108" w:type="dxa"/>
            <w:bottom w:w="0" w:type="dxa"/>
            <w:right w:w="108" w:type="dxa"/>
          </w:tblCellMar>
        </w:tblPrEx>
        <w:trPr>
          <w:trHeight w:val="555" w:hRule="atLeast"/>
        </w:trPr>
        <w:tc>
          <w:tcPr>
            <w:tcW w:w="800"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eastAsia="宋体" w:cs="宋体"/>
                <w:color w:val="000000"/>
                <w:kern w:val="0"/>
                <w:sz w:val="16"/>
                <w:szCs w:val="16"/>
              </w:rPr>
            </w:pPr>
          </w:p>
        </w:tc>
        <w:tc>
          <w:tcPr>
            <w:tcW w:w="2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rPr>
                <w:rFonts w:ascii="宋体" w:hAnsi="宋体" w:eastAsia="宋体" w:cs="宋体"/>
                <w:color w:val="000000"/>
                <w:kern w:val="0"/>
                <w:sz w:val="16"/>
                <w:szCs w:val="16"/>
              </w:rPr>
            </w:pPr>
            <w:r>
              <w:rPr>
                <w:rFonts w:hint="eastAsia" w:ascii="宋体" w:hAnsi="宋体" w:eastAsia="宋体" w:cs="宋体"/>
                <w:color w:val="000000"/>
                <w:kern w:val="0"/>
                <w:sz w:val="16"/>
                <w:szCs w:val="16"/>
              </w:rPr>
              <w:t>持续加强党的建设</w:t>
            </w:r>
          </w:p>
        </w:tc>
        <w:tc>
          <w:tcPr>
            <w:tcW w:w="5760" w:type="dxa"/>
            <w:gridSpan w:val="6"/>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 w:val="16"/>
                <w:szCs w:val="16"/>
              </w:rPr>
            </w:pPr>
            <w:r>
              <w:rPr>
                <w:rFonts w:hint="eastAsia" w:ascii="宋体" w:hAnsi="宋体" w:eastAsia="宋体" w:cs="宋体"/>
                <w:color w:val="000000"/>
                <w:kern w:val="0"/>
                <w:sz w:val="16"/>
                <w:szCs w:val="16"/>
              </w:rPr>
              <w:t>1.深入学习贯彻中央和省委、州委、县委重要会议精神；2.全面加强思想政治建设；3.推进全面从严治党</w:t>
            </w:r>
          </w:p>
        </w:tc>
      </w:tr>
      <w:tr>
        <w:tblPrEx>
          <w:tblCellMar>
            <w:top w:w="0" w:type="dxa"/>
            <w:left w:w="108" w:type="dxa"/>
            <w:bottom w:w="0" w:type="dxa"/>
            <w:right w:w="108" w:type="dxa"/>
          </w:tblCellMar>
        </w:tblPrEx>
        <w:trPr>
          <w:trHeight w:val="690" w:hRule="atLeast"/>
        </w:trPr>
        <w:tc>
          <w:tcPr>
            <w:tcW w:w="800"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eastAsia="宋体" w:cs="宋体"/>
                <w:color w:val="000000"/>
                <w:kern w:val="0"/>
                <w:sz w:val="16"/>
                <w:szCs w:val="16"/>
              </w:rPr>
            </w:pPr>
          </w:p>
        </w:tc>
        <w:tc>
          <w:tcPr>
            <w:tcW w:w="2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rPr>
                <w:rFonts w:ascii="宋体" w:hAnsi="宋体" w:eastAsia="宋体" w:cs="宋体"/>
                <w:color w:val="000000"/>
                <w:kern w:val="0"/>
                <w:sz w:val="16"/>
                <w:szCs w:val="16"/>
              </w:rPr>
            </w:pPr>
            <w:r>
              <w:rPr>
                <w:rFonts w:hint="eastAsia" w:ascii="宋体" w:hAnsi="宋体" w:eastAsia="宋体" w:cs="宋体"/>
                <w:color w:val="000000"/>
                <w:kern w:val="0"/>
                <w:sz w:val="16"/>
                <w:szCs w:val="16"/>
              </w:rPr>
              <w:t>积极应对各类风险挑战牢牢守住不发生系统性风险底线</w:t>
            </w:r>
          </w:p>
        </w:tc>
        <w:tc>
          <w:tcPr>
            <w:tcW w:w="5760" w:type="dxa"/>
            <w:gridSpan w:val="6"/>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 w:val="16"/>
                <w:szCs w:val="16"/>
              </w:rPr>
            </w:pPr>
            <w:r>
              <w:rPr>
                <w:rFonts w:hint="eastAsia" w:ascii="宋体" w:hAnsi="宋体" w:eastAsia="宋体" w:cs="宋体"/>
                <w:color w:val="000000"/>
                <w:kern w:val="0"/>
                <w:sz w:val="16"/>
                <w:szCs w:val="16"/>
              </w:rPr>
              <w:t>1.深化严肃财经纪律；2.切实加强财政资金运行监控；3.切实强化财会监督.</w:t>
            </w:r>
          </w:p>
        </w:tc>
      </w:tr>
      <w:tr>
        <w:tblPrEx>
          <w:tblCellMar>
            <w:top w:w="0" w:type="dxa"/>
            <w:left w:w="108" w:type="dxa"/>
            <w:bottom w:w="0" w:type="dxa"/>
            <w:right w:w="108" w:type="dxa"/>
          </w:tblCellMar>
        </w:tblPrEx>
        <w:trPr>
          <w:trHeight w:val="810" w:hRule="atLeast"/>
        </w:trPr>
        <w:tc>
          <w:tcPr>
            <w:tcW w:w="800"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eastAsia="宋体" w:cs="宋体"/>
                <w:color w:val="000000"/>
                <w:kern w:val="0"/>
                <w:sz w:val="16"/>
                <w:szCs w:val="16"/>
              </w:rPr>
            </w:pPr>
          </w:p>
        </w:tc>
        <w:tc>
          <w:tcPr>
            <w:tcW w:w="2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rPr>
                <w:rFonts w:ascii="宋体" w:hAnsi="宋体" w:eastAsia="宋体" w:cs="宋体"/>
                <w:color w:val="000000"/>
                <w:kern w:val="0"/>
                <w:sz w:val="16"/>
                <w:szCs w:val="16"/>
              </w:rPr>
            </w:pPr>
            <w:r>
              <w:rPr>
                <w:rFonts w:hint="eastAsia" w:ascii="宋体" w:hAnsi="宋体" w:eastAsia="宋体" w:cs="宋体"/>
                <w:color w:val="000000"/>
                <w:kern w:val="0"/>
                <w:sz w:val="16"/>
                <w:szCs w:val="16"/>
              </w:rPr>
              <w:t>发挥财政资金引导，落实提质增效，着力提升保障发展，建立财税体系</w:t>
            </w:r>
          </w:p>
        </w:tc>
        <w:tc>
          <w:tcPr>
            <w:tcW w:w="5760" w:type="dxa"/>
            <w:gridSpan w:val="6"/>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 w:val="16"/>
                <w:szCs w:val="16"/>
              </w:rPr>
            </w:pPr>
            <w:r>
              <w:rPr>
                <w:rFonts w:hint="eastAsia" w:ascii="宋体" w:hAnsi="宋体" w:eastAsia="宋体" w:cs="宋体"/>
                <w:color w:val="000000"/>
                <w:kern w:val="0"/>
                <w:sz w:val="16"/>
                <w:szCs w:val="16"/>
              </w:rPr>
              <w:t>1.加强财政运行管理；2推动县域经济高质量发展；3.强化非税收入政</w:t>
            </w:r>
            <w:r>
              <w:rPr>
                <w:rFonts w:hint="default" w:ascii="宋体" w:hAnsi="宋体" w:eastAsia="宋体" w:cs="宋体"/>
                <w:color w:val="000000"/>
                <w:kern w:val="0"/>
                <w:sz w:val="16"/>
                <w:szCs w:val="16"/>
              </w:rPr>
              <w:t>府</w:t>
            </w:r>
            <w:bookmarkStart w:id="0" w:name="_GoBack"/>
            <w:bookmarkEnd w:id="0"/>
            <w:r>
              <w:rPr>
                <w:rFonts w:hint="eastAsia" w:ascii="宋体" w:hAnsi="宋体" w:eastAsia="宋体" w:cs="宋体"/>
                <w:color w:val="000000"/>
                <w:kern w:val="0"/>
                <w:sz w:val="16"/>
                <w:szCs w:val="16"/>
              </w:rPr>
              <w:t>管理；4全面深化财政电子票据改革</w:t>
            </w:r>
          </w:p>
        </w:tc>
      </w:tr>
      <w:tr>
        <w:tblPrEx>
          <w:tblCellMar>
            <w:top w:w="0" w:type="dxa"/>
            <w:left w:w="108" w:type="dxa"/>
            <w:bottom w:w="0" w:type="dxa"/>
            <w:right w:w="108" w:type="dxa"/>
          </w:tblCellMar>
        </w:tblPrEx>
        <w:trPr>
          <w:trHeight w:val="675" w:hRule="atLeast"/>
        </w:trPr>
        <w:tc>
          <w:tcPr>
            <w:tcW w:w="800"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eastAsia="宋体" w:cs="宋体"/>
                <w:color w:val="000000"/>
                <w:kern w:val="0"/>
                <w:sz w:val="16"/>
                <w:szCs w:val="16"/>
              </w:rPr>
            </w:pPr>
          </w:p>
        </w:tc>
        <w:tc>
          <w:tcPr>
            <w:tcW w:w="2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rPr>
                <w:rFonts w:ascii="宋体" w:hAnsi="宋体" w:eastAsia="宋体" w:cs="宋体"/>
                <w:color w:val="000000"/>
                <w:kern w:val="0"/>
                <w:sz w:val="16"/>
                <w:szCs w:val="16"/>
              </w:rPr>
            </w:pPr>
            <w:r>
              <w:rPr>
                <w:rFonts w:hint="eastAsia" w:ascii="宋体" w:hAnsi="宋体" w:eastAsia="宋体" w:cs="宋体"/>
                <w:color w:val="000000"/>
                <w:kern w:val="0"/>
                <w:sz w:val="16"/>
                <w:szCs w:val="16"/>
              </w:rPr>
              <w:t>建章立制优管理</w:t>
            </w:r>
          </w:p>
        </w:tc>
        <w:tc>
          <w:tcPr>
            <w:tcW w:w="5760" w:type="dxa"/>
            <w:gridSpan w:val="6"/>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 w:val="16"/>
                <w:szCs w:val="16"/>
              </w:rPr>
            </w:pPr>
            <w:r>
              <w:rPr>
                <w:rFonts w:hint="eastAsia" w:ascii="宋体" w:hAnsi="宋体" w:eastAsia="宋体" w:cs="宋体"/>
                <w:color w:val="000000"/>
                <w:kern w:val="0"/>
                <w:sz w:val="16"/>
                <w:szCs w:val="16"/>
              </w:rPr>
              <w:t>紧扣“制度、能力、作风”三项建设主线，紧盯“讲政治、敢担当、重实干、保本色”队伍建设目标，以创新发展增强全局职工干事创业源动力。</w:t>
            </w:r>
          </w:p>
        </w:tc>
      </w:tr>
      <w:tr>
        <w:tblPrEx>
          <w:tblCellMar>
            <w:top w:w="0" w:type="dxa"/>
            <w:left w:w="108" w:type="dxa"/>
            <w:bottom w:w="0" w:type="dxa"/>
            <w:right w:w="108" w:type="dxa"/>
          </w:tblCellMar>
        </w:tblPrEx>
        <w:trPr>
          <w:trHeight w:val="435" w:hRule="atLeast"/>
        </w:trPr>
        <w:tc>
          <w:tcPr>
            <w:tcW w:w="800"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6"/>
                <w:szCs w:val="16"/>
              </w:rPr>
            </w:pPr>
            <w:r>
              <w:rPr>
                <w:rFonts w:hint="eastAsia" w:ascii="宋体" w:hAnsi="宋体" w:eastAsia="宋体" w:cs="宋体"/>
                <w:color w:val="000000"/>
                <w:kern w:val="0"/>
                <w:sz w:val="16"/>
                <w:szCs w:val="16"/>
              </w:rPr>
              <w:t>年度绩效指标</w:t>
            </w:r>
          </w:p>
        </w:tc>
        <w:tc>
          <w:tcPr>
            <w:tcW w:w="94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6"/>
                <w:szCs w:val="16"/>
              </w:rPr>
            </w:pPr>
            <w:r>
              <w:rPr>
                <w:rFonts w:hint="eastAsia" w:ascii="宋体" w:hAnsi="宋体" w:eastAsia="宋体" w:cs="宋体"/>
                <w:color w:val="000000"/>
                <w:kern w:val="0"/>
                <w:sz w:val="16"/>
                <w:szCs w:val="16"/>
              </w:rPr>
              <w:t>一级指标</w:t>
            </w:r>
          </w:p>
        </w:tc>
        <w:tc>
          <w:tcPr>
            <w:tcW w:w="112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6"/>
                <w:szCs w:val="16"/>
              </w:rPr>
            </w:pPr>
            <w:r>
              <w:rPr>
                <w:rFonts w:hint="eastAsia" w:ascii="宋体" w:hAnsi="宋体" w:eastAsia="宋体" w:cs="宋体"/>
                <w:color w:val="000000"/>
                <w:kern w:val="0"/>
                <w:sz w:val="16"/>
                <w:szCs w:val="16"/>
              </w:rPr>
              <w:t>二级指标</w:t>
            </w:r>
          </w:p>
        </w:tc>
        <w:tc>
          <w:tcPr>
            <w:tcW w:w="2560"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6"/>
                <w:szCs w:val="16"/>
              </w:rPr>
            </w:pPr>
            <w:r>
              <w:rPr>
                <w:rFonts w:hint="eastAsia" w:ascii="宋体" w:hAnsi="宋体" w:eastAsia="宋体" w:cs="宋体"/>
                <w:color w:val="000000"/>
                <w:kern w:val="0"/>
                <w:sz w:val="16"/>
                <w:szCs w:val="16"/>
              </w:rPr>
              <w:t>三级指标</w:t>
            </w:r>
          </w:p>
        </w:tc>
        <w:tc>
          <w:tcPr>
            <w:tcW w:w="54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6"/>
                <w:szCs w:val="16"/>
              </w:rPr>
            </w:pPr>
            <w:r>
              <w:rPr>
                <w:rFonts w:hint="eastAsia" w:ascii="宋体" w:hAnsi="宋体" w:eastAsia="宋体" w:cs="宋体"/>
                <w:color w:val="000000"/>
                <w:kern w:val="0"/>
                <w:sz w:val="16"/>
                <w:szCs w:val="16"/>
              </w:rPr>
              <w:t>绩效指标</w:t>
            </w:r>
          </w:p>
        </w:tc>
        <w:tc>
          <w:tcPr>
            <w:tcW w:w="620"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6"/>
                <w:szCs w:val="16"/>
              </w:rPr>
            </w:pPr>
            <w:r>
              <w:rPr>
                <w:rFonts w:hint="eastAsia" w:ascii="宋体" w:hAnsi="宋体" w:eastAsia="宋体" w:cs="宋体"/>
                <w:color w:val="000000"/>
                <w:kern w:val="0"/>
                <w:sz w:val="16"/>
                <w:szCs w:val="16"/>
              </w:rPr>
              <w:t>绩效指标值</w:t>
            </w:r>
          </w:p>
        </w:tc>
        <w:tc>
          <w:tcPr>
            <w:tcW w:w="600"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6"/>
                <w:szCs w:val="16"/>
              </w:rPr>
            </w:pPr>
            <w:r>
              <w:rPr>
                <w:rFonts w:hint="eastAsia" w:ascii="宋体" w:hAnsi="宋体" w:eastAsia="宋体" w:cs="宋体"/>
                <w:color w:val="000000"/>
                <w:kern w:val="0"/>
                <w:sz w:val="16"/>
                <w:szCs w:val="16"/>
              </w:rPr>
              <w:t>绩效度量单位</w:t>
            </w:r>
          </w:p>
        </w:tc>
        <w:tc>
          <w:tcPr>
            <w:tcW w:w="660"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6"/>
                <w:szCs w:val="16"/>
              </w:rPr>
            </w:pPr>
            <w:r>
              <w:rPr>
                <w:rFonts w:hint="eastAsia" w:ascii="宋体" w:hAnsi="宋体" w:eastAsia="宋体" w:cs="宋体"/>
                <w:color w:val="000000"/>
                <w:kern w:val="0"/>
                <w:sz w:val="16"/>
                <w:szCs w:val="16"/>
              </w:rPr>
              <w:t>权重</w:t>
            </w:r>
          </w:p>
        </w:tc>
        <w:tc>
          <w:tcPr>
            <w:tcW w:w="7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6"/>
                <w:szCs w:val="16"/>
              </w:rPr>
            </w:pPr>
            <w:r>
              <w:rPr>
                <w:rFonts w:hint="eastAsia" w:ascii="宋体" w:hAnsi="宋体" w:eastAsia="宋体" w:cs="宋体"/>
                <w:color w:val="000000"/>
                <w:kern w:val="0"/>
                <w:sz w:val="16"/>
                <w:szCs w:val="16"/>
              </w:rPr>
              <w:t>实际完成</w:t>
            </w:r>
          </w:p>
        </w:tc>
      </w:tr>
      <w:tr>
        <w:tblPrEx>
          <w:tblCellMar>
            <w:top w:w="0" w:type="dxa"/>
            <w:left w:w="108" w:type="dxa"/>
            <w:bottom w:w="0" w:type="dxa"/>
            <w:right w:w="108" w:type="dxa"/>
          </w:tblCellMar>
        </w:tblPrEx>
        <w:trPr>
          <w:trHeight w:val="158" w:hRule="atLeast"/>
        </w:trPr>
        <w:tc>
          <w:tcPr>
            <w:tcW w:w="80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16"/>
                <w:szCs w:val="16"/>
              </w:rPr>
            </w:pPr>
          </w:p>
        </w:tc>
        <w:tc>
          <w:tcPr>
            <w:tcW w:w="94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16"/>
                <w:szCs w:val="16"/>
              </w:rPr>
            </w:pPr>
          </w:p>
        </w:tc>
        <w:tc>
          <w:tcPr>
            <w:tcW w:w="112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16"/>
                <w:szCs w:val="16"/>
              </w:rPr>
            </w:pPr>
          </w:p>
        </w:tc>
        <w:tc>
          <w:tcPr>
            <w:tcW w:w="256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16"/>
                <w:szCs w:val="16"/>
              </w:rPr>
            </w:pPr>
          </w:p>
        </w:tc>
        <w:tc>
          <w:tcPr>
            <w:tcW w:w="54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6"/>
                <w:szCs w:val="16"/>
              </w:rPr>
            </w:pPr>
            <w:r>
              <w:rPr>
                <w:rFonts w:hint="eastAsia" w:ascii="宋体" w:hAnsi="宋体" w:eastAsia="宋体" w:cs="宋体"/>
                <w:color w:val="000000"/>
                <w:kern w:val="0"/>
                <w:sz w:val="16"/>
                <w:szCs w:val="16"/>
              </w:rPr>
              <w:t>性质</w:t>
            </w:r>
          </w:p>
        </w:tc>
        <w:tc>
          <w:tcPr>
            <w:tcW w:w="62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16"/>
                <w:szCs w:val="16"/>
              </w:rPr>
            </w:pPr>
          </w:p>
        </w:tc>
        <w:tc>
          <w:tcPr>
            <w:tcW w:w="60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16"/>
                <w:szCs w:val="16"/>
              </w:rPr>
            </w:pPr>
          </w:p>
        </w:tc>
        <w:tc>
          <w:tcPr>
            <w:tcW w:w="66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16"/>
                <w:szCs w:val="16"/>
              </w:rPr>
            </w:pPr>
          </w:p>
        </w:tc>
        <w:tc>
          <w:tcPr>
            <w:tcW w:w="78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6"/>
                <w:szCs w:val="16"/>
              </w:rPr>
            </w:pPr>
            <w:r>
              <w:rPr>
                <w:rFonts w:hint="eastAsia" w:ascii="宋体" w:hAnsi="宋体" w:eastAsia="宋体" w:cs="宋体"/>
                <w:color w:val="000000"/>
                <w:kern w:val="0"/>
                <w:sz w:val="16"/>
                <w:szCs w:val="16"/>
              </w:rPr>
              <w:t>指标值</w:t>
            </w:r>
          </w:p>
        </w:tc>
      </w:tr>
      <w:tr>
        <w:tblPrEx>
          <w:tblCellMar>
            <w:top w:w="0" w:type="dxa"/>
            <w:left w:w="108" w:type="dxa"/>
            <w:bottom w:w="0" w:type="dxa"/>
            <w:right w:w="108" w:type="dxa"/>
          </w:tblCellMar>
        </w:tblPrEx>
        <w:trPr>
          <w:trHeight w:val="435" w:hRule="atLeast"/>
        </w:trPr>
        <w:tc>
          <w:tcPr>
            <w:tcW w:w="80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16"/>
                <w:szCs w:val="16"/>
              </w:rPr>
            </w:pPr>
          </w:p>
        </w:tc>
        <w:tc>
          <w:tcPr>
            <w:tcW w:w="940"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ascii="宋体" w:hAnsi="宋体" w:eastAsia="宋体" w:cs="宋体"/>
                <w:color w:val="000000"/>
                <w:kern w:val="0"/>
                <w:sz w:val="16"/>
                <w:szCs w:val="16"/>
              </w:rPr>
            </w:pPr>
            <w:r>
              <w:rPr>
                <w:rFonts w:hint="eastAsia" w:ascii="宋体" w:hAnsi="宋体" w:eastAsia="宋体" w:cs="宋体"/>
                <w:color w:val="000000"/>
                <w:kern w:val="0"/>
                <w:sz w:val="16"/>
                <w:szCs w:val="16"/>
              </w:rPr>
              <w:t>产出指标</w:t>
            </w:r>
          </w:p>
        </w:tc>
        <w:tc>
          <w:tcPr>
            <w:tcW w:w="1120" w:type="dxa"/>
            <w:vMerge w:val="restart"/>
            <w:tcBorders>
              <w:top w:val="nil"/>
              <w:left w:val="single" w:color="auto" w:sz="4" w:space="0"/>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6"/>
                <w:szCs w:val="16"/>
              </w:rPr>
            </w:pPr>
            <w:r>
              <w:rPr>
                <w:rFonts w:hint="eastAsia" w:ascii="宋体" w:hAnsi="宋体" w:eastAsia="宋体" w:cs="宋体"/>
                <w:color w:val="000000"/>
                <w:kern w:val="0"/>
                <w:sz w:val="16"/>
                <w:szCs w:val="16"/>
              </w:rPr>
              <w:t>数量指标</w:t>
            </w:r>
          </w:p>
        </w:tc>
        <w:tc>
          <w:tcPr>
            <w:tcW w:w="2560" w:type="dxa"/>
            <w:tcBorders>
              <w:top w:val="single" w:color="000000" w:sz="4" w:space="0"/>
              <w:left w:val="nil"/>
              <w:bottom w:val="single" w:color="000000" w:sz="4" w:space="0"/>
              <w:right w:val="single" w:color="000000" w:sz="4" w:space="0"/>
            </w:tcBorders>
            <w:shd w:val="clear" w:color="auto" w:fill="auto"/>
            <w:vAlign w:val="center"/>
          </w:tcPr>
          <w:p>
            <w:pPr>
              <w:widowControl/>
              <w:jc w:val="left"/>
              <w:rPr>
                <w:rFonts w:ascii="宋体" w:hAnsi="宋体" w:eastAsia="宋体" w:cs="宋体"/>
                <w:color w:val="000000"/>
                <w:kern w:val="0"/>
                <w:sz w:val="16"/>
                <w:szCs w:val="16"/>
              </w:rPr>
            </w:pPr>
            <w:r>
              <w:rPr>
                <w:rFonts w:hint="eastAsia" w:ascii="宋体" w:hAnsi="宋体" w:eastAsia="宋体" w:cs="宋体"/>
                <w:color w:val="000000"/>
                <w:kern w:val="0"/>
                <w:sz w:val="16"/>
                <w:szCs w:val="16"/>
              </w:rPr>
              <w:t>实际在职在编人员数量</w:t>
            </w:r>
          </w:p>
        </w:tc>
        <w:tc>
          <w:tcPr>
            <w:tcW w:w="540" w:type="dxa"/>
            <w:tcBorders>
              <w:top w:val="single" w:color="000000" w:sz="4" w:space="0"/>
              <w:left w:val="nil"/>
              <w:bottom w:val="single" w:color="000000" w:sz="4" w:space="0"/>
              <w:right w:val="single" w:color="000000" w:sz="4" w:space="0"/>
            </w:tcBorders>
            <w:shd w:val="clear" w:color="auto" w:fill="auto"/>
            <w:vAlign w:val="center"/>
          </w:tcPr>
          <w:p>
            <w:pPr>
              <w:widowControl/>
              <w:jc w:val="left"/>
              <w:rPr>
                <w:rFonts w:ascii="宋体" w:hAnsi="宋体" w:eastAsia="宋体" w:cs="宋体"/>
                <w:color w:val="000000"/>
                <w:kern w:val="0"/>
                <w:sz w:val="16"/>
                <w:szCs w:val="16"/>
              </w:rPr>
            </w:pPr>
            <w:r>
              <w:rPr>
                <w:rFonts w:hint="eastAsia" w:ascii="宋体" w:hAnsi="宋体" w:eastAsia="宋体" w:cs="宋体"/>
                <w:color w:val="000000"/>
                <w:kern w:val="0"/>
                <w:sz w:val="16"/>
                <w:szCs w:val="16"/>
              </w:rPr>
              <w:t>≥</w:t>
            </w:r>
          </w:p>
        </w:tc>
        <w:tc>
          <w:tcPr>
            <w:tcW w:w="620" w:type="dxa"/>
            <w:tcBorders>
              <w:top w:val="single" w:color="000000" w:sz="4" w:space="0"/>
              <w:left w:val="nil"/>
              <w:bottom w:val="single" w:color="000000" w:sz="4" w:space="0"/>
              <w:right w:val="single" w:color="000000" w:sz="4" w:space="0"/>
            </w:tcBorders>
            <w:shd w:val="clear" w:color="auto" w:fill="auto"/>
            <w:vAlign w:val="center"/>
          </w:tcPr>
          <w:p>
            <w:pPr>
              <w:widowControl/>
              <w:jc w:val="left"/>
              <w:rPr>
                <w:rFonts w:ascii="宋体" w:hAnsi="宋体" w:eastAsia="宋体" w:cs="宋体"/>
                <w:color w:val="000000"/>
                <w:kern w:val="0"/>
                <w:sz w:val="16"/>
                <w:szCs w:val="16"/>
              </w:rPr>
            </w:pPr>
            <w:r>
              <w:rPr>
                <w:rFonts w:hint="eastAsia" w:ascii="宋体" w:hAnsi="宋体" w:eastAsia="宋体" w:cs="宋体"/>
                <w:color w:val="000000"/>
                <w:kern w:val="0"/>
                <w:sz w:val="16"/>
                <w:szCs w:val="16"/>
              </w:rPr>
              <w:t>37</w:t>
            </w:r>
          </w:p>
        </w:tc>
        <w:tc>
          <w:tcPr>
            <w:tcW w:w="600" w:type="dxa"/>
            <w:tcBorders>
              <w:top w:val="single" w:color="000000" w:sz="4" w:space="0"/>
              <w:left w:val="nil"/>
              <w:bottom w:val="single" w:color="000000" w:sz="4" w:space="0"/>
              <w:right w:val="single" w:color="000000" w:sz="4" w:space="0"/>
            </w:tcBorders>
            <w:shd w:val="clear" w:color="auto" w:fill="auto"/>
            <w:vAlign w:val="center"/>
          </w:tcPr>
          <w:p>
            <w:pPr>
              <w:widowControl/>
              <w:jc w:val="left"/>
              <w:rPr>
                <w:rFonts w:ascii="宋体" w:hAnsi="宋体" w:eastAsia="宋体" w:cs="宋体"/>
                <w:color w:val="000000"/>
                <w:kern w:val="0"/>
                <w:sz w:val="16"/>
                <w:szCs w:val="16"/>
              </w:rPr>
            </w:pPr>
            <w:r>
              <w:rPr>
                <w:rFonts w:hint="eastAsia" w:ascii="宋体" w:hAnsi="宋体" w:eastAsia="宋体" w:cs="宋体"/>
                <w:color w:val="000000"/>
                <w:kern w:val="0"/>
                <w:sz w:val="16"/>
                <w:szCs w:val="16"/>
              </w:rPr>
              <w:t>人</w:t>
            </w:r>
          </w:p>
        </w:tc>
        <w:tc>
          <w:tcPr>
            <w:tcW w:w="660" w:type="dxa"/>
            <w:tcBorders>
              <w:top w:val="single" w:color="000000" w:sz="4" w:space="0"/>
              <w:left w:val="nil"/>
              <w:bottom w:val="single" w:color="000000" w:sz="4" w:space="0"/>
              <w:right w:val="single" w:color="000000" w:sz="4" w:space="0"/>
            </w:tcBorders>
            <w:shd w:val="clear" w:color="auto" w:fill="auto"/>
            <w:vAlign w:val="center"/>
          </w:tcPr>
          <w:p>
            <w:pPr>
              <w:widowControl/>
              <w:jc w:val="left"/>
              <w:rPr>
                <w:rFonts w:ascii="宋体" w:hAnsi="宋体" w:eastAsia="宋体" w:cs="宋体"/>
                <w:color w:val="000000"/>
                <w:kern w:val="0"/>
                <w:sz w:val="16"/>
                <w:szCs w:val="16"/>
              </w:rPr>
            </w:pPr>
            <w:r>
              <w:rPr>
                <w:rFonts w:hint="eastAsia" w:ascii="宋体" w:hAnsi="宋体" w:eastAsia="宋体" w:cs="宋体"/>
                <w:color w:val="000000"/>
                <w:kern w:val="0"/>
                <w:sz w:val="16"/>
                <w:szCs w:val="16"/>
              </w:rPr>
              <w:t>20</w:t>
            </w:r>
          </w:p>
        </w:tc>
        <w:tc>
          <w:tcPr>
            <w:tcW w:w="78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6"/>
                <w:szCs w:val="16"/>
              </w:rPr>
            </w:pPr>
            <w:r>
              <w:rPr>
                <w:rFonts w:hint="eastAsia" w:ascii="宋体" w:hAnsi="宋体" w:eastAsia="宋体" w:cs="宋体"/>
                <w:color w:val="000000"/>
                <w:kern w:val="0"/>
                <w:sz w:val="16"/>
                <w:szCs w:val="16"/>
              </w:rPr>
              <w:t>37</w:t>
            </w:r>
          </w:p>
        </w:tc>
      </w:tr>
      <w:tr>
        <w:tblPrEx>
          <w:tblCellMar>
            <w:top w:w="0" w:type="dxa"/>
            <w:left w:w="108" w:type="dxa"/>
            <w:bottom w:w="0" w:type="dxa"/>
            <w:right w:w="108" w:type="dxa"/>
          </w:tblCellMar>
        </w:tblPrEx>
        <w:trPr>
          <w:trHeight w:val="435" w:hRule="atLeast"/>
        </w:trPr>
        <w:tc>
          <w:tcPr>
            <w:tcW w:w="80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16"/>
                <w:szCs w:val="16"/>
              </w:rPr>
            </w:pPr>
          </w:p>
        </w:tc>
        <w:tc>
          <w:tcPr>
            <w:tcW w:w="940"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eastAsia="宋体" w:cs="宋体"/>
                <w:color w:val="000000"/>
                <w:kern w:val="0"/>
                <w:sz w:val="16"/>
                <w:szCs w:val="16"/>
              </w:rPr>
            </w:pPr>
          </w:p>
        </w:tc>
        <w:tc>
          <w:tcPr>
            <w:tcW w:w="1120" w:type="dxa"/>
            <w:vMerge w:val="continue"/>
            <w:tcBorders>
              <w:top w:val="nil"/>
              <w:left w:val="single" w:color="auto" w:sz="4" w:space="0"/>
              <w:bottom w:val="single" w:color="000000" w:sz="4" w:space="0"/>
              <w:right w:val="single" w:color="000000" w:sz="4" w:space="0"/>
            </w:tcBorders>
            <w:vAlign w:val="center"/>
          </w:tcPr>
          <w:p>
            <w:pPr>
              <w:widowControl/>
              <w:jc w:val="left"/>
              <w:rPr>
                <w:rFonts w:ascii="宋体" w:hAnsi="宋体" w:eastAsia="宋体" w:cs="宋体"/>
                <w:color w:val="000000"/>
                <w:kern w:val="0"/>
                <w:sz w:val="16"/>
                <w:szCs w:val="16"/>
              </w:rPr>
            </w:pPr>
          </w:p>
        </w:tc>
        <w:tc>
          <w:tcPr>
            <w:tcW w:w="2560" w:type="dxa"/>
            <w:tcBorders>
              <w:top w:val="nil"/>
              <w:left w:val="nil"/>
              <w:bottom w:val="single" w:color="000000" w:sz="4" w:space="0"/>
              <w:right w:val="single" w:color="000000" w:sz="4" w:space="0"/>
            </w:tcBorders>
            <w:shd w:val="clear" w:color="auto" w:fill="auto"/>
            <w:vAlign w:val="center"/>
          </w:tcPr>
          <w:p>
            <w:pPr>
              <w:widowControl/>
              <w:jc w:val="left"/>
              <w:rPr>
                <w:rFonts w:ascii="宋体" w:hAnsi="宋体" w:eastAsia="宋体" w:cs="宋体"/>
                <w:color w:val="000000"/>
                <w:kern w:val="0"/>
                <w:sz w:val="16"/>
                <w:szCs w:val="16"/>
              </w:rPr>
            </w:pPr>
            <w:r>
              <w:rPr>
                <w:rFonts w:hint="eastAsia" w:ascii="宋体" w:hAnsi="宋体" w:eastAsia="宋体" w:cs="宋体"/>
                <w:color w:val="000000"/>
                <w:kern w:val="0"/>
                <w:sz w:val="16"/>
                <w:szCs w:val="16"/>
              </w:rPr>
              <w:t>财政购买劳务人员</w:t>
            </w:r>
          </w:p>
        </w:tc>
        <w:tc>
          <w:tcPr>
            <w:tcW w:w="540" w:type="dxa"/>
            <w:tcBorders>
              <w:top w:val="nil"/>
              <w:left w:val="nil"/>
              <w:bottom w:val="single" w:color="000000" w:sz="4" w:space="0"/>
              <w:right w:val="single" w:color="000000" w:sz="4" w:space="0"/>
            </w:tcBorders>
            <w:shd w:val="clear" w:color="auto" w:fill="auto"/>
            <w:vAlign w:val="center"/>
          </w:tcPr>
          <w:p>
            <w:pPr>
              <w:widowControl/>
              <w:jc w:val="left"/>
              <w:rPr>
                <w:rFonts w:ascii="宋体" w:hAnsi="宋体" w:eastAsia="宋体" w:cs="宋体"/>
                <w:color w:val="000000"/>
                <w:kern w:val="0"/>
                <w:sz w:val="16"/>
                <w:szCs w:val="16"/>
              </w:rPr>
            </w:pPr>
            <w:r>
              <w:rPr>
                <w:rFonts w:hint="eastAsia" w:ascii="宋体" w:hAnsi="宋体" w:eastAsia="宋体" w:cs="宋体"/>
                <w:color w:val="000000"/>
                <w:kern w:val="0"/>
                <w:sz w:val="16"/>
                <w:szCs w:val="16"/>
              </w:rPr>
              <w:t>≥</w:t>
            </w:r>
          </w:p>
        </w:tc>
        <w:tc>
          <w:tcPr>
            <w:tcW w:w="620" w:type="dxa"/>
            <w:tcBorders>
              <w:top w:val="nil"/>
              <w:left w:val="nil"/>
              <w:bottom w:val="single" w:color="000000" w:sz="4" w:space="0"/>
              <w:right w:val="single" w:color="000000" w:sz="4" w:space="0"/>
            </w:tcBorders>
            <w:shd w:val="clear" w:color="auto" w:fill="auto"/>
            <w:vAlign w:val="center"/>
          </w:tcPr>
          <w:p>
            <w:pPr>
              <w:widowControl/>
              <w:jc w:val="left"/>
              <w:rPr>
                <w:rFonts w:ascii="宋体" w:hAnsi="宋体" w:eastAsia="宋体" w:cs="宋体"/>
                <w:color w:val="000000"/>
                <w:kern w:val="0"/>
                <w:sz w:val="16"/>
                <w:szCs w:val="16"/>
              </w:rPr>
            </w:pPr>
            <w:r>
              <w:rPr>
                <w:rFonts w:hint="eastAsia" w:ascii="宋体" w:hAnsi="宋体" w:eastAsia="宋体" w:cs="宋体"/>
                <w:color w:val="000000"/>
                <w:kern w:val="0"/>
                <w:sz w:val="16"/>
                <w:szCs w:val="16"/>
              </w:rPr>
              <w:t>5</w:t>
            </w:r>
          </w:p>
        </w:tc>
        <w:tc>
          <w:tcPr>
            <w:tcW w:w="600" w:type="dxa"/>
            <w:tcBorders>
              <w:top w:val="nil"/>
              <w:left w:val="nil"/>
              <w:bottom w:val="single" w:color="000000" w:sz="4" w:space="0"/>
              <w:right w:val="single" w:color="000000" w:sz="4" w:space="0"/>
            </w:tcBorders>
            <w:shd w:val="clear" w:color="auto" w:fill="auto"/>
            <w:vAlign w:val="center"/>
          </w:tcPr>
          <w:p>
            <w:pPr>
              <w:widowControl/>
              <w:jc w:val="left"/>
              <w:rPr>
                <w:rFonts w:ascii="宋体" w:hAnsi="宋体" w:eastAsia="宋体" w:cs="宋体"/>
                <w:color w:val="000000"/>
                <w:kern w:val="0"/>
                <w:sz w:val="16"/>
                <w:szCs w:val="16"/>
              </w:rPr>
            </w:pPr>
            <w:r>
              <w:rPr>
                <w:rFonts w:hint="eastAsia" w:ascii="宋体" w:hAnsi="宋体" w:eastAsia="宋体" w:cs="宋体"/>
                <w:color w:val="000000"/>
                <w:kern w:val="0"/>
                <w:sz w:val="16"/>
                <w:szCs w:val="16"/>
              </w:rPr>
              <w:t>人</w:t>
            </w:r>
          </w:p>
        </w:tc>
        <w:tc>
          <w:tcPr>
            <w:tcW w:w="660" w:type="dxa"/>
            <w:tcBorders>
              <w:top w:val="nil"/>
              <w:left w:val="nil"/>
              <w:bottom w:val="single" w:color="000000" w:sz="4" w:space="0"/>
              <w:right w:val="single" w:color="000000" w:sz="4" w:space="0"/>
            </w:tcBorders>
            <w:shd w:val="clear" w:color="auto" w:fill="auto"/>
            <w:vAlign w:val="center"/>
          </w:tcPr>
          <w:p>
            <w:pPr>
              <w:widowControl/>
              <w:jc w:val="left"/>
              <w:rPr>
                <w:rFonts w:ascii="宋体" w:hAnsi="宋体" w:eastAsia="宋体" w:cs="宋体"/>
                <w:color w:val="000000"/>
                <w:kern w:val="0"/>
                <w:sz w:val="16"/>
                <w:szCs w:val="16"/>
              </w:rPr>
            </w:pPr>
            <w:r>
              <w:rPr>
                <w:rFonts w:hint="eastAsia" w:ascii="宋体" w:hAnsi="宋体" w:eastAsia="宋体" w:cs="宋体"/>
                <w:color w:val="000000"/>
                <w:kern w:val="0"/>
                <w:sz w:val="16"/>
                <w:szCs w:val="16"/>
              </w:rPr>
              <w:t>20</w:t>
            </w:r>
          </w:p>
        </w:tc>
        <w:tc>
          <w:tcPr>
            <w:tcW w:w="78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6"/>
                <w:szCs w:val="16"/>
              </w:rPr>
            </w:pPr>
            <w:r>
              <w:rPr>
                <w:rFonts w:hint="eastAsia" w:ascii="宋体" w:hAnsi="宋体" w:eastAsia="宋体" w:cs="宋体"/>
                <w:color w:val="000000"/>
                <w:kern w:val="0"/>
                <w:sz w:val="16"/>
                <w:szCs w:val="16"/>
              </w:rPr>
              <w:t>5</w:t>
            </w:r>
          </w:p>
        </w:tc>
      </w:tr>
      <w:tr>
        <w:tblPrEx>
          <w:tblCellMar>
            <w:top w:w="0" w:type="dxa"/>
            <w:left w:w="108" w:type="dxa"/>
            <w:bottom w:w="0" w:type="dxa"/>
            <w:right w:w="108" w:type="dxa"/>
          </w:tblCellMar>
        </w:tblPrEx>
        <w:trPr>
          <w:trHeight w:val="435" w:hRule="atLeast"/>
        </w:trPr>
        <w:tc>
          <w:tcPr>
            <w:tcW w:w="80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16"/>
                <w:szCs w:val="16"/>
              </w:rPr>
            </w:pPr>
          </w:p>
        </w:tc>
        <w:tc>
          <w:tcPr>
            <w:tcW w:w="940"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eastAsia="宋体" w:cs="宋体"/>
                <w:color w:val="000000"/>
                <w:kern w:val="0"/>
                <w:sz w:val="16"/>
                <w:szCs w:val="16"/>
              </w:rPr>
            </w:pPr>
          </w:p>
        </w:tc>
        <w:tc>
          <w:tcPr>
            <w:tcW w:w="1120" w:type="dxa"/>
            <w:vMerge w:val="continue"/>
            <w:tcBorders>
              <w:top w:val="nil"/>
              <w:left w:val="single" w:color="auto" w:sz="4" w:space="0"/>
              <w:bottom w:val="single" w:color="000000" w:sz="4" w:space="0"/>
              <w:right w:val="single" w:color="000000" w:sz="4" w:space="0"/>
            </w:tcBorders>
            <w:vAlign w:val="center"/>
          </w:tcPr>
          <w:p>
            <w:pPr>
              <w:widowControl/>
              <w:jc w:val="left"/>
              <w:rPr>
                <w:rFonts w:ascii="宋体" w:hAnsi="宋体" w:eastAsia="宋体" w:cs="宋体"/>
                <w:color w:val="000000"/>
                <w:kern w:val="0"/>
                <w:sz w:val="16"/>
                <w:szCs w:val="16"/>
              </w:rPr>
            </w:pPr>
          </w:p>
        </w:tc>
        <w:tc>
          <w:tcPr>
            <w:tcW w:w="2560" w:type="dxa"/>
            <w:tcBorders>
              <w:top w:val="nil"/>
              <w:left w:val="nil"/>
              <w:bottom w:val="single" w:color="000000" w:sz="4" w:space="0"/>
              <w:right w:val="single" w:color="000000" w:sz="4" w:space="0"/>
            </w:tcBorders>
            <w:shd w:val="clear" w:color="auto" w:fill="auto"/>
            <w:vAlign w:val="center"/>
          </w:tcPr>
          <w:p>
            <w:pPr>
              <w:widowControl/>
              <w:jc w:val="left"/>
              <w:rPr>
                <w:rFonts w:ascii="宋体" w:hAnsi="宋体" w:eastAsia="宋体" w:cs="宋体"/>
                <w:color w:val="000000"/>
                <w:kern w:val="0"/>
                <w:sz w:val="16"/>
                <w:szCs w:val="16"/>
              </w:rPr>
            </w:pPr>
            <w:r>
              <w:rPr>
                <w:rFonts w:hint="eastAsia" w:ascii="宋体" w:hAnsi="宋体" w:eastAsia="宋体" w:cs="宋体"/>
                <w:color w:val="000000"/>
                <w:kern w:val="0"/>
                <w:sz w:val="16"/>
                <w:szCs w:val="16"/>
              </w:rPr>
              <w:t>财政购买人员劳务费用支付执行</w:t>
            </w:r>
          </w:p>
        </w:tc>
        <w:tc>
          <w:tcPr>
            <w:tcW w:w="540" w:type="dxa"/>
            <w:tcBorders>
              <w:top w:val="nil"/>
              <w:left w:val="nil"/>
              <w:bottom w:val="single" w:color="000000" w:sz="4" w:space="0"/>
              <w:right w:val="single" w:color="000000" w:sz="4" w:space="0"/>
            </w:tcBorders>
            <w:shd w:val="clear" w:color="auto" w:fill="auto"/>
            <w:vAlign w:val="center"/>
          </w:tcPr>
          <w:p>
            <w:pPr>
              <w:widowControl/>
              <w:jc w:val="left"/>
              <w:rPr>
                <w:rFonts w:ascii="宋体" w:hAnsi="宋体" w:eastAsia="宋体" w:cs="宋体"/>
                <w:color w:val="000000"/>
                <w:kern w:val="0"/>
                <w:sz w:val="16"/>
                <w:szCs w:val="16"/>
              </w:rPr>
            </w:pPr>
            <w:r>
              <w:rPr>
                <w:rFonts w:hint="eastAsia" w:ascii="宋体" w:hAnsi="宋体" w:eastAsia="宋体" w:cs="宋体"/>
                <w:color w:val="000000"/>
                <w:kern w:val="0"/>
                <w:sz w:val="16"/>
                <w:szCs w:val="16"/>
              </w:rPr>
              <w:t>≥</w:t>
            </w:r>
          </w:p>
        </w:tc>
        <w:tc>
          <w:tcPr>
            <w:tcW w:w="620" w:type="dxa"/>
            <w:tcBorders>
              <w:top w:val="nil"/>
              <w:left w:val="nil"/>
              <w:bottom w:val="single" w:color="000000" w:sz="4" w:space="0"/>
              <w:right w:val="single" w:color="000000" w:sz="4" w:space="0"/>
            </w:tcBorders>
            <w:shd w:val="clear" w:color="auto" w:fill="auto"/>
            <w:vAlign w:val="center"/>
          </w:tcPr>
          <w:p>
            <w:pPr>
              <w:widowControl/>
              <w:jc w:val="left"/>
              <w:rPr>
                <w:rFonts w:ascii="宋体" w:hAnsi="宋体" w:eastAsia="宋体" w:cs="宋体"/>
                <w:color w:val="000000"/>
                <w:kern w:val="0"/>
                <w:sz w:val="16"/>
                <w:szCs w:val="16"/>
              </w:rPr>
            </w:pPr>
            <w:r>
              <w:rPr>
                <w:rFonts w:hint="eastAsia" w:ascii="宋体" w:hAnsi="宋体" w:eastAsia="宋体" w:cs="宋体"/>
                <w:color w:val="000000"/>
                <w:kern w:val="0"/>
                <w:sz w:val="16"/>
                <w:szCs w:val="16"/>
              </w:rPr>
              <w:t>1</w:t>
            </w:r>
          </w:p>
        </w:tc>
        <w:tc>
          <w:tcPr>
            <w:tcW w:w="600" w:type="dxa"/>
            <w:tcBorders>
              <w:top w:val="nil"/>
              <w:left w:val="nil"/>
              <w:bottom w:val="single" w:color="000000" w:sz="4" w:space="0"/>
              <w:right w:val="single" w:color="000000" w:sz="4" w:space="0"/>
            </w:tcBorders>
            <w:shd w:val="clear" w:color="auto" w:fill="auto"/>
            <w:vAlign w:val="center"/>
          </w:tcPr>
          <w:p>
            <w:pPr>
              <w:widowControl/>
              <w:jc w:val="left"/>
              <w:rPr>
                <w:rFonts w:ascii="宋体" w:hAnsi="宋体" w:eastAsia="宋体" w:cs="宋体"/>
                <w:color w:val="000000"/>
                <w:kern w:val="0"/>
                <w:sz w:val="16"/>
                <w:szCs w:val="16"/>
              </w:rPr>
            </w:pPr>
            <w:r>
              <w:rPr>
                <w:rFonts w:hint="eastAsia" w:ascii="宋体" w:hAnsi="宋体" w:eastAsia="宋体" w:cs="宋体"/>
                <w:color w:val="000000"/>
                <w:kern w:val="0"/>
                <w:sz w:val="16"/>
                <w:szCs w:val="16"/>
              </w:rPr>
              <w:t>月</w:t>
            </w:r>
          </w:p>
        </w:tc>
        <w:tc>
          <w:tcPr>
            <w:tcW w:w="660" w:type="dxa"/>
            <w:tcBorders>
              <w:top w:val="nil"/>
              <w:left w:val="nil"/>
              <w:bottom w:val="single" w:color="000000" w:sz="4" w:space="0"/>
              <w:right w:val="single" w:color="000000" w:sz="4" w:space="0"/>
            </w:tcBorders>
            <w:shd w:val="clear" w:color="auto" w:fill="auto"/>
            <w:vAlign w:val="center"/>
          </w:tcPr>
          <w:p>
            <w:pPr>
              <w:widowControl/>
              <w:jc w:val="left"/>
              <w:rPr>
                <w:rFonts w:ascii="宋体" w:hAnsi="宋体" w:eastAsia="宋体" w:cs="宋体"/>
                <w:color w:val="000000"/>
                <w:kern w:val="0"/>
                <w:sz w:val="16"/>
                <w:szCs w:val="16"/>
              </w:rPr>
            </w:pPr>
            <w:r>
              <w:rPr>
                <w:rFonts w:hint="eastAsia" w:ascii="宋体" w:hAnsi="宋体" w:eastAsia="宋体" w:cs="宋体"/>
                <w:color w:val="000000"/>
                <w:kern w:val="0"/>
                <w:sz w:val="16"/>
                <w:szCs w:val="16"/>
              </w:rPr>
              <w:t>20</w:t>
            </w:r>
          </w:p>
        </w:tc>
        <w:tc>
          <w:tcPr>
            <w:tcW w:w="78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6"/>
                <w:szCs w:val="16"/>
              </w:rPr>
            </w:pPr>
            <w:r>
              <w:rPr>
                <w:rFonts w:hint="eastAsia" w:ascii="宋体" w:hAnsi="宋体" w:eastAsia="宋体" w:cs="宋体"/>
                <w:color w:val="000000"/>
                <w:kern w:val="0"/>
                <w:sz w:val="16"/>
                <w:szCs w:val="16"/>
              </w:rPr>
              <w:t>100</w:t>
            </w:r>
          </w:p>
        </w:tc>
      </w:tr>
      <w:tr>
        <w:tblPrEx>
          <w:tblCellMar>
            <w:top w:w="0" w:type="dxa"/>
            <w:left w:w="108" w:type="dxa"/>
            <w:bottom w:w="0" w:type="dxa"/>
            <w:right w:w="108" w:type="dxa"/>
          </w:tblCellMar>
        </w:tblPrEx>
        <w:trPr>
          <w:trHeight w:val="435" w:hRule="atLeast"/>
        </w:trPr>
        <w:tc>
          <w:tcPr>
            <w:tcW w:w="80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16"/>
                <w:szCs w:val="16"/>
              </w:rPr>
            </w:pPr>
          </w:p>
        </w:tc>
        <w:tc>
          <w:tcPr>
            <w:tcW w:w="940"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eastAsia="宋体" w:cs="宋体"/>
                <w:color w:val="000000"/>
                <w:kern w:val="0"/>
                <w:sz w:val="16"/>
                <w:szCs w:val="16"/>
              </w:rPr>
            </w:pPr>
          </w:p>
        </w:tc>
        <w:tc>
          <w:tcPr>
            <w:tcW w:w="1120" w:type="dxa"/>
            <w:vMerge w:val="continue"/>
            <w:tcBorders>
              <w:top w:val="nil"/>
              <w:left w:val="single" w:color="auto" w:sz="4" w:space="0"/>
              <w:bottom w:val="single" w:color="000000" w:sz="4" w:space="0"/>
              <w:right w:val="single" w:color="000000" w:sz="4" w:space="0"/>
            </w:tcBorders>
            <w:vAlign w:val="center"/>
          </w:tcPr>
          <w:p>
            <w:pPr>
              <w:widowControl/>
              <w:jc w:val="left"/>
              <w:rPr>
                <w:rFonts w:ascii="宋体" w:hAnsi="宋体" w:eastAsia="宋体" w:cs="宋体"/>
                <w:color w:val="000000"/>
                <w:kern w:val="0"/>
                <w:sz w:val="16"/>
                <w:szCs w:val="16"/>
              </w:rPr>
            </w:pPr>
          </w:p>
        </w:tc>
        <w:tc>
          <w:tcPr>
            <w:tcW w:w="2560" w:type="dxa"/>
            <w:tcBorders>
              <w:top w:val="nil"/>
              <w:left w:val="nil"/>
              <w:bottom w:val="single" w:color="000000" w:sz="4" w:space="0"/>
              <w:right w:val="single" w:color="000000" w:sz="4" w:space="0"/>
            </w:tcBorders>
            <w:shd w:val="clear" w:color="auto" w:fill="auto"/>
            <w:vAlign w:val="center"/>
          </w:tcPr>
          <w:p>
            <w:pPr>
              <w:widowControl/>
              <w:jc w:val="left"/>
              <w:rPr>
                <w:rFonts w:ascii="宋体" w:hAnsi="宋体" w:eastAsia="宋体" w:cs="宋体"/>
                <w:color w:val="000000"/>
                <w:kern w:val="0"/>
                <w:sz w:val="16"/>
                <w:szCs w:val="16"/>
              </w:rPr>
            </w:pPr>
            <w:r>
              <w:rPr>
                <w:rFonts w:hint="eastAsia" w:ascii="宋体" w:hAnsi="宋体" w:eastAsia="宋体" w:cs="宋体"/>
                <w:color w:val="000000"/>
                <w:kern w:val="0"/>
                <w:sz w:val="16"/>
                <w:szCs w:val="16"/>
              </w:rPr>
              <w:t>公务用车运行维护、维修管理</w:t>
            </w:r>
          </w:p>
        </w:tc>
        <w:tc>
          <w:tcPr>
            <w:tcW w:w="540" w:type="dxa"/>
            <w:tcBorders>
              <w:top w:val="nil"/>
              <w:left w:val="nil"/>
              <w:bottom w:val="single" w:color="000000" w:sz="4" w:space="0"/>
              <w:right w:val="single" w:color="000000" w:sz="4" w:space="0"/>
            </w:tcBorders>
            <w:shd w:val="clear" w:color="auto" w:fill="auto"/>
            <w:vAlign w:val="center"/>
          </w:tcPr>
          <w:p>
            <w:pPr>
              <w:widowControl/>
              <w:jc w:val="left"/>
              <w:rPr>
                <w:rFonts w:ascii="宋体" w:hAnsi="宋体" w:eastAsia="宋体" w:cs="宋体"/>
                <w:color w:val="000000"/>
                <w:kern w:val="0"/>
                <w:sz w:val="16"/>
                <w:szCs w:val="16"/>
              </w:rPr>
            </w:pPr>
            <w:r>
              <w:rPr>
                <w:rFonts w:hint="eastAsia" w:ascii="宋体" w:hAnsi="宋体" w:eastAsia="宋体" w:cs="宋体"/>
                <w:color w:val="000000"/>
                <w:kern w:val="0"/>
                <w:sz w:val="16"/>
                <w:szCs w:val="16"/>
              </w:rPr>
              <w:t>＝</w:t>
            </w:r>
          </w:p>
        </w:tc>
        <w:tc>
          <w:tcPr>
            <w:tcW w:w="620" w:type="dxa"/>
            <w:tcBorders>
              <w:top w:val="nil"/>
              <w:left w:val="nil"/>
              <w:bottom w:val="single" w:color="000000" w:sz="4" w:space="0"/>
              <w:right w:val="single" w:color="000000" w:sz="4" w:space="0"/>
            </w:tcBorders>
            <w:shd w:val="clear" w:color="auto" w:fill="auto"/>
            <w:vAlign w:val="center"/>
          </w:tcPr>
          <w:p>
            <w:pPr>
              <w:widowControl/>
              <w:jc w:val="left"/>
              <w:rPr>
                <w:rFonts w:ascii="宋体" w:hAnsi="宋体" w:eastAsia="宋体" w:cs="宋体"/>
                <w:color w:val="000000"/>
                <w:kern w:val="0"/>
                <w:sz w:val="16"/>
                <w:szCs w:val="16"/>
              </w:rPr>
            </w:pPr>
            <w:r>
              <w:rPr>
                <w:rFonts w:hint="eastAsia" w:ascii="宋体" w:hAnsi="宋体" w:eastAsia="宋体" w:cs="宋体"/>
                <w:color w:val="000000"/>
                <w:kern w:val="0"/>
                <w:sz w:val="16"/>
                <w:szCs w:val="16"/>
              </w:rPr>
              <w:t>2</w:t>
            </w:r>
          </w:p>
        </w:tc>
        <w:tc>
          <w:tcPr>
            <w:tcW w:w="600" w:type="dxa"/>
            <w:tcBorders>
              <w:top w:val="nil"/>
              <w:left w:val="nil"/>
              <w:bottom w:val="single" w:color="000000" w:sz="4" w:space="0"/>
              <w:right w:val="single" w:color="000000" w:sz="4" w:space="0"/>
            </w:tcBorders>
            <w:shd w:val="clear" w:color="auto" w:fill="auto"/>
            <w:vAlign w:val="center"/>
          </w:tcPr>
          <w:p>
            <w:pPr>
              <w:widowControl/>
              <w:jc w:val="left"/>
              <w:rPr>
                <w:rFonts w:ascii="宋体" w:hAnsi="宋体" w:eastAsia="宋体" w:cs="宋体"/>
                <w:color w:val="000000"/>
                <w:kern w:val="0"/>
                <w:sz w:val="16"/>
                <w:szCs w:val="16"/>
              </w:rPr>
            </w:pPr>
            <w:r>
              <w:rPr>
                <w:rFonts w:hint="eastAsia" w:ascii="宋体" w:hAnsi="宋体" w:eastAsia="宋体" w:cs="宋体"/>
                <w:color w:val="000000"/>
                <w:kern w:val="0"/>
                <w:sz w:val="16"/>
                <w:szCs w:val="16"/>
              </w:rPr>
              <w:t>辆</w:t>
            </w:r>
          </w:p>
        </w:tc>
        <w:tc>
          <w:tcPr>
            <w:tcW w:w="660" w:type="dxa"/>
            <w:tcBorders>
              <w:top w:val="nil"/>
              <w:left w:val="nil"/>
              <w:bottom w:val="single" w:color="000000" w:sz="4" w:space="0"/>
              <w:right w:val="single" w:color="000000" w:sz="4" w:space="0"/>
            </w:tcBorders>
            <w:shd w:val="clear" w:color="auto" w:fill="auto"/>
            <w:vAlign w:val="center"/>
          </w:tcPr>
          <w:p>
            <w:pPr>
              <w:widowControl/>
              <w:jc w:val="left"/>
              <w:rPr>
                <w:rFonts w:ascii="宋体" w:hAnsi="宋体" w:eastAsia="宋体" w:cs="宋体"/>
                <w:color w:val="000000"/>
                <w:kern w:val="0"/>
                <w:sz w:val="16"/>
                <w:szCs w:val="16"/>
              </w:rPr>
            </w:pPr>
            <w:r>
              <w:rPr>
                <w:rFonts w:hint="eastAsia" w:ascii="宋体" w:hAnsi="宋体" w:eastAsia="宋体" w:cs="宋体"/>
                <w:color w:val="000000"/>
                <w:kern w:val="0"/>
                <w:sz w:val="16"/>
                <w:szCs w:val="16"/>
              </w:rPr>
              <w:t>20</w:t>
            </w:r>
          </w:p>
        </w:tc>
        <w:tc>
          <w:tcPr>
            <w:tcW w:w="78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6"/>
                <w:szCs w:val="16"/>
              </w:rPr>
            </w:pPr>
            <w:r>
              <w:rPr>
                <w:rFonts w:hint="eastAsia" w:ascii="宋体" w:hAnsi="宋体" w:eastAsia="宋体" w:cs="宋体"/>
                <w:color w:val="000000"/>
                <w:kern w:val="0"/>
                <w:sz w:val="16"/>
                <w:szCs w:val="16"/>
              </w:rPr>
              <w:t>2</w:t>
            </w:r>
          </w:p>
        </w:tc>
      </w:tr>
      <w:tr>
        <w:tblPrEx>
          <w:tblCellMar>
            <w:top w:w="0" w:type="dxa"/>
            <w:left w:w="108" w:type="dxa"/>
            <w:bottom w:w="0" w:type="dxa"/>
            <w:right w:w="108" w:type="dxa"/>
          </w:tblCellMar>
        </w:tblPrEx>
        <w:trPr>
          <w:trHeight w:val="435" w:hRule="atLeast"/>
        </w:trPr>
        <w:tc>
          <w:tcPr>
            <w:tcW w:w="80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16"/>
                <w:szCs w:val="16"/>
              </w:rPr>
            </w:pPr>
          </w:p>
        </w:tc>
        <w:tc>
          <w:tcPr>
            <w:tcW w:w="940"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eastAsia="宋体" w:cs="宋体"/>
                <w:color w:val="000000"/>
                <w:kern w:val="0"/>
                <w:sz w:val="16"/>
                <w:szCs w:val="16"/>
              </w:rPr>
            </w:pPr>
          </w:p>
        </w:tc>
        <w:tc>
          <w:tcPr>
            <w:tcW w:w="1120" w:type="dxa"/>
            <w:vMerge w:val="restart"/>
            <w:tcBorders>
              <w:top w:val="nil"/>
              <w:left w:val="single" w:color="auto" w:sz="4" w:space="0"/>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6"/>
                <w:szCs w:val="16"/>
              </w:rPr>
            </w:pPr>
            <w:r>
              <w:rPr>
                <w:rFonts w:hint="eastAsia" w:ascii="宋体" w:hAnsi="宋体" w:eastAsia="宋体" w:cs="宋体"/>
                <w:color w:val="000000"/>
                <w:kern w:val="0"/>
                <w:sz w:val="16"/>
                <w:szCs w:val="16"/>
              </w:rPr>
              <w:t>质量指标</w:t>
            </w:r>
          </w:p>
        </w:tc>
        <w:tc>
          <w:tcPr>
            <w:tcW w:w="2560" w:type="dxa"/>
            <w:tcBorders>
              <w:top w:val="nil"/>
              <w:left w:val="nil"/>
              <w:bottom w:val="single" w:color="000000" w:sz="4" w:space="0"/>
              <w:right w:val="single" w:color="000000" w:sz="4" w:space="0"/>
            </w:tcBorders>
            <w:shd w:val="clear" w:color="auto" w:fill="auto"/>
            <w:vAlign w:val="center"/>
          </w:tcPr>
          <w:p>
            <w:pPr>
              <w:widowControl/>
              <w:jc w:val="left"/>
              <w:rPr>
                <w:rFonts w:ascii="宋体" w:hAnsi="宋体" w:eastAsia="宋体" w:cs="宋体"/>
                <w:color w:val="000000"/>
                <w:kern w:val="0"/>
                <w:sz w:val="16"/>
                <w:szCs w:val="16"/>
              </w:rPr>
            </w:pPr>
            <w:r>
              <w:rPr>
                <w:rFonts w:hint="eastAsia" w:ascii="宋体" w:hAnsi="宋体" w:eastAsia="宋体" w:cs="宋体"/>
                <w:color w:val="000000"/>
                <w:kern w:val="0"/>
                <w:sz w:val="16"/>
                <w:szCs w:val="16"/>
              </w:rPr>
              <w:t>保证机构正常运转</w:t>
            </w:r>
          </w:p>
        </w:tc>
        <w:tc>
          <w:tcPr>
            <w:tcW w:w="540" w:type="dxa"/>
            <w:tcBorders>
              <w:top w:val="nil"/>
              <w:left w:val="nil"/>
              <w:bottom w:val="single" w:color="000000" w:sz="4" w:space="0"/>
              <w:right w:val="single" w:color="000000" w:sz="4" w:space="0"/>
            </w:tcBorders>
            <w:shd w:val="clear" w:color="auto" w:fill="auto"/>
            <w:vAlign w:val="center"/>
          </w:tcPr>
          <w:p>
            <w:pPr>
              <w:widowControl/>
              <w:jc w:val="left"/>
              <w:rPr>
                <w:rFonts w:ascii="宋体" w:hAnsi="宋体" w:eastAsia="宋体" w:cs="宋体"/>
                <w:color w:val="000000"/>
                <w:kern w:val="0"/>
                <w:sz w:val="16"/>
                <w:szCs w:val="16"/>
              </w:rPr>
            </w:pPr>
            <w:r>
              <w:rPr>
                <w:rFonts w:hint="eastAsia" w:ascii="宋体" w:hAnsi="宋体" w:eastAsia="宋体" w:cs="宋体"/>
                <w:color w:val="000000"/>
                <w:kern w:val="0"/>
                <w:sz w:val="16"/>
                <w:szCs w:val="16"/>
              </w:rPr>
              <w:t>≥</w:t>
            </w:r>
          </w:p>
        </w:tc>
        <w:tc>
          <w:tcPr>
            <w:tcW w:w="620" w:type="dxa"/>
            <w:tcBorders>
              <w:top w:val="nil"/>
              <w:left w:val="nil"/>
              <w:bottom w:val="single" w:color="000000" w:sz="4" w:space="0"/>
              <w:right w:val="single" w:color="000000" w:sz="4" w:space="0"/>
            </w:tcBorders>
            <w:shd w:val="clear" w:color="auto" w:fill="auto"/>
            <w:vAlign w:val="center"/>
          </w:tcPr>
          <w:p>
            <w:pPr>
              <w:widowControl/>
              <w:jc w:val="left"/>
              <w:rPr>
                <w:rFonts w:ascii="宋体" w:hAnsi="宋体" w:eastAsia="宋体" w:cs="宋体"/>
                <w:color w:val="000000"/>
                <w:kern w:val="0"/>
                <w:sz w:val="16"/>
                <w:szCs w:val="16"/>
              </w:rPr>
            </w:pPr>
            <w:r>
              <w:rPr>
                <w:rFonts w:hint="eastAsia" w:ascii="宋体" w:hAnsi="宋体" w:eastAsia="宋体" w:cs="宋体"/>
                <w:color w:val="000000"/>
                <w:kern w:val="0"/>
                <w:sz w:val="16"/>
                <w:szCs w:val="16"/>
              </w:rPr>
              <w:t>100</w:t>
            </w:r>
          </w:p>
        </w:tc>
        <w:tc>
          <w:tcPr>
            <w:tcW w:w="600" w:type="dxa"/>
            <w:tcBorders>
              <w:top w:val="nil"/>
              <w:left w:val="nil"/>
              <w:bottom w:val="single" w:color="000000" w:sz="4" w:space="0"/>
              <w:right w:val="single" w:color="000000" w:sz="4" w:space="0"/>
            </w:tcBorders>
            <w:shd w:val="clear" w:color="auto" w:fill="auto"/>
            <w:vAlign w:val="center"/>
          </w:tcPr>
          <w:p>
            <w:pPr>
              <w:widowControl/>
              <w:jc w:val="left"/>
              <w:rPr>
                <w:rFonts w:ascii="宋体" w:hAnsi="宋体" w:eastAsia="宋体" w:cs="宋体"/>
                <w:color w:val="000000"/>
                <w:kern w:val="0"/>
                <w:sz w:val="16"/>
                <w:szCs w:val="16"/>
              </w:rPr>
            </w:pPr>
            <w:r>
              <w:rPr>
                <w:rFonts w:hint="eastAsia" w:ascii="宋体" w:hAnsi="宋体" w:eastAsia="宋体" w:cs="宋体"/>
                <w:color w:val="000000"/>
                <w:kern w:val="0"/>
                <w:sz w:val="16"/>
                <w:szCs w:val="16"/>
              </w:rPr>
              <w:t>%</w:t>
            </w:r>
          </w:p>
        </w:tc>
        <w:tc>
          <w:tcPr>
            <w:tcW w:w="660" w:type="dxa"/>
            <w:tcBorders>
              <w:top w:val="nil"/>
              <w:left w:val="nil"/>
              <w:bottom w:val="single" w:color="000000" w:sz="4" w:space="0"/>
              <w:right w:val="single" w:color="000000" w:sz="4" w:space="0"/>
            </w:tcBorders>
            <w:shd w:val="clear" w:color="auto" w:fill="auto"/>
            <w:vAlign w:val="center"/>
          </w:tcPr>
          <w:p>
            <w:pPr>
              <w:widowControl/>
              <w:jc w:val="left"/>
              <w:rPr>
                <w:rFonts w:ascii="宋体" w:hAnsi="宋体" w:eastAsia="宋体" w:cs="宋体"/>
                <w:color w:val="000000"/>
                <w:kern w:val="0"/>
                <w:sz w:val="16"/>
                <w:szCs w:val="16"/>
              </w:rPr>
            </w:pPr>
            <w:r>
              <w:rPr>
                <w:rFonts w:hint="eastAsia" w:ascii="宋体" w:hAnsi="宋体" w:eastAsia="宋体" w:cs="宋体"/>
                <w:color w:val="000000"/>
                <w:kern w:val="0"/>
                <w:sz w:val="16"/>
                <w:szCs w:val="16"/>
              </w:rPr>
              <w:t>20</w:t>
            </w:r>
          </w:p>
        </w:tc>
        <w:tc>
          <w:tcPr>
            <w:tcW w:w="78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6"/>
                <w:szCs w:val="16"/>
              </w:rPr>
            </w:pPr>
            <w:r>
              <w:rPr>
                <w:rFonts w:hint="eastAsia" w:ascii="宋体" w:hAnsi="宋体" w:eastAsia="宋体" w:cs="宋体"/>
                <w:color w:val="000000"/>
                <w:kern w:val="0"/>
                <w:sz w:val="16"/>
                <w:szCs w:val="16"/>
              </w:rPr>
              <w:t>100</w:t>
            </w:r>
          </w:p>
        </w:tc>
      </w:tr>
      <w:tr>
        <w:tblPrEx>
          <w:tblCellMar>
            <w:top w:w="0" w:type="dxa"/>
            <w:left w:w="108" w:type="dxa"/>
            <w:bottom w:w="0" w:type="dxa"/>
            <w:right w:w="108" w:type="dxa"/>
          </w:tblCellMar>
        </w:tblPrEx>
        <w:trPr>
          <w:trHeight w:val="435" w:hRule="atLeast"/>
        </w:trPr>
        <w:tc>
          <w:tcPr>
            <w:tcW w:w="80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16"/>
                <w:szCs w:val="16"/>
              </w:rPr>
            </w:pPr>
          </w:p>
        </w:tc>
        <w:tc>
          <w:tcPr>
            <w:tcW w:w="940"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eastAsia="宋体" w:cs="宋体"/>
                <w:color w:val="000000"/>
                <w:kern w:val="0"/>
                <w:sz w:val="16"/>
                <w:szCs w:val="16"/>
              </w:rPr>
            </w:pPr>
          </w:p>
        </w:tc>
        <w:tc>
          <w:tcPr>
            <w:tcW w:w="1120" w:type="dxa"/>
            <w:vMerge w:val="continue"/>
            <w:tcBorders>
              <w:top w:val="nil"/>
              <w:left w:val="single" w:color="auto" w:sz="4" w:space="0"/>
              <w:bottom w:val="single" w:color="000000" w:sz="4" w:space="0"/>
              <w:right w:val="single" w:color="000000" w:sz="4" w:space="0"/>
            </w:tcBorders>
            <w:vAlign w:val="center"/>
          </w:tcPr>
          <w:p>
            <w:pPr>
              <w:widowControl/>
              <w:jc w:val="left"/>
              <w:rPr>
                <w:rFonts w:ascii="宋体" w:hAnsi="宋体" w:eastAsia="宋体" w:cs="宋体"/>
                <w:color w:val="000000"/>
                <w:kern w:val="0"/>
                <w:sz w:val="16"/>
                <w:szCs w:val="16"/>
              </w:rPr>
            </w:pPr>
          </w:p>
        </w:tc>
        <w:tc>
          <w:tcPr>
            <w:tcW w:w="2560" w:type="dxa"/>
            <w:tcBorders>
              <w:top w:val="nil"/>
              <w:left w:val="nil"/>
              <w:bottom w:val="single" w:color="000000" w:sz="4" w:space="0"/>
              <w:right w:val="single" w:color="000000" w:sz="4" w:space="0"/>
            </w:tcBorders>
            <w:shd w:val="clear" w:color="auto" w:fill="auto"/>
            <w:vAlign w:val="center"/>
          </w:tcPr>
          <w:p>
            <w:pPr>
              <w:widowControl/>
              <w:jc w:val="left"/>
              <w:rPr>
                <w:rFonts w:ascii="宋体" w:hAnsi="宋体" w:eastAsia="宋体" w:cs="宋体"/>
                <w:color w:val="000000"/>
                <w:kern w:val="0"/>
                <w:sz w:val="16"/>
                <w:szCs w:val="16"/>
              </w:rPr>
            </w:pPr>
            <w:r>
              <w:rPr>
                <w:rFonts w:hint="eastAsia" w:ascii="宋体" w:hAnsi="宋体" w:eastAsia="宋体" w:cs="宋体"/>
                <w:color w:val="000000"/>
                <w:kern w:val="0"/>
                <w:sz w:val="16"/>
                <w:szCs w:val="16"/>
              </w:rPr>
              <w:t>预算执行率</w:t>
            </w:r>
          </w:p>
        </w:tc>
        <w:tc>
          <w:tcPr>
            <w:tcW w:w="540" w:type="dxa"/>
            <w:tcBorders>
              <w:top w:val="nil"/>
              <w:left w:val="nil"/>
              <w:bottom w:val="single" w:color="000000" w:sz="4" w:space="0"/>
              <w:right w:val="single" w:color="000000" w:sz="4" w:space="0"/>
            </w:tcBorders>
            <w:shd w:val="clear" w:color="auto" w:fill="auto"/>
            <w:vAlign w:val="center"/>
          </w:tcPr>
          <w:p>
            <w:pPr>
              <w:widowControl/>
              <w:jc w:val="left"/>
              <w:rPr>
                <w:rFonts w:ascii="宋体" w:hAnsi="宋体" w:eastAsia="宋体" w:cs="宋体"/>
                <w:color w:val="000000"/>
                <w:kern w:val="0"/>
                <w:sz w:val="16"/>
                <w:szCs w:val="16"/>
              </w:rPr>
            </w:pPr>
            <w:r>
              <w:rPr>
                <w:rFonts w:hint="eastAsia" w:ascii="宋体" w:hAnsi="宋体" w:eastAsia="宋体" w:cs="宋体"/>
                <w:color w:val="000000"/>
                <w:kern w:val="0"/>
                <w:sz w:val="16"/>
                <w:szCs w:val="16"/>
              </w:rPr>
              <w:t>≥</w:t>
            </w:r>
          </w:p>
        </w:tc>
        <w:tc>
          <w:tcPr>
            <w:tcW w:w="620" w:type="dxa"/>
            <w:tcBorders>
              <w:top w:val="nil"/>
              <w:left w:val="nil"/>
              <w:bottom w:val="single" w:color="000000" w:sz="4" w:space="0"/>
              <w:right w:val="single" w:color="000000" w:sz="4" w:space="0"/>
            </w:tcBorders>
            <w:shd w:val="clear" w:color="auto" w:fill="auto"/>
            <w:vAlign w:val="center"/>
          </w:tcPr>
          <w:p>
            <w:pPr>
              <w:widowControl/>
              <w:jc w:val="left"/>
              <w:rPr>
                <w:rFonts w:ascii="宋体" w:hAnsi="宋体" w:eastAsia="宋体" w:cs="宋体"/>
                <w:color w:val="000000"/>
                <w:kern w:val="0"/>
                <w:sz w:val="16"/>
                <w:szCs w:val="16"/>
              </w:rPr>
            </w:pPr>
            <w:r>
              <w:rPr>
                <w:rFonts w:hint="eastAsia" w:ascii="宋体" w:hAnsi="宋体" w:eastAsia="宋体" w:cs="宋体"/>
                <w:color w:val="000000"/>
                <w:kern w:val="0"/>
                <w:sz w:val="16"/>
                <w:szCs w:val="16"/>
              </w:rPr>
              <w:t>95</w:t>
            </w:r>
          </w:p>
        </w:tc>
        <w:tc>
          <w:tcPr>
            <w:tcW w:w="600" w:type="dxa"/>
            <w:tcBorders>
              <w:top w:val="nil"/>
              <w:left w:val="nil"/>
              <w:bottom w:val="single" w:color="000000" w:sz="4" w:space="0"/>
              <w:right w:val="single" w:color="000000" w:sz="4" w:space="0"/>
            </w:tcBorders>
            <w:shd w:val="clear" w:color="auto" w:fill="auto"/>
            <w:vAlign w:val="center"/>
          </w:tcPr>
          <w:p>
            <w:pPr>
              <w:widowControl/>
              <w:jc w:val="left"/>
              <w:rPr>
                <w:rFonts w:ascii="宋体" w:hAnsi="宋体" w:eastAsia="宋体" w:cs="宋体"/>
                <w:color w:val="000000"/>
                <w:kern w:val="0"/>
                <w:sz w:val="16"/>
                <w:szCs w:val="16"/>
              </w:rPr>
            </w:pPr>
            <w:r>
              <w:rPr>
                <w:rFonts w:hint="eastAsia" w:ascii="宋体" w:hAnsi="宋体" w:eastAsia="宋体" w:cs="宋体"/>
                <w:color w:val="000000"/>
                <w:kern w:val="0"/>
                <w:sz w:val="16"/>
                <w:szCs w:val="16"/>
              </w:rPr>
              <w:t>%</w:t>
            </w:r>
          </w:p>
        </w:tc>
        <w:tc>
          <w:tcPr>
            <w:tcW w:w="660" w:type="dxa"/>
            <w:tcBorders>
              <w:top w:val="nil"/>
              <w:left w:val="nil"/>
              <w:bottom w:val="single" w:color="000000" w:sz="4" w:space="0"/>
              <w:right w:val="single" w:color="000000" w:sz="4" w:space="0"/>
            </w:tcBorders>
            <w:shd w:val="clear" w:color="auto" w:fill="auto"/>
            <w:vAlign w:val="center"/>
          </w:tcPr>
          <w:p>
            <w:pPr>
              <w:widowControl/>
              <w:jc w:val="left"/>
              <w:rPr>
                <w:rFonts w:ascii="宋体" w:hAnsi="宋体" w:eastAsia="宋体" w:cs="宋体"/>
                <w:color w:val="000000"/>
                <w:kern w:val="0"/>
                <w:sz w:val="16"/>
                <w:szCs w:val="16"/>
              </w:rPr>
            </w:pPr>
            <w:r>
              <w:rPr>
                <w:rFonts w:hint="eastAsia" w:ascii="宋体" w:hAnsi="宋体" w:eastAsia="宋体" w:cs="宋体"/>
                <w:color w:val="000000"/>
                <w:kern w:val="0"/>
                <w:sz w:val="16"/>
                <w:szCs w:val="16"/>
              </w:rPr>
              <w:t>20</w:t>
            </w:r>
          </w:p>
        </w:tc>
        <w:tc>
          <w:tcPr>
            <w:tcW w:w="78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6"/>
                <w:szCs w:val="16"/>
              </w:rPr>
            </w:pPr>
            <w:r>
              <w:rPr>
                <w:rFonts w:hint="eastAsia" w:ascii="宋体" w:hAnsi="宋体" w:eastAsia="宋体" w:cs="宋体"/>
                <w:color w:val="000000"/>
                <w:kern w:val="0"/>
                <w:sz w:val="16"/>
                <w:szCs w:val="16"/>
              </w:rPr>
              <w:t>95</w:t>
            </w:r>
          </w:p>
        </w:tc>
      </w:tr>
      <w:tr>
        <w:tblPrEx>
          <w:tblCellMar>
            <w:top w:w="0" w:type="dxa"/>
            <w:left w:w="108" w:type="dxa"/>
            <w:bottom w:w="0" w:type="dxa"/>
            <w:right w:w="108" w:type="dxa"/>
          </w:tblCellMar>
        </w:tblPrEx>
        <w:trPr>
          <w:trHeight w:val="435" w:hRule="atLeast"/>
        </w:trPr>
        <w:tc>
          <w:tcPr>
            <w:tcW w:w="80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16"/>
                <w:szCs w:val="16"/>
              </w:rPr>
            </w:pPr>
          </w:p>
        </w:tc>
        <w:tc>
          <w:tcPr>
            <w:tcW w:w="940"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eastAsia="宋体" w:cs="宋体"/>
                <w:color w:val="000000"/>
                <w:kern w:val="0"/>
                <w:sz w:val="16"/>
                <w:szCs w:val="16"/>
              </w:rPr>
            </w:pPr>
          </w:p>
        </w:tc>
        <w:tc>
          <w:tcPr>
            <w:tcW w:w="1120"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ascii="宋体" w:hAnsi="宋体" w:eastAsia="宋体" w:cs="宋体"/>
                <w:color w:val="000000"/>
                <w:kern w:val="0"/>
                <w:sz w:val="16"/>
                <w:szCs w:val="16"/>
              </w:rPr>
            </w:pPr>
            <w:r>
              <w:rPr>
                <w:rFonts w:hint="eastAsia" w:ascii="宋体" w:hAnsi="宋体" w:eastAsia="宋体" w:cs="宋体"/>
                <w:color w:val="000000"/>
                <w:kern w:val="0"/>
                <w:sz w:val="16"/>
                <w:szCs w:val="16"/>
              </w:rPr>
              <w:t>时效指标</w:t>
            </w:r>
          </w:p>
        </w:tc>
        <w:tc>
          <w:tcPr>
            <w:tcW w:w="2560" w:type="dxa"/>
            <w:tcBorders>
              <w:top w:val="nil"/>
              <w:left w:val="single" w:color="000000" w:sz="4" w:space="0"/>
              <w:bottom w:val="single" w:color="000000" w:sz="4" w:space="0"/>
              <w:right w:val="single" w:color="000000" w:sz="4" w:space="0"/>
            </w:tcBorders>
            <w:shd w:val="clear" w:color="auto" w:fill="auto"/>
            <w:vAlign w:val="center"/>
          </w:tcPr>
          <w:p>
            <w:pPr>
              <w:widowControl/>
              <w:jc w:val="left"/>
              <w:rPr>
                <w:rFonts w:ascii="宋体" w:hAnsi="宋体" w:eastAsia="宋体" w:cs="宋体"/>
                <w:color w:val="000000"/>
                <w:kern w:val="0"/>
                <w:sz w:val="16"/>
                <w:szCs w:val="16"/>
              </w:rPr>
            </w:pPr>
            <w:r>
              <w:rPr>
                <w:rFonts w:hint="eastAsia" w:ascii="宋体" w:hAnsi="宋体" w:eastAsia="宋体" w:cs="宋体"/>
                <w:color w:val="000000"/>
                <w:kern w:val="0"/>
                <w:sz w:val="16"/>
                <w:szCs w:val="16"/>
              </w:rPr>
              <w:t>年度预算、决算公开率</w:t>
            </w:r>
          </w:p>
        </w:tc>
        <w:tc>
          <w:tcPr>
            <w:tcW w:w="540" w:type="dxa"/>
            <w:tcBorders>
              <w:top w:val="nil"/>
              <w:left w:val="nil"/>
              <w:bottom w:val="single" w:color="000000" w:sz="4" w:space="0"/>
              <w:right w:val="single" w:color="000000" w:sz="4" w:space="0"/>
            </w:tcBorders>
            <w:shd w:val="clear" w:color="auto" w:fill="auto"/>
            <w:vAlign w:val="center"/>
          </w:tcPr>
          <w:p>
            <w:pPr>
              <w:widowControl/>
              <w:jc w:val="left"/>
              <w:rPr>
                <w:rFonts w:ascii="宋体" w:hAnsi="宋体" w:eastAsia="宋体" w:cs="宋体"/>
                <w:color w:val="000000"/>
                <w:kern w:val="0"/>
                <w:sz w:val="16"/>
                <w:szCs w:val="16"/>
              </w:rPr>
            </w:pPr>
            <w:r>
              <w:rPr>
                <w:rFonts w:hint="eastAsia" w:ascii="宋体" w:hAnsi="宋体" w:eastAsia="宋体" w:cs="宋体"/>
                <w:color w:val="000000"/>
                <w:kern w:val="0"/>
                <w:sz w:val="16"/>
                <w:szCs w:val="16"/>
              </w:rPr>
              <w:t>≥</w:t>
            </w:r>
          </w:p>
        </w:tc>
        <w:tc>
          <w:tcPr>
            <w:tcW w:w="620" w:type="dxa"/>
            <w:tcBorders>
              <w:top w:val="nil"/>
              <w:left w:val="nil"/>
              <w:bottom w:val="single" w:color="000000" w:sz="4" w:space="0"/>
              <w:right w:val="single" w:color="000000" w:sz="4" w:space="0"/>
            </w:tcBorders>
            <w:shd w:val="clear" w:color="auto" w:fill="auto"/>
            <w:vAlign w:val="center"/>
          </w:tcPr>
          <w:p>
            <w:pPr>
              <w:widowControl/>
              <w:jc w:val="left"/>
              <w:rPr>
                <w:rFonts w:ascii="宋体" w:hAnsi="宋体" w:eastAsia="宋体" w:cs="宋体"/>
                <w:color w:val="000000"/>
                <w:kern w:val="0"/>
                <w:sz w:val="16"/>
                <w:szCs w:val="16"/>
              </w:rPr>
            </w:pPr>
            <w:r>
              <w:rPr>
                <w:rFonts w:hint="eastAsia" w:ascii="宋体" w:hAnsi="宋体" w:eastAsia="宋体" w:cs="宋体"/>
                <w:color w:val="000000"/>
                <w:kern w:val="0"/>
                <w:sz w:val="16"/>
                <w:szCs w:val="16"/>
              </w:rPr>
              <w:t>2</w:t>
            </w:r>
          </w:p>
        </w:tc>
        <w:tc>
          <w:tcPr>
            <w:tcW w:w="600" w:type="dxa"/>
            <w:tcBorders>
              <w:top w:val="nil"/>
              <w:left w:val="nil"/>
              <w:bottom w:val="single" w:color="000000" w:sz="4" w:space="0"/>
              <w:right w:val="single" w:color="000000" w:sz="4" w:space="0"/>
            </w:tcBorders>
            <w:shd w:val="clear" w:color="auto" w:fill="auto"/>
            <w:vAlign w:val="center"/>
          </w:tcPr>
          <w:p>
            <w:pPr>
              <w:widowControl/>
              <w:jc w:val="left"/>
              <w:rPr>
                <w:rFonts w:ascii="宋体" w:hAnsi="宋体" w:eastAsia="宋体" w:cs="宋体"/>
                <w:color w:val="000000"/>
                <w:kern w:val="0"/>
                <w:sz w:val="16"/>
                <w:szCs w:val="16"/>
              </w:rPr>
            </w:pPr>
            <w:r>
              <w:rPr>
                <w:rFonts w:hint="eastAsia" w:ascii="宋体" w:hAnsi="宋体" w:eastAsia="宋体" w:cs="宋体"/>
                <w:color w:val="000000"/>
                <w:kern w:val="0"/>
                <w:sz w:val="16"/>
                <w:szCs w:val="16"/>
              </w:rPr>
              <w:t>次</w:t>
            </w:r>
          </w:p>
        </w:tc>
        <w:tc>
          <w:tcPr>
            <w:tcW w:w="660" w:type="dxa"/>
            <w:tcBorders>
              <w:top w:val="nil"/>
              <w:left w:val="nil"/>
              <w:bottom w:val="single" w:color="000000" w:sz="4" w:space="0"/>
              <w:right w:val="single" w:color="000000" w:sz="4" w:space="0"/>
            </w:tcBorders>
            <w:shd w:val="clear" w:color="auto" w:fill="auto"/>
            <w:vAlign w:val="center"/>
          </w:tcPr>
          <w:p>
            <w:pPr>
              <w:widowControl/>
              <w:jc w:val="left"/>
              <w:rPr>
                <w:rFonts w:ascii="宋体" w:hAnsi="宋体" w:eastAsia="宋体" w:cs="宋体"/>
                <w:color w:val="000000"/>
                <w:kern w:val="0"/>
                <w:sz w:val="16"/>
                <w:szCs w:val="16"/>
              </w:rPr>
            </w:pPr>
            <w:r>
              <w:rPr>
                <w:rFonts w:hint="eastAsia" w:ascii="宋体" w:hAnsi="宋体" w:eastAsia="宋体" w:cs="宋体"/>
                <w:color w:val="000000"/>
                <w:kern w:val="0"/>
                <w:sz w:val="16"/>
                <w:szCs w:val="16"/>
              </w:rPr>
              <w:t>20</w:t>
            </w:r>
          </w:p>
        </w:tc>
        <w:tc>
          <w:tcPr>
            <w:tcW w:w="78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6"/>
                <w:szCs w:val="16"/>
              </w:rPr>
            </w:pPr>
            <w:r>
              <w:rPr>
                <w:rFonts w:hint="eastAsia" w:ascii="宋体" w:hAnsi="宋体" w:eastAsia="宋体" w:cs="宋体"/>
                <w:color w:val="000000"/>
                <w:kern w:val="0"/>
                <w:sz w:val="16"/>
                <w:szCs w:val="16"/>
              </w:rPr>
              <w:t>2</w:t>
            </w:r>
          </w:p>
        </w:tc>
      </w:tr>
      <w:tr>
        <w:tblPrEx>
          <w:tblCellMar>
            <w:top w:w="0" w:type="dxa"/>
            <w:left w:w="108" w:type="dxa"/>
            <w:bottom w:w="0" w:type="dxa"/>
            <w:right w:w="108" w:type="dxa"/>
          </w:tblCellMar>
        </w:tblPrEx>
        <w:trPr>
          <w:trHeight w:val="435" w:hRule="atLeast"/>
        </w:trPr>
        <w:tc>
          <w:tcPr>
            <w:tcW w:w="80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16"/>
                <w:szCs w:val="16"/>
              </w:rPr>
            </w:pPr>
          </w:p>
        </w:tc>
        <w:tc>
          <w:tcPr>
            <w:tcW w:w="940"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eastAsia="宋体" w:cs="宋体"/>
                <w:color w:val="000000"/>
                <w:kern w:val="0"/>
                <w:sz w:val="16"/>
                <w:szCs w:val="16"/>
              </w:rPr>
            </w:pPr>
          </w:p>
        </w:tc>
        <w:tc>
          <w:tcPr>
            <w:tcW w:w="1120"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eastAsia="宋体" w:cs="宋体"/>
                <w:color w:val="000000"/>
                <w:kern w:val="0"/>
                <w:sz w:val="16"/>
                <w:szCs w:val="16"/>
              </w:rPr>
            </w:pPr>
          </w:p>
        </w:tc>
        <w:tc>
          <w:tcPr>
            <w:tcW w:w="2560" w:type="dxa"/>
            <w:tcBorders>
              <w:top w:val="nil"/>
              <w:left w:val="single" w:color="000000" w:sz="4" w:space="0"/>
              <w:bottom w:val="single" w:color="000000" w:sz="4" w:space="0"/>
              <w:right w:val="single" w:color="000000" w:sz="4" w:space="0"/>
            </w:tcBorders>
            <w:shd w:val="clear" w:color="auto" w:fill="auto"/>
            <w:vAlign w:val="center"/>
          </w:tcPr>
          <w:p>
            <w:pPr>
              <w:widowControl/>
              <w:jc w:val="left"/>
              <w:rPr>
                <w:rFonts w:ascii="宋体" w:hAnsi="宋体" w:eastAsia="宋体" w:cs="宋体"/>
                <w:color w:val="000000"/>
                <w:kern w:val="0"/>
                <w:sz w:val="16"/>
                <w:szCs w:val="16"/>
              </w:rPr>
            </w:pPr>
            <w:r>
              <w:rPr>
                <w:rFonts w:hint="eastAsia" w:ascii="宋体" w:hAnsi="宋体" w:eastAsia="宋体" w:cs="宋体"/>
                <w:color w:val="000000"/>
                <w:kern w:val="0"/>
                <w:sz w:val="16"/>
                <w:szCs w:val="16"/>
              </w:rPr>
              <w:t>预算执行时间</w:t>
            </w:r>
          </w:p>
        </w:tc>
        <w:tc>
          <w:tcPr>
            <w:tcW w:w="540" w:type="dxa"/>
            <w:tcBorders>
              <w:top w:val="nil"/>
              <w:left w:val="nil"/>
              <w:bottom w:val="single" w:color="000000" w:sz="4" w:space="0"/>
              <w:right w:val="single" w:color="000000" w:sz="4" w:space="0"/>
            </w:tcBorders>
            <w:shd w:val="clear" w:color="auto" w:fill="auto"/>
            <w:vAlign w:val="center"/>
          </w:tcPr>
          <w:p>
            <w:pPr>
              <w:widowControl/>
              <w:jc w:val="left"/>
              <w:rPr>
                <w:rFonts w:ascii="宋体" w:hAnsi="宋体" w:eastAsia="宋体" w:cs="宋体"/>
                <w:color w:val="000000"/>
                <w:kern w:val="0"/>
                <w:sz w:val="16"/>
                <w:szCs w:val="16"/>
              </w:rPr>
            </w:pPr>
            <w:r>
              <w:rPr>
                <w:rFonts w:hint="eastAsia" w:ascii="宋体" w:hAnsi="宋体" w:eastAsia="宋体" w:cs="宋体"/>
                <w:color w:val="000000"/>
                <w:kern w:val="0"/>
                <w:sz w:val="16"/>
                <w:szCs w:val="16"/>
              </w:rPr>
              <w:t>＝</w:t>
            </w:r>
          </w:p>
        </w:tc>
        <w:tc>
          <w:tcPr>
            <w:tcW w:w="620" w:type="dxa"/>
            <w:tcBorders>
              <w:top w:val="nil"/>
              <w:left w:val="nil"/>
              <w:bottom w:val="single" w:color="000000" w:sz="4" w:space="0"/>
              <w:right w:val="single" w:color="000000" w:sz="4" w:space="0"/>
            </w:tcBorders>
            <w:shd w:val="clear" w:color="auto" w:fill="auto"/>
            <w:vAlign w:val="center"/>
          </w:tcPr>
          <w:p>
            <w:pPr>
              <w:widowControl/>
              <w:jc w:val="left"/>
              <w:rPr>
                <w:rFonts w:ascii="宋体" w:hAnsi="宋体" w:eastAsia="宋体" w:cs="宋体"/>
                <w:color w:val="000000"/>
                <w:kern w:val="0"/>
                <w:sz w:val="16"/>
                <w:szCs w:val="16"/>
              </w:rPr>
            </w:pPr>
            <w:r>
              <w:rPr>
                <w:rFonts w:hint="eastAsia" w:ascii="宋体" w:hAnsi="宋体" w:eastAsia="宋体" w:cs="宋体"/>
                <w:color w:val="000000"/>
                <w:kern w:val="0"/>
                <w:sz w:val="16"/>
                <w:szCs w:val="16"/>
              </w:rPr>
              <w:t>2023</w:t>
            </w:r>
          </w:p>
        </w:tc>
        <w:tc>
          <w:tcPr>
            <w:tcW w:w="600" w:type="dxa"/>
            <w:tcBorders>
              <w:top w:val="nil"/>
              <w:left w:val="nil"/>
              <w:bottom w:val="single" w:color="000000" w:sz="4" w:space="0"/>
              <w:right w:val="single" w:color="000000" w:sz="4" w:space="0"/>
            </w:tcBorders>
            <w:shd w:val="clear" w:color="auto" w:fill="auto"/>
            <w:vAlign w:val="center"/>
          </w:tcPr>
          <w:p>
            <w:pPr>
              <w:widowControl/>
              <w:jc w:val="left"/>
              <w:rPr>
                <w:rFonts w:ascii="宋体" w:hAnsi="宋体" w:eastAsia="宋体" w:cs="宋体"/>
                <w:color w:val="000000"/>
                <w:kern w:val="0"/>
                <w:sz w:val="16"/>
                <w:szCs w:val="16"/>
              </w:rPr>
            </w:pPr>
            <w:r>
              <w:rPr>
                <w:rFonts w:hint="eastAsia" w:ascii="宋体" w:hAnsi="宋体" w:eastAsia="宋体" w:cs="宋体"/>
                <w:color w:val="000000"/>
                <w:kern w:val="0"/>
                <w:sz w:val="16"/>
                <w:szCs w:val="16"/>
              </w:rPr>
              <w:t>年</w:t>
            </w:r>
          </w:p>
        </w:tc>
        <w:tc>
          <w:tcPr>
            <w:tcW w:w="660" w:type="dxa"/>
            <w:tcBorders>
              <w:top w:val="nil"/>
              <w:left w:val="nil"/>
              <w:bottom w:val="single" w:color="000000" w:sz="4" w:space="0"/>
              <w:right w:val="single" w:color="000000" w:sz="4" w:space="0"/>
            </w:tcBorders>
            <w:shd w:val="clear" w:color="auto" w:fill="auto"/>
            <w:vAlign w:val="center"/>
          </w:tcPr>
          <w:p>
            <w:pPr>
              <w:widowControl/>
              <w:jc w:val="left"/>
              <w:rPr>
                <w:rFonts w:ascii="宋体" w:hAnsi="宋体" w:eastAsia="宋体" w:cs="宋体"/>
                <w:color w:val="000000"/>
                <w:kern w:val="0"/>
                <w:sz w:val="16"/>
                <w:szCs w:val="16"/>
              </w:rPr>
            </w:pPr>
            <w:r>
              <w:rPr>
                <w:rFonts w:hint="eastAsia" w:ascii="宋体" w:hAnsi="宋体" w:eastAsia="宋体" w:cs="宋体"/>
                <w:color w:val="000000"/>
                <w:kern w:val="0"/>
                <w:sz w:val="16"/>
                <w:szCs w:val="16"/>
              </w:rPr>
              <w:t>20</w:t>
            </w:r>
          </w:p>
        </w:tc>
        <w:tc>
          <w:tcPr>
            <w:tcW w:w="78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6"/>
                <w:szCs w:val="16"/>
              </w:rPr>
            </w:pPr>
            <w:r>
              <w:rPr>
                <w:rFonts w:hint="eastAsia" w:ascii="宋体" w:hAnsi="宋体" w:eastAsia="宋体" w:cs="宋体"/>
                <w:color w:val="000000"/>
                <w:kern w:val="0"/>
                <w:sz w:val="16"/>
                <w:szCs w:val="16"/>
              </w:rPr>
              <w:t>2023</w:t>
            </w:r>
          </w:p>
        </w:tc>
      </w:tr>
      <w:tr>
        <w:tblPrEx>
          <w:tblCellMar>
            <w:top w:w="0" w:type="dxa"/>
            <w:left w:w="108" w:type="dxa"/>
            <w:bottom w:w="0" w:type="dxa"/>
            <w:right w:w="108" w:type="dxa"/>
          </w:tblCellMar>
        </w:tblPrEx>
        <w:trPr>
          <w:trHeight w:val="435" w:hRule="atLeast"/>
        </w:trPr>
        <w:tc>
          <w:tcPr>
            <w:tcW w:w="80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16"/>
                <w:szCs w:val="16"/>
              </w:rPr>
            </w:pPr>
          </w:p>
        </w:tc>
        <w:tc>
          <w:tcPr>
            <w:tcW w:w="940"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eastAsia="宋体" w:cs="宋体"/>
                <w:color w:val="000000"/>
                <w:kern w:val="0"/>
                <w:sz w:val="16"/>
                <w:szCs w:val="16"/>
              </w:rPr>
            </w:pPr>
          </w:p>
        </w:tc>
        <w:tc>
          <w:tcPr>
            <w:tcW w:w="1120"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eastAsia="宋体" w:cs="宋体"/>
                <w:color w:val="000000"/>
                <w:kern w:val="0"/>
                <w:sz w:val="16"/>
                <w:szCs w:val="16"/>
              </w:rPr>
            </w:pPr>
          </w:p>
        </w:tc>
        <w:tc>
          <w:tcPr>
            <w:tcW w:w="2560" w:type="dxa"/>
            <w:tcBorders>
              <w:top w:val="nil"/>
              <w:left w:val="single" w:color="000000" w:sz="4" w:space="0"/>
              <w:bottom w:val="single" w:color="000000" w:sz="4" w:space="0"/>
              <w:right w:val="single" w:color="000000" w:sz="4" w:space="0"/>
            </w:tcBorders>
            <w:shd w:val="clear" w:color="auto" w:fill="auto"/>
            <w:vAlign w:val="center"/>
          </w:tcPr>
          <w:p>
            <w:pPr>
              <w:widowControl/>
              <w:jc w:val="left"/>
              <w:rPr>
                <w:rFonts w:ascii="宋体" w:hAnsi="宋体" w:eastAsia="宋体" w:cs="宋体"/>
                <w:color w:val="000000"/>
                <w:kern w:val="0"/>
                <w:sz w:val="16"/>
                <w:szCs w:val="16"/>
              </w:rPr>
            </w:pPr>
            <w:r>
              <w:rPr>
                <w:rFonts w:hint="eastAsia" w:ascii="宋体" w:hAnsi="宋体" w:eastAsia="宋体" w:cs="宋体"/>
                <w:color w:val="000000"/>
                <w:kern w:val="0"/>
                <w:sz w:val="16"/>
                <w:szCs w:val="16"/>
              </w:rPr>
              <w:t>组织实施全年绩效评价工作完成时间</w:t>
            </w:r>
          </w:p>
        </w:tc>
        <w:tc>
          <w:tcPr>
            <w:tcW w:w="540" w:type="dxa"/>
            <w:tcBorders>
              <w:top w:val="nil"/>
              <w:left w:val="nil"/>
              <w:bottom w:val="single" w:color="000000" w:sz="4" w:space="0"/>
              <w:right w:val="single" w:color="000000" w:sz="4" w:space="0"/>
            </w:tcBorders>
            <w:shd w:val="clear" w:color="auto" w:fill="auto"/>
            <w:vAlign w:val="center"/>
          </w:tcPr>
          <w:p>
            <w:pPr>
              <w:widowControl/>
              <w:jc w:val="left"/>
              <w:rPr>
                <w:rFonts w:ascii="宋体" w:hAnsi="宋体" w:eastAsia="宋体" w:cs="宋体"/>
                <w:color w:val="000000"/>
                <w:kern w:val="0"/>
                <w:sz w:val="16"/>
                <w:szCs w:val="16"/>
              </w:rPr>
            </w:pPr>
            <w:r>
              <w:rPr>
                <w:rFonts w:hint="eastAsia" w:ascii="宋体" w:hAnsi="宋体" w:eastAsia="宋体" w:cs="宋体"/>
                <w:color w:val="000000"/>
                <w:kern w:val="0"/>
                <w:sz w:val="16"/>
                <w:szCs w:val="16"/>
              </w:rPr>
              <w:t>＝</w:t>
            </w:r>
          </w:p>
        </w:tc>
        <w:tc>
          <w:tcPr>
            <w:tcW w:w="620" w:type="dxa"/>
            <w:tcBorders>
              <w:top w:val="nil"/>
              <w:left w:val="nil"/>
              <w:bottom w:val="single" w:color="000000" w:sz="4" w:space="0"/>
              <w:right w:val="single" w:color="000000" w:sz="4" w:space="0"/>
            </w:tcBorders>
            <w:shd w:val="clear" w:color="auto" w:fill="auto"/>
            <w:vAlign w:val="center"/>
          </w:tcPr>
          <w:p>
            <w:pPr>
              <w:widowControl/>
              <w:jc w:val="left"/>
              <w:rPr>
                <w:rFonts w:ascii="宋体" w:hAnsi="宋体" w:eastAsia="宋体" w:cs="宋体"/>
                <w:color w:val="000000"/>
                <w:kern w:val="0"/>
                <w:sz w:val="16"/>
                <w:szCs w:val="16"/>
              </w:rPr>
            </w:pPr>
            <w:r>
              <w:rPr>
                <w:rFonts w:hint="eastAsia" w:ascii="宋体" w:hAnsi="宋体" w:eastAsia="宋体" w:cs="宋体"/>
                <w:color w:val="000000"/>
                <w:kern w:val="0"/>
                <w:sz w:val="16"/>
                <w:szCs w:val="16"/>
              </w:rPr>
              <w:t>12</w:t>
            </w:r>
          </w:p>
        </w:tc>
        <w:tc>
          <w:tcPr>
            <w:tcW w:w="600" w:type="dxa"/>
            <w:tcBorders>
              <w:top w:val="nil"/>
              <w:left w:val="nil"/>
              <w:bottom w:val="single" w:color="000000" w:sz="4" w:space="0"/>
              <w:right w:val="single" w:color="000000" w:sz="4" w:space="0"/>
            </w:tcBorders>
            <w:shd w:val="clear" w:color="auto" w:fill="auto"/>
            <w:vAlign w:val="center"/>
          </w:tcPr>
          <w:p>
            <w:pPr>
              <w:widowControl/>
              <w:jc w:val="left"/>
              <w:rPr>
                <w:rFonts w:ascii="宋体" w:hAnsi="宋体" w:eastAsia="宋体" w:cs="宋体"/>
                <w:color w:val="000000"/>
                <w:kern w:val="0"/>
                <w:sz w:val="16"/>
                <w:szCs w:val="16"/>
              </w:rPr>
            </w:pPr>
            <w:r>
              <w:rPr>
                <w:rFonts w:hint="eastAsia" w:ascii="宋体" w:hAnsi="宋体" w:eastAsia="宋体" w:cs="宋体"/>
                <w:color w:val="000000"/>
                <w:kern w:val="0"/>
                <w:sz w:val="16"/>
                <w:szCs w:val="16"/>
              </w:rPr>
              <w:t>月</w:t>
            </w:r>
          </w:p>
        </w:tc>
        <w:tc>
          <w:tcPr>
            <w:tcW w:w="660" w:type="dxa"/>
            <w:tcBorders>
              <w:top w:val="nil"/>
              <w:left w:val="nil"/>
              <w:bottom w:val="single" w:color="000000" w:sz="4" w:space="0"/>
              <w:right w:val="single" w:color="000000" w:sz="4" w:space="0"/>
            </w:tcBorders>
            <w:shd w:val="clear" w:color="auto" w:fill="auto"/>
            <w:vAlign w:val="center"/>
          </w:tcPr>
          <w:p>
            <w:pPr>
              <w:widowControl/>
              <w:jc w:val="left"/>
              <w:rPr>
                <w:rFonts w:ascii="宋体" w:hAnsi="宋体" w:eastAsia="宋体" w:cs="宋体"/>
                <w:color w:val="000000"/>
                <w:kern w:val="0"/>
                <w:sz w:val="16"/>
                <w:szCs w:val="16"/>
              </w:rPr>
            </w:pPr>
            <w:r>
              <w:rPr>
                <w:rFonts w:hint="eastAsia" w:ascii="宋体" w:hAnsi="宋体" w:eastAsia="宋体" w:cs="宋体"/>
                <w:color w:val="000000"/>
                <w:kern w:val="0"/>
                <w:sz w:val="16"/>
                <w:szCs w:val="16"/>
              </w:rPr>
              <w:t>20</w:t>
            </w:r>
          </w:p>
        </w:tc>
        <w:tc>
          <w:tcPr>
            <w:tcW w:w="78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6"/>
                <w:szCs w:val="16"/>
              </w:rPr>
            </w:pPr>
            <w:r>
              <w:rPr>
                <w:rFonts w:hint="eastAsia" w:ascii="宋体" w:hAnsi="宋体" w:eastAsia="宋体" w:cs="宋体"/>
                <w:color w:val="000000"/>
                <w:kern w:val="0"/>
                <w:sz w:val="16"/>
                <w:szCs w:val="16"/>
              </w:rPr>
              <w:t>12</w:t>
            </w:r>
          </w:p>
        </w:tc>
      </w:tr>
      <w:tr>
        <w:tblPrEx>
          <w:tblCellMar>
            <w:top w:w="0" w:type="dxa"/>
            <w:left w:w="108" w:type="dxa"/>
            <w:bottom w:w="0" w:type="dxa"/>
            <w:right w:w="108" w:type="dxa"/>
          </w:tblCellMar>
        </w:tblPrEx>
        <w:trPr>
          <w:trHeight w:val="435" w:hRule="atLeast"/>
        </w:trPr>
        <w:tc>
          <w:tcPr>
            <w:tcW w:w="80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16"/>
                <w:szCs w:val="16"/>
              </w:rPr>
            </w:pPr>
          </w:p>
        </w:tc>
        <w:tc>
          <w:tcPr>
            <w:tcW w:w="940"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6"/>
                <w:szCs w:val="16"/>
              </w:rPr>
            </w:pPr>
            <w:r>
              <w:rPr>
                <w:rFonts w:hint="eastAsia" w:ascii="宋体" w:hAnsi="宋体" w:eastAsia="宋体" w:cs="宋体"/>
                <w:color w:val="000000"/>
                <w:kern w:val="0"/>
                <w:sz w:val="16"/>
                <w:szCs w:val="16"/>
              </w:rPr>
              <w:t>效益指标</w:t>
            </w:r>
          </w:p>
        </w:tc>
        <w:tc>
          <w:tcPr>
            <w:tcW w:w="1120" w:type="dxa"/>
            <w:vMerge w:val="restart"/>
            <w:tcBorders>
              <w:top w:val="nil"/>
              <w:left w:val="single" w:color="auto" w:sz="4" w:space="0"/>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6"/>
                <w:szCs w:val="16"/>
              </w:rPr>
            </w:pPr>
            <w:r>
              <w:rPr>
                <w:rFonts w:hint="eastAsia" w:ascii="宋体" w:hAnsi="宋体" w:eastAsia="宋体" w:cs="宋体"/>
                <w:color w:val="000000"/>
                <w:kern w:val="0"/>
                <w:sz w:val="16"/>
                <w:szCs w:val="16"/>
              </w:rPr>
              <w:t>经济效益指标</w:t>
            </w:r>
          </w:p>
        </w:tc>
        <w:tc>
          <w:tcPr>
            <w:tcW w:w="2560" w:type="dxa"/>
            <w:tcBorders>
              <w:top w:val="nil"/>
              <w:left w:val="nil"/>
              <w:bottom w:val="single" w:color="000000" w:sz="4" w:space="0"/>
              <w:right w:val="single" w:color="000000" w:sz="4" w:space="0"/>
            </w:tcBorders>
            <w:shd w:val="clear" w:color="auto" w:fill="auto"/>
            <w:vAlign w:val="center"/>
          </w:tcPr>
          <w:p>
            <w:pPr>
              <w:widowControl/>
              <w:jc w:val="left"/>
              <w:rPr>
                <w:rFonts w:ascii="宋体" w:hAnsi="宋体" w:eastAsia="宋体" w:cs="宋体"/>
                <w:color w:val="000000"/>
                <w:kern w:val="0"/>
                <w:sz w:val="16"/>
                <w:szCs w:val="16"/>
              </w:rPr>
            </w:pPr>
            <w:r>
              <w:rPr>
                <w:rFonts w:hint="eastAsia" w:ascii="宋体" w:hAnsi="宋体" w:eastAsia="宋体" w:cs="宋体"/>
                <w:color w:val="000000"/>
                <w:kern w:val="0"/>
                <w:sz w:val="16"/>
                <w:szCs w:val="16"/>
              </w:rPr>
              <w:t>财政资金绩效管理</w:t>
            </w:r>
          </w:p>
        </w:tc>
        <w:tc>
          <w:tcPr>
            <w:tcW w:w="540" w:type="dxa"/>
            <w:tcBorders>
              <w:top w:val="nil"/>
              <w:left w:val="nil"/>
              <w:bottom w:val="single" w:color="000000" w:sz="4" w:space="0"/>
              <w:right w:val="single" w:color="000000" w:sz="4" w:space="0"/>
            </w:tcBorders>
            <w:shd w:val="clear" w:color="auto" w:fill="auto"/>
            <w:vAlign w:val="center"/>
          </w:tcPr>
          <w:p>
            <w:pPr>
              <w:widowControl/>
              <w:jc w:val="left"/>
              <w:rPr>
                <w:rFonts w:ascii="宋体" w:hAnsi="宋体" w:eastAsia="宋体" w:cs="宋体"/>
                <w:color w:val="000000"/>
                <w:kern w:val="0"/>
                <w:sz w:val="16"/>
                <w:szCs w:val="16"/>
              </w:rPr>
            </w:pPr>
            <w:r>
              <w:rPr>
                <w:rFonts w:hint="eastAsia" w:ascii="宋体" w:hAnsi="宋体" w:eastAsia="宋体" w:cs="宋体"/>
                <w:color w:val="000000"/>
                <w:kern w:val="0"/>
                <w:sz w:val="16"/>
                <w:szCs w:val="16"/>
              </w:rPr>
              <w:t>定性</w:t>
            </w:r>
          </w:p>
        </w:tc>
        <w:tc>
          <w:tcPr>
            <w:tcW w:w="620" w:type="dxa"/>
            <w:tcBorders>
              <w:top w:val="nil"/>
              <w:left w:val="nil"/>
              <w:bottom w:val="single" w:color="000000" w:sz="4" w:space="0"/>
              <w:right w:val="single" w:color="000000" w:sz="4" w:space="0"/>
            </w:tcBorders>
            <w:shd w:val="clear" w:color="auto" w:fill="auto"/>
            <w:vAlign w:val="center"/>
          </w:tcPr>
          <w:p>
            <w:pPr>
              <w:widowControl/>
              <w:jc w:val="left"/>
              <w:rPr>
                <w:rFonts w:ascii="宋体" w:hAnsi="宋体" w:eastAsia="宋体" w:cs="宋体"/>
                <w:color w:val="000000"/>
                <w:kern w:val="0"/>
                <w:sz w:val="10"/>
                <w:szCs w:val="10"/>
              </w:rPr>
            </w:pPr>
            <w:r>
              <w:rPr>
                <w:rFonts w:hint="eastAsia" w:ascii="宋体" w:hAnsi="宋体" w:eastAsia="宋体" w:cs="宋体"/>
                <w:color w:val="000000"/>
                <w:kern w:val="0"/>
                <w:sz w:val="10"/>
                <w:szCs w:val="10"/>
              </w:rPr>
              <w:t>优良中底</w:t>
            </w:r>
          </w:p>
        </w:tc>
        <w:tc>
          <w:tcPr>
            <w:tcW w:w="600" w:type="dxa"/>
            <w:tcBorders>
              <w:top w:val="nil"/>
              <w:left w:val="nil"/>
              <w:bottom w:val="single" w:color="000000" w:sz="4" w:space="0"/>
              <w:right w:val="single" w:color="000000" w:sz="4" w:space="0"/>
            </w:tcBorders>
            <w:shd w:val="clear" w:color="auto" w:fill="auto"/>
            <w:vAlign w:val="center"/>
          </w:tcPr>
          <w:p>
            <w:pPr>
              <w:widowControl/>
              <w:jc w:val="left"/>
              <w:rPr>
                <w:rFonts w:ascii="宋体" w:hAnsi="宋体" w:eastAsia="宋体" w:cs="宋体"/>
                <w:color w:val="000000"/>
                <w:kern w:val="0"/>
                <w:sz w:val="16"/>
                <w:szCs w:val="16"/>
              </w:rPr>
            </w:pPr>
            <w:r>
              <w:rPr>
                <w:rFonts w:hint="eastAsia" w:ascii="宋体" w:hAnsi="宋体" w:eastAsia="宋体" w:cs="宋体"/>
                <w:color w:val="000000"/>
                <w:kern w:val="0"/>
                <w:sz w:val="16"/>
                <w:szCs w:val="16"/>
              </w:rPr>
              <w:t>项</w:t>
            </w:r>
          </w:p>
        </w:tc>
        <w:tc>
          <w:tcPr>
            <w:tcW w:w="660" w:type="dxa"/>
            <w:tcBorders>
              <w:top w:val="nil"/>
              <w:left w:val="nil"/>
              <w:bottom w:val="single" w:color="000000" w:sz="4" w:space="0"/>
              <w:right w:val="single" w:color="000000" w:sz="4" w:space="0"/>
            </w:tcBorders>
            <w:shd w:val="clear" w:color="auto" w:fill="auto"/>
            <w:vAlign w:val="center"/>
          </w:tcPr>
          <w:p>
            <w:pPr>
              <w:widowControl/>
              <w:jc w:val="left"/>
              <w:rPr>
                <w:rFonts w:ascii="宋体" w:hAnsi="宋体" w:eastAsia="宋体" w:cs="宋体"/>
                <w:color w:val="000000"/>
                <w:kern w:val="0"/>
                <w:sz w:val="16"/>
                <w:szCs w:val="16"/>
              </w:rPr>
            </w:pPr>
            <w:r>
              <w:rPr>
                <w:rFonts w:hint="eastAsia" w:ascii="宋体" w:hAnsi="宋体" w:eastAsia="宋体" w:cs="宋体"/>
                <w:color w:val="000000"/>
                <w:kern w:val="0"/>
                <w:sz w:val="16"/>
                <w:szCs w:val="16"/>
              </w:rPr>
              <w:t>20</w:t>
            </w:r>
          </w:p>
        </w:tc>
        <w:tc>
          <w:tcPr>
            <w:tcW w:w="78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6"/>
                <w:szCs w:val="16"/>
              </w:rPr>
            </w:pPr>
            <w:r>
              <w:rPr>
                <w:rFonts w:hint="eastAsia" w:ascii="宋体" w:hAnsi="宋体" w:eastAsia="宋体" w:cs="宋体"/>
                <w:color w:val="000000"/>
                <w:kern w:val="0"/>
                <w:sz w:val="16"/>
                <w:szCs w:val="16"/>
              </w:rPr>
              <w:t>优</w:t>
            </w:r>
          </w:p>
        </w:tc>
      </w:tr>
      <w:tr>
        <w:tblPrEx>
          <w:tblCellMar>
            <w:top w:w="0" w:type="dxa"/>
            <w:left w:w="108" w:type="dxa"/>
            <w:bottom w:w="0" w:type="dxa"/>
            <w:right w:w="108" w:type="dxa"/>
          </w:tblCellMar>
        </w:tblPrEx>
        <w:trPr>
          <w:trHeight w:val="435" w:hRule="atLeast"/>
        </w:trPr>
        <w:tc>
          <w:tcPr>
            <w:tcW w:w="80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16"/>
                <w:szCs w:val="16"/>
              </w:rPr>
            </w:pPr>
          </w:p>
        </w:tc>
        <w:tc>
          <w:tcPr>
            <w:tcW w:w="94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16"/>
                <w:szCs w:val="16"/>
              </w:rPr>
            </w:pPr>
          </w:p>
        </w:tc>
        <w:tc>
          <w:tcPr>
            <w:tcW w:w="1120" w:type="dxa"/>
            <w:vMerge w:val="continue"/>
            <w:tcBorders>
              <w:top w:val="nil"/>
              <w:left w:val="single" w:color="auto" w:sz="4" w:space="0"/>
              <w:bottom w:val="single" w:color="000000" w:sz="4" w:space="0"/>
              <w:right w:val="single" w:color="000000" w:sz="4" w:space="0"/>
            </w:tcBorders>
            <w:vAlign w:val="center"/>
          </w:tcPr>
          <w:p>
            <w:pPr>
              <w:widowControl/>
              <w:jc w:val="left"/>
              <w:rPr>
                <w:rFonts w:ascii="宋体" w:hAnsi="宋体" w:eastAsia="宋体" w:cs="宋体"/>
                <w:color w:val="000000"/>
                <w:kern w:val="0"/>
                <w:sz w:val="16"/>
                <w:szCs w:val="16"/>
              </w:rPr>
            </w:pPr>
          </w:p>
        </w:tc>
        <w:tc>
          <w:tcPr>
            <w:tcW w:w="2560" w:type="dxa"/>
            <w:tcBorders>
              <w:top w:val="nil"/>
              <w:left w:val="nil"/>
              <w:bottom w:val="single" w:color="000000" w:sz="4" w:space="0"/>
              <w:right w:val="single" w:color="000000" w:sz="4" w:space="0"/>
            </w:tcBorders>
            <w:shd w:val="clear" w:color="auto" w:fill="auto"/>
            <w:vAlign w:val="center"/>
          </w:tcPr>
          <w:p>
            <w:pPr>
              <w:widowControl/>
              <w:jc w:val="left"/>
              <w:rPr>
                <w:rFonts w:ascii="宋体" w:hAnsi="宋体" w:eastAsia="宋体" w:cs="宋体"/>
                <w:color w:val="000000"/>
                <w:kern w:val="0"/>
                <w:sz w:val="16"/>
                <w:szCs w:val="16"/>
              </w:rPr>
            </w:pPr>
            <w:r>
              <w:rPr>
                <w:rFonts w:hint="eastAsia" w:ascii="宋体" w:hAnsi="宋体" w:eastAsia="宋体" w:cs="宋体"/>
                <w:color w:val="000000"/>
                <w:kern w:val="0"/>
                <w:sz w:val="16"/>
                <w:szCs w:val="16"/>
              </w:rPr>
              <w:t>局机关食堂经费足额保障</w:t>
            </w:r>
          </w:p>
        </w:tc>
        <w:tc>
          <w:tcPr>
            <w:tcW w:w="540" w:type="dxa"/>
            <w:tcBorders>
              <w:top w:val="nil"/>
              <w:left w:val="nil"/>
              <w:bottom w:val="single" w:color="000000" w:sz="4" w:space="0"/>
              <w:right w:val="single" w:color="000000" w:sz="4" w:space="0"/>
            </w:tcBorders>
            <w:shd w:val="clear" w:color="auto" w:fill="auto"/>
            <w:vAlign w:val="center"/>
          </w:tcPr>
          <w:p>
            <w:pPr>
              <w:widowControl/>
              <w:jc w:val="left"/>
              <w:rPr>
                <w:rFonts w:ascii="宋体" w:hAnsi="宋体" w:eastAsia="宋体" w:cs="宋体"/>
                <w:color w:val="000000"/>
                <w:kern w:val="0"/>
                <w:sz w:val="16"/>
                <w:szCs w:val="16"/>
              </w:rPr>
            </w:pPr>
            <w:r>
              <w:rPr>
                <w:rFonts w:hint="eastAsia" w:ascii="宋体" w:hAnsi="宋体" w:eastAsia="宋体" w:cs="宋体"/>
                <w:color w:val="000000"/>
                <w:kern w:val="0"/>
                <w:sz w:val="16"/>
                <w:szCs w:val="16"/>
              </w:rPr>
              <w:t>≥</w:t>
            </w:r>
          </w:p>
        </w:tc>
        <w:tc>
          <w:tcPr>
            <w:tcW w:w="620" w:type="dxa"/>
            <w:tcBorders>
              <w:top w:val="nil"/>
              <w:left w:val="nil"/>
              <w:bottom w:val="single" w:color="000000" w:sz="4" w:space="0"/>
              <w:right w:val="single" w:color="000000" w:sz="4" w:space="0"/>
            </w:tcBorders>
            <w:shd w:val="clear" w:color="auto" w:fill="auto"/>
            <w:vAlign w:val="center"/>
          </w:tcPr>
          <w:p>
            <w:pPr>
              <w:widowControl/>
              <w:jc w:val="left"/>
              <w:rPr>
                <w:rFonts w:ascii="宋体" w:hAnsi="宋体" w:eastAsia="宋体" w:cs="宋体"/>
                <w:color w:val="000000"/>
                <w:kern w:val="0"/>
                <w:sz w:val="16"/>
                <w:szCs w:val="16"/>
              </w:rPr>
            </w:pPr>
            <w:r>
              <w:rPr>
                <w:rFonts w:hint="eastAsia" w:ascii="宋体" w:hAnsi="宋体" w:eastAsia="宋体" w:cs="宋体"/>
                <w:color w:val="000000"/>
                <w:kern w:val="0"/>
                <w:sz w:val="16"/>
                <w:szCs w:val="16"/>
              </w:rPr>
              <w:t>25</w:t>
            </w:r>
          </w:p>
        </w:tc>
        <w:tc>
          <w:tcPr>
            <w:tcW w:w="600" w:type="dxa"/>
            <w:tcBorders>
              <w:top w:val="nil"/>
              <w:left w:val="nil"/>
              <w:bottom w:val="single" w:color="000000" w:sz="4" w:space="0"/>
              <w:right w:val="single" w:color="000000" w:sz="4" w:space="0"/>
            </w:tcBorders>
            <w:shd w:val="clear" w:color="auto" w:fill="auto"/>
            <w:vAlign w:val="center"/>
          </w:tcPr>
          <w:p>
            <w:pPr>
              <w:widowControl/>
              <w:jc w:val="left"/>
              <w:rPr>
                <w:rFonts w:ascii="宋体" w:hAnsi="宋体" w:eastAsia="宋体" w:cs="宋体"/>
                <w:color w:val="000000"/>
                <w:kern w:val="0"/>
                <w:sz w:val="16"/>
                <w:szCs w:val="16"/>
              </w:rPr>
            </w:pPr>
            <w:r>
              <w:rPr>
                <w:rFonts w:hint="eastAsia" w:ascii="宋体" w:hAnsi="宋体" w:eastAsia="宋体" w:cs="宋体"/>
                <w:color w:val="000000"/>
                <w:kern w:val="0"/>
                <w:sz w:val="16"/>
                <w:szCs w:val="16"/>
              </w:rPr>
              <w:t>万元</w:t>
            </w:r>
          </w:p>
        </w:tc>
        <w:tc>
          <w:tcPr>
            <w:tcW w:w="660" w:type="dxa"/>
            <w:tcBorders>
              <w:top w:val="nil"/>
              <w:left w:val="nil"/>
              <w:bottom w:val="single" w:color="000000" w:sz="4" w:space="0"/>
              <w:right w:val="single" w:color="000000" w:sz="4" w:space="0"/>
            </w:tcBorders>
            <w:shd w:val="clear" w:color="auto" w:fill="auto"/>
            <w:vAlign w:val="center"/>
          </w:tcPr>
          <w:p>
            <w:pPr>
              <w:widowControl/>
              <w:jc w:val="left"/>
              <w:rPr>
                <w:rFonts w:ascii="宋体" w:hAnsi="宋体" w:eastAsia="宋体" w:cs="宋体"/>
                <w:color w:val="000000"/>
                <w:kern w:val="0"/>
                <w:sz w:val="16"/>
                <w:szCs w:val="16"/>
              </w:rPr>
            </w:pPr>
            <w:r>
              <w:rPr>
                <w:rFonts w:hint="eastAsia" w:ascii="宋体" w:hAnsi="宋体" w:eastAsia="宋体" w:cs="宋体"/>
                <w:color w:val="000000"/>
                <w:kern w:val="0"/>
                <w:sz w:val="16"/>
                <w:szCs w:val="16"/>
              </w:rPr>
              <w:t>20</w:t>
            </w:r>
          </w:p>
        </w:tc>
        <w:tc>
          <w:tcPr>
            <w:tcW w:w="78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6"/>
                <w:szCs w:val="16"/>
              </w:rPr>
            </w:pPr>
            <w:r>
              <w:rPr>
                <w:rFonts w:hint="eastAsia" w:ascii="宋体" w:hAnsi="宋体" w:eastAsia="宋体" w:cs="宋体"/>
                <w:color w:val="000000"/>
                <w:kern w:val="0"/>
                <w:sz w:val="16"/>
                <w:szCs w:val="16"/>
              </w:rPr>
              <w:t>30</w:t>
            </w:r>
          </w:p>
        </w:tc>
      </w:tr>
      <w:tr>
        <w:tblPrEx>
          <w:tblCellMar>
            <w:top w:w="0" w:type="dxa"/>
            <w:left w:w="108" w:type="dxa"/>
            <w:bottom w:w="0" w:type="dxa"/>
            <w:right w:w="108" w:type="dxa"/>
          </w:tblCellMar>
        </w:tblPrEx>
        <w:trPr>
          <w:trHeight w:val="435" w:hRule="atLeast"/>
        </w:trPr>
        <w:tc>
          <w:tcPr>
            <w:tcW w:w="80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16"/>
                <w:szCs w:val="16"/>
              </w:rPr>
            </w:pPr>
          </w:p>
        </w:tc>
        <w:tc>
          <w:tcPr>
            <w:tcW w:w="94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6"/>
                <w:szCs w:val="16"/>
              </w:rPr>
            </w:pPr>
            <w:r>
              <w:rPr>
                <w:rFonts w:hint="eastAsia" w:ascii="宋体" w:hAnsi="宋体" w:eastAsia="宋体" w:cs="宋体"/>
                <w:color w:val="000000"/>
                <w:kern w:val="0"/>
                <w:sz w:val="16"/>
                <w:szCs w:val="16"/>
              </w:rPr>
              <w:t>满意度指标</w:t>
            </w:r>
          </w:p>
        </w:tc>
        <w:tc>
          <w:tcPr>
            <w:tcW w:w="112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6"/>
                <w:szCs w:val="16"/>
              </w:rPr>
            </w:pPr>
            <w:r>
              <w:rPr>
                <w:rFonts w:hint="eastAsia" w:ascii="宋体" w:hAnsi="宋体" w:eastAsia="宋体" w:cs="宋体"/>
                <w:color w:val="000000"/>
                <w:kern w:val="0"/>
                <w:sz w:val="16"/>
                <w:szCs w:val="16"/>
              </w:rPr>
              <w:t>满意度指标</w:t>
            </w:r>
          </w:p>
        </w:tc>
        <w:tc>
          <w:tcPr>
            <w:tcW w:w="2560" w:type="dxa"/>
            <w:tcBorders>
              <w:top w:val="nil"/>
              <w:left w:val="single" w:color="000000" w:sz="4" w:space="0"/>
              <w:bottom w:val="single" w:color="000000" w:sz="4" w:space="0"/>
              <w:right w:val="single" w:color="000000" w:sz="4" w:space="0"/>
            </w:tcBorders>
            <w:shd w:val="clear" w:color="auto" w:fill="auto"/>
            <w:vAlign w:val="center"/>
          </w:tcPr>
          <w:p>
            <w:pPr>
              <w:widowControl/>
              <w:jc w:val="left"/>
              <w:rPr>
                <w:rFonts w:ascii="宋体" w:hAnsi="宋体" w:eastAsia="宋体" w:cs="宋体"/>
                <w:color w:val="000000"/>
                <w:kern w:val="0"/>
                <w:sz w:val="16"/>
                <w:szCs w:val="16"/>
              </w:rPr>
            </w:pPr>
            <w:r>
              <w:rPr>
                <w:rFonts w:hint="eastAsia" w:ascii="宋体" w:hAnsi="宋体" w:eastAsia="宋体" w:cs="宋体"/>
                <w:color w:val="000000"/>
                <w:kern w:val="0"/>
                <w:sz w:val="16"/>
                <w:szCs w:val="16"/>
              </w:rPr>
              <w:t>职工及家属食堂就餐服务满意度</w:t>
            </w:r>
          </w:p>
        </w:tc>
        <w:tc>
          <w:tcPr>
            <w:tcW w:w="540" w:type="dxa"/>
            <w:tcBorders>
              <w:top w:val="nil"/>
              <w:left w:val="nil"/>
              <w:bottom w:val="single" w:color="000000" w:sz="4" w:space="0"/>
              <w:right w:val="single" w:color="000000" w:sz="4" w:space="0"/>
            </w:tcBorders>
            <w:shd w:val="clear" w:color="auto" w:fill="auto"/>
            <w:vAlign w:val="center"/>
          </w:tcPr>
          <w:p>
            <w:pPr>
              <w:widowControl/>
              <w:jc w:val="left"/>
              <w:rPr>
                <w:rFonts w:ascii="宋体" w:hAnsi="宋体" w:eastAsia="宋体" w:cs="宋体"/>
                <w:color w:val="000000"/>
                <w:kern w:val="0"/>
                <w:sz w:val="16"/>
                <w:szCs w:val="16"/>
              </w:rPr>
            </w:pPr>
            <w:r>
              <w:rPr>
                <w:rFonts w:hint="eastAsia" w:ascii="宋体" w:hAnsi="宋体" w:eastAsia="宋体" w:cs="宋体"/>
                <w:color w:val="000000"/>
                <w:kern w:val="0"/>
                <w:sz w:val="16"/>
                <w:szCs w:val="16"/>
              </w:rPr>
              <w:t>≥</w:t>
            </w:r>
          </w:p>
        </w:tc>
        <w:tc>
          <w:tcPr>
            <w:tcW w:w="620" w:type="dxa"/>
            <w:tcBorders>
              <w:top w:val="nil"/>
              <w:left w:val="nil"/>
              <w:bottom w:val="single" w:color="000000" w:sz="4" w:space="0"/>
              <w:right w:val="single" w:color="000000" w:sz="4" w:space="0"/>
            </w:tcBorders>
            <w:shd w:val="clear" w:color="auto" w:fill="auto"/>
            <w:vAlign w:val="center"/>
          </w:tcPr>
          <w:p>
            <w:pPr>
              <w:widowControl/>
              <w:jc w:val="left"/>
              <w:rPr>
                <w:rFonts w:ascii="宋体" w:hAnsi="宋体" w:eastAsia="宋体" w:cs="宋体"/>
                <w:color w:val="000000"/>
                <w:kern w:val="0"/>
                <w:sz w:val="16"/>
                <w:szCs w:val="16"/>
              </w:rPr>
            </w:pPr>
            <w:r>
              <w:rPr>
                <w:rFonts w:hint="eastAsia" w:ascii="宋体" w:hAnsi="宋体" w:eastAsia="宋体" w:cs="宋体"/>
                <w:color w:val="000000"/>
                <w:kern w:val="0"/>
                <w:sz w:val="16"/>
                <w:szCs w:val="16"/>
              </w:rPr>
              <w:t>95</w:t>
            </w:r>
          </w:p>
        </w:tc>
        <w:tc>
          <w:tcPr>
            <w:tcW w:w="600" w:type="dxa"/>
            <w:tcBorders>
              <w:top w:val="nil"/>
              <w:left w:val="nil"/>
              <w:bottom w:val="single" w:color="000000" w:sz="4" w:space="0"/>
              <w:right w:val="single" w:color="000000" w:sz="4" w:space="0"/>
            </w:tcBorders>
            <w:shd w:val="clear" w:color="auto" w:fill="auto"/>
            <w:vAlign w:val="center"/>
          </w:tcPr>
          <w:p>
            <w:pPr>
              <w:widowControl/>
              <w:jc w:val="left"/>
              <w:rPr>
                <w:rFonts w:ascii="宋体" w:hAnsi="宋体" w:eastAsia="宋体" w:cs="宋体"/>
                <w:color w:val="000000"/>
                <w:kern w:val="0"/>
                <w:sz w:val="16"/>
                <w:szCs w:val="16"/>
              </w:rPr>
            </w:pPr>
            <w:r>
              <w:rPr>
                <w:rFonts w:hint="eastAsia" w:ascii="宋体" w:hAnsi="宋体" w:eastAsia="宋体" w:cs="宋体"/>
                <w:color w:val="000000"/>
                <w:kern w:val="0"/>
                <w:sz w:val="16"/>
                <w:szCs w:val="16"/>
              </w:rPr>
              <w:t>%</w:t>
            </w:r>
          </w:p>
        </w:tc>
        <w:tc>
          <w:tcPr>
            <w:tcW w:w="660" w:type="dxa"/>
            <w:tcBorders>
              <w:top w:val="nil"/>
              <w:left w:val="nil"/>
              <w:bottom w:val="single" w:color="000000" w:sz="4" w:space="0"/>
              <w:right w:val="single" w:color="000000" w:sz="4" w:space="0"/>
            </w:tcBorders>
            <w:shd w:val="clear" w:color="auto" w:fill="auto"/>
            <w:vAlign w:val="center"/>
          </w:tcPr>
          <w:p>
            <w:pPr>
              <w:widowControl/>
              <w:jc w:val="left"/>
              <w:rPr>
                <w:rFonts w:ascii="宋体" w:hAnsi="宋体" w:eastAsia="宋体" w:cs="宋体"/>
                <w:color w:val="000000"/>
                <w:kern w:val="0"/>
                <w:sz w:val="16"/>
                <w:szCs w:val="16"/>
              </w:rPr>
            </w:pPr>
            <w:r>
              <w:rPr>
                <w:rFonts w:hint="eastAsia" w:ascii="宋体" w:hAnsi="宋体" w:eastAsia="宋体" w:cs="宋体"/>
                <w:color w:val="000000"/>
                <w:kern w:val="0"/>
                <w:sz w:val="16"/>
                <w:szCs w:val="16"/>
              </w:rPr>
              <w:t>20</w:t>
            </w:r>
          </w:p>
        </w:tc>
        <w:tc>
          <w:tcPr>
            <w:tcW w:w="78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6"/>
                <w:szCs w:val="16"/>
              </w:rPr>
            </w:pPr>
            <w:r>
              <w:rPr>
                <w:rFonts w:hint="eastAsia" w:ascii="宋体" w:hAnsi="宋体" w:eastAsia="宋体" w:cs="宋体"/>
                <w:color w:val="000000"/>
                <w:kern w:val="0"/>
                <w:sz w:val="16"/>
                <w:szCs w:val="16"/>
              </w:rPr>
              <w:t>95</w:t>
            </w:r>
          </w:p>
        </w:tc>
      </w:tr>
      <w:tr>
        <w:tblPrEx>
          <w:tblCellMar>
            <w:top w:w="0" w:type="dxa"/>
            <w:left w:w="108" w:type="dxa"/>
            <w:bottom w:w="0" w:type="dxa"/>
            <w:right w:w="108" w:type="dxa"/>
          </w:tblCellMar>
        </w:tblPrEx>
        <w:trPr>
          <w:trHeight w:val="435" w:hRule="atLeast"/>
        </w:trPr>
        <w:tc>
          <w:tcPr>
            <w:tcW w:w="80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16"/>
                <w:szCs w:val="16"/>
              </w:rPr>
            </w:pPr>
          </w:p>
        </w:tc>
        <w:tc>
          <w:tcPr>
            <w:tcW w:w="940"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ascii="宋体" w:hAnsi="宋体" w:eastAsia="宋体" w:cs="宋体"/>
                <w:color w:val="000000"/>
                <w:kern w:val="0"/>
                <w:sz w:val="16"/>
                <w:szCs w:val="16"/>
              </w:rPr>
            </w:pPr>
            <w:r>
              <w:rPr>
                <w:rFonts w:hint="eastAsia" w:ascii="宋体" w:hAnsi="宋体" w:eastAsia="宋体" w:cs="宋体"/>
                <w:color w:val="000000"/>
                <w:kern w:val="0"/>
                <w:sz w:val="16"/>
                <w:szCs w:val="16"/>
              </w:rPr>
              <w:t>成本指标</w:t>
            </w:r>
          </w:p>
        </w:tc>
        <w:tc>
          <w:tcPr>
            <w:tcW w:w="1120" w:type="dxa"/>
            <w:vMerge w:val="restart"/>
            <w:tcBorders>
              <w:top w:val="nil"/>
              <w:left w:val="single" w:color="auto" w:sz="4" w:space="0"/>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6"/>
                <w:szCs w:val="16"/>
              </w:rPr>
            </w:pPr>
            <w:r>
              <w:rPr>
                <w:rFonts w:hint="eastAsia" w:ascii="宋体" w:hAnsi="宋体" w:eastAsia="宋体" w:cs="宋体"/>
                <w:color w:val="000000"/>
                <w:kern w:val="0"/>
                <w:sz w:val="16"/>
                <w:szCs w:val="16"/>
              </w:rPr>
              <w:t>经济成本指标</w:t>
            </w:r>
          </w:p>
        </w:tc>
        <w:tc>
          <w:tcPr>
            <w:tcW w:w="2560" w:type="dxa"/>
            <w:tcBorders>
              <w:top w:val="nil"/>
              <w:left w:val="nil"/>
              <w:bottom w:val="single" w:color="000000" w:sz="4" w:space="0"/>
              <w:right w:val="single" w:color="000000" w:sz="4" w:space="0"/>
            </w:tcBorders>
            <w:shd w:val="clear" w:color="auto" w:fill="auto"/>
            <w:vAlign w:val="center"/>
          </w:tcPr>
          <w:p>
            <w:pPr>
              <w:widowControl/>
              <w:jc w:val="left"/>
              <w:rPr>
                <w:rFonts w:ascii="宋体" w:hAnsi="宋体" w:eastAsia="宋体" w:cs="宋体"/>
                <w:color w:val="000000"/>
                <w:kern w:val="0"/>
                <w:sz w:val="16"/>
                <w:szCs w:val="16"/>
              </w:rPr>
            </w:pPr>
            <w:r>
              <w:rPr>
                <w:rFonts w:hint="eastAsia" w:ascii="宋体" w:hAnsi="宋体" w:eastAsia="宋体" w:cs="宋体"/>
                <w:color w:val="000000"/>
                <w:kern w:val="0"/>
                <w:sz w:val="16"/>
                <w:szCs w:val="16"/>
              </w:rPr>
              <w:t>三公经费压减，严格一般性支出”</w:t>
            </w:r>
          </w:p>
        </w:tc>
        <w:tc>
          <w:tcPr>
            <w:tcW w:w="540" w:type="dxa"/>
            <w:tcBorders>
              <w:top w:val="nil"/>
              <w:left w:val="nil"/>
              <w:bottom w:val="single" w:color="000000" w:sz="4" w:space="0"/>
              <w:right w:val="single" w:color="000000" w:sz="4" w:space="0"/>
            </w:tcBorders>
            <w:shd w:val="clear" w:color="auto" w:fill="auto"/>
            <w:vAlign w:val="center"/>
          </w:tcPr>
          <w:p>
            <w:pPr>
              <w:widowControl/>
              <w:jc w:val="left"/>
              <w:rPr>
                <w:rFonts w:ascii="宋体" w:hAnsi="宋体" w:eastAsia="宋体" w:cs="宋体"/>
                <w:color w:val="000000"/>
                <w:kern w:val="0"/>
                <w:sz w:val="16"/>
                <w:szCs w:val="16"/>
              </w:rPr>
            </w:pPr>
            <w:r>
              <w:rPr>
                <w:rFonts w:hint="eastAsia" w:ascii="宋体" w:hAnsi="宋体" w:eastAsia="宋体" w:cs="宋体"/>
                <w:color w:val="000000"/>
                <w:kern w:val="0"/>
                <w:sz w:val="16"/>
                <w:szCs w:val="16"/>
              </w:rPr>
              <w:t>定性</w:t>
            </w:r>
          </w:p>
        </w:tc>
        <w:tc>
          <w:tcPr>
            <w:tcW w:w="620" w:type="dxa"/>
            <w:tcBorders>
              <w:top w:val="nil"/>
              <w:left w:val="nil"/>
              <w:bottom w:val="single" w:color="000000" w:sz="4" w:space="0"/>
              <w:right w:val="single" w:color="000000" w:sz="4" w:space="0"/>
            </w:tcBorders>
            <w:shd w:val="clear" w:color="auto" w:fill="auto"/>
            <w:vAlign w:val="center"/>
          </w:tcPr>
          <w:p>
            <w:pPr>
              <w:widowControl/>
              <w:jc w:val="left"/>
              <w:rPr>
                <w:rFonts w:ascii="宋体" w:hAnsi="宋体" w:eastAsia="宋体" w:cs="宋体"/>
                <w:color w:val="000000"/>
                <w:kern w:val="0"/>
                <w:sz w:val="16"/>
                <w:szCs w:val="16"/>
              </w:rPr>
            </w:pPr>
            <w:r>
              <w:rPr>
                <w:rFonts w:hint="eastAsia" w:ascii="宋体" w:hAnsi="宋体" w:eastAsia="宋体" w:cs="宋体"/>
                <w:color w:val="000000"/>
                <w:kern w:val="0"/>
                <w:sz w:val="16"/>
                <w:szCs w:val="16"/>
              </w:rPr>
              <w:t>减少</w:t>
            </w:r>
          </w:p>
        </w:tc>
        <w:tc>
          <w:tcPr>
            <w:tcW w:w="600" w:type="dxa"/>
            <w:tcBorders>
              <w:top w:val="nil"/>
              <w:left w:val="nil"/>
              <w:bottom w:val="single" w:color="000000" w:sz="4" w:space="0"/>
              <w:right w:val="single" w:color="000000" w:sz="4" w:space="0"/>
            </w:tcBorders>
            <w:shd w:val="clear" w:color="auto" w:fill="auto"/>
            <w:vAlign w:val="center"/>
          </w:tcPr>
          <w:p>
            <w:pPr>
              <w:widowControl/>
              <w:jc w:val="left"/>
              <w:rPr>
                <w:rFonts w:ascii="宋体" w:hAnsi="宋体" w:eastAsia="宋体" w:cs="宋体"/>
                <w:color w:val="000000"/>
                <w:kern w:val="0"/>
                <w:sz w:val="16"/>
                <w:szCs w:val="16"/>
              </w:rPr>
            </w:pPr>
            <w:r>
              <w:rPr>
                <w:rFonts w:hint="eastAsia" w:ascii="宋体" w:hAnsi="宋体" w:eastAsia="宋体" w:cs="宋体"/>
                <w:color w:val="000000"/>
                <w:kern w:val="0"/>
                <w:sz w:val="16"/>
                <w:szCs w:val="16"/>
              </w:rPr>
              <w:t>元</w:t>
            </w:r>
          </w:p>
        </w:tc>
        <w:tc>
          <w:tcPr>
            <w:tcW w:w="660" w:type="dxa"/>
            <w:tcBorders>
              <w:top w:val="nil"/>
              <w:left w:val="nil"/>
              <w:bottom w:val="single" w:color="000000" w:sz="4" w:space="0"/>
              <w:right w:val="nil"/>
            </w:tcBorders>
            <w:shd w:val="clear" w:color="auto" w:fill="auto"/>
            <w:vAlign w:val="center"/>
          </w:tcPr>
          <w:p>
            <w:pPr>
              <w:widowControl/>
              <w:jc w:val="left"/>
              <w:rPr>
                <w:rFonts w:ascii="宋体" w:hAnsi="宋体" w:eastAsia="宋体" w:cs="宋体"/>
                <w:color w:val="000000"/>
                <w:kern w:val="0"/>
                <w:sz w:val="16"/>
                <w:szCs w:val="16"/>
              </w:rPr>
            </w:pPr>
            <w:r>
              <w:rPr>
                <w:rFonts w:hint="eastAsia" w:ascii="宋体" w:hAnsi="宋体" w:eastAsia="宋体" w:cs="宋体"/>
                <w:color w:val="000000"/>
                <w:kern w:val="0"/>
                <w:sz w:val="16"/>
                <w:szCs w:val="16"/>
              </w:rPr>
              <w:t>20</w:t>
            </w:r>
          </w:p>
        </w:tc>
        <w:tc>
          <w:tcPr>
            <w:tcW w:w="78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6"/>
                <w:szCs w:val="16"/>
              </w:rPr>
            </w:pPr>
            <w:r>
              <w:rPr>
                <w:rFonts w:hint="eastAsia" w:ascii="宋体" w:hAnsi="宋体" w:eastAsia="宋体" w:cs="宋体"/>
                <w:color w:val="000000"/>
                <w:kern w:val="0"/>
                <w:sz w:val="16"/>
                <w:szCs w:val="16"/>
              </w:rPr>
              <w:t>减少</w:t>
            </w:r>
          </w:p>
        </w:tc>
      </w:tr>
      <w:tr>
        <w:tblPrEx>
          <w:tblCellMar>
            <w:top w:w="0" w:type="dxa"/>
            <w:left w:w="108" w:type="dxa"/>
            <w:bottom w:w="0" w:type="dxa"/>
            <w:right w:w="108" w:type="dxa"/>
          </w:tblCellMar>
        </w:tblPrEx>
        <w:trPr>
          <w:trHeight w:val="435" w:hRule="atLeast"/>
        </w:trPr>
        <w:tc>
          <w:tcPr>
            <w:tcW w:w="80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16"/>
                <w:szCs w:val="16"/>
              </w:rPr>
            </w:pPr>
          </w:p>
        </w:tc>
        <w:tc>
          <w:tcPr>
            <w:tcW w:w="940"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eastAsia="宋体" w:cs="宋体"/>
                <w:color w:val="000000"/>
                <w:kern w:val="0"/>
                <w:sz w:val="16"/>
                <w:szCs w:val="16"/>
              </w:rPr>
            </w:pPr>
          </w:p>
        </w:tc>
        <w:tc>
          <w:tcPr>
            <w:tcW w:w="1120" w:type="dxa"/>
            <w:vMerge w:val="continue"/>
            <w:tcBorders>
              <w:top w:val="nil"/>
              <w:left w:val="single" w:color="auto" w:sz="4" w:space="0"/>
              <w:bottom w:val="single" w:color="000000" w:sz="4" w:space="0"/>
              <w:right w:val="single" w:color="000000" w:sz="4" w:space="0"/>
            </w:tcBorders>
            <w:vAlign w:val="center"/>
          </w:tcPr>
          <w:p>
            <w:pPr>
              <w:widowControl/>
              <w:jc w:val="left"/>
              <w:rPr>
                <w:rFonts w:ascii="宋体" w:hAnsi="宋体" w:eastAsia="宋体" w:cs="宋体"/>
                <w:color w:val="000000"/>
                <w:kern w:val="0"/>
                <w:sz w:val="16"/>
                <w:szCs w:val="16"/>
              </w:rPr>
            </w:pPr>
          </w:p>
        </w:tc>
        <w:tc>
          <w:tcPr>
            <w:tcW w:w="2560" w:type="dxa"/>
            <w:tcBorders>
              <w:top w:val="nil"/>
              <w:left w:val="nil"/>
              <w:bottom w:val="single" w:color="000000" w:sz="4" w:space="0"/>
              <w:right w:val="single" w:color="000000" w:sz="4" w:space="0"/>
            </w:tcBorders>
            <w:shd w:val="clear" w:color="auto" w:fill="auto"/>
            <w:vAlign w:val="center"/>
          </w:tcPr>
          <w:p>
            <w:pPr>
              <w:widowControl/>
              <w:jc w:val="left"/>
              <w:rPr>
                <w:rFonts w:ascii="宋体" w:hAnsi="宋体" w:eastAsia="宋体" w:cs="宋体"/>
                <w:color w:val="000000"/>
                <w:kern w:val="0"/>
                <w:sz w:val="16"/>
                <w:szCs w:val="16"/>
              </w:rPr>
            </w:pPr>
            <w:r>
              <w:rPr>
                <w:rFonts w:hint="eastAsia" w:ascii="宋体" w:hAnsi="宋体" w:eastAsia="宋体" w:cs="宋体"/>
                <w:color w:val="000000"/>
                <w:kern w:val="0"/>
                <w:sz w:val="16"/>
                <w:szCs w:val="16"/>
              </w:rPr>
              <w:t>财政信息系统网络维护</w:t>
            </w:r>
          </w:p>
        </w:tc>
        <w:tc>
          <w:tcPr>
            <w:tcW w:w="540" w:type="dxa"/>
            <w:tcBorders>
              <w:top w:val="nil"/>
              <w:left w:val="nil"/>
              <w:bottom w:val="single" w:color="000000" w:sz="4" w:space="0"/>
              <w:right w:val="single" w:color="000000" w:sz="4" w:space="0"/>
            </w:tcBorders>
            <w:shd w:val="clear" w:color="auto" w:fill="auto"/>
            <w:vAlign w:val="center"/>
          </w:tcPr>
          <w:p>
            <w:pPr>
              <w:widowControl/>
              <w:jc w:val="left"/>
              <w:rPr>
                <w:rFonts w:ascii="宋体" w:hAnsi="宋体" w:eastAsia="宋体" w:cs="宋体"/>
                <w:color w:val="000000"/>
                <w:kern w:val="0"/>
                <w:sz w:val="16"/>
                <w:szCs w:val="16"/>
              </w:rPr>
            </w:pPr>
            <w:r>
              <w:rPr>
                <w:rFonts w:hint="eastAsia" w:ascii="宋体" w:hAnsi="宋体" w:eastAsia="宋体" w:cs="宋体"/>
                <w:color w:val="000000"/>
                <w:kern w:val="0"/>
                <w:sz w:val="16"/>
                <w:szCs w:val="16"/>
              </w:rPr>
              <w:t>≥</w:t>
            </w:r>
          </w:p>
        </w:tc>
        <w:tc>
          <w:tcPr>
            <w:tcW w:w="620" w:type="dxa"/>
            <w:tcBorders>
              <w:top w:val="nil"/>
              <w:left w:val="nil"/>
              <w:bottom w:val="single" w:color="000000" w:sz="4" w:space="0"/>
              <w:right w:val="single" w:color="000000" w:sz="4" w:space="0"/>
            </w:tcBorders>
            <w:shd w:val="clear" w:color="auto" w:fill="auto"/>
            <w:vAlign w:val="center"/>
          </w:tcPr>
          <w:p>
            <w:pPr>
              <w:widowControl/>
              <w:jc w:val="left"/>
              <w:rPr>
                <w:rFonts w:ascii="宋体" w:hAnsi="宋体" w:eastAsia="宋体" w:cs="宋体"/>
                <w:color w:val="000000"/>
                <w:kern w:val="0"/>
                <w:sz w:val="16"/>
                <w:szCs w:val="16"/>
              </w:rPr>
            </w:pPr>
            <w:r>
              <w:rPr>
                <w:rFonts w:hint="eastAsia" w:ascii="宋体" w:hAnsi="宋体" w:eastAsia="宋体" w:cs="宋体"/>
                <w:color w:val="000000"/>
                <w:kern w:val="0"/>
                <w:sz w:val="16"/>
                <w:szCs w:val="16"/>
              </w:rPr>
              <w:t>78</w:t>
            </w:r>
          </w:p>
        </w:tc>
        <w:tc>
          <w:tcPr>
            <w:tcW w:w="600" w:type="dxa"/>
            <w:tcBorders>
              <w:top w:val="nil"/>
              <w:left w:val="nil"/>
              <w:bottom w:val="single" w:color="000000" w:sz="4" w:space="0"/>
              <w:right w:val="single" w:color="000000" w:sz="4" w:space="0"/>
            </w:tcBorders>
            <w:shd w:val="clear" w:color="auto" w:fill="auto"/>
            <w:vAlign w:val="center"/>
          </w:tcPr>
          <w:p>
            <w:pPr>
              <w:widowControl/>
              <w:jc w:val="left"/>
              <w:rPr>
                <w:rFonts w:ascii="宋体" w:hAnsi="宋体" w:eastAsia="宋体" w:cs="宋体"/>
                <w:color w:val="000000"/>
                <w:kern w:val="0"/>
                <w:sz w:val="16"/>
                <w:szCs w:val="16"/>
              </w:rPr>
            </w:pPr>
            <w:r>
              <w:rPr>
                <w:rFonts w:hint="eastAsia" w:ascii="宋体" w:hAnsi="宋体" w:eastAsia="宋体" w:cs="宋体"/>
                <w:color w:val="000000"/>
                <w:kern w:val="0"/>
                <w:sz w:val="16"/>
                <w:szCs w:val="16"/>
              </w:rPr>
              <w:t>个</w:t>
            </w:r>
          </w:p>
        </w:tc>
        <w:tc>
          <w:tcPr>
            <w:tcW w:w="660" w:type="dxa"/>
            <w:tcBorders>
              <w:top w:val="nil"/>
              <w:left w:val="nil"/>
              <w:bottom w:val="single" w:color="000000" w:sz="4" w:space="0"/>
              <w:right w:val="nil"/>
            </w:tcBorders>
            <w:shd w:val="clear" w:color="auto" w:fill="auto"/>
            <w:vAlign w:val="center"/>
          </w:tcPr>
          <w:p>
            <w:pPr>
              <w:widowControl/>
              <w:jc w:val="left"/>
              <w:rPr>
                <w:rFonts w:ascii="宋体" w:hAnsi="宋体" w:eastAsia="宋体" w:cs="宋体"/>
                <w:color w:val="000000"/>
                <w:kern w:val="0"/>
                <w:sz w:val="16"/>
                <w:szCs w:val="16"/>
              </w:rPr>
            </w:pPr>
            <w:r>
              <w:rPr>
                <w:rFonts w:hint="eastAsia" w:ascii="宋体" w:hAnsi="宋体" w:eastAsia="宋体" w:cs="宋体"/>
                <w:color w:val="000000"/>
                <w:kern w:val="0"/>
                <w:sz w:val="16"/>
                <w:szCs w:val="16"/>
              </w:rPr>
              <w:t>20</w:t>
            </w:r>
          </w:p>
        </w:tc>
        <w:tc>
          <w:tcPr>
            <w:tcW w:w="780" w:type="dxa"/>
            <w:tcBorders>
              <w:top w:val="nil"/>
              <w:left w:val="single" w:color="auto" w:sz="4" w:space="0"/>
              <w:bottom w:val="single" w:color="auto" w:sz="4" w:space="0"/>
              <w:right w:val="single" w:color="auto" w:sz="4" w:space="0"/>
            </w:tcBorders>
            <w:shd w:val="clear" w:color="auto" w:fill="auto"/>
            <w:noWrap/>
            <w:vAlign w:val="center"/>
          </w:tcPr>
          <w:p>
            <w:pPr>
              <w:widowControl/>
              <w:jc w:val="right"/>
              <w:rPr>
                <w:rFonts w:ascii="宋体" w:hAnsi="宋体" w:eastAsia="宋体" w:cs="宋体"/>
                <w:color w:val="000000"/>
                <w:kern w:val="0"/>
                <w:sz w:val="16"/>
                <w:szCs w:val="16"/>
              </w:rPr>
            </w:pPr>
            <w:r>
              <w:rPr>
                <w:rFonts w:hint="eastAsia" w:ascii="宋体" w:hAnsi="宋体" w:eastAsia="宋体" w:cs="宋体"/>
                <w:color w:val="000000"/>
                <w:kern w:val="0"/>
                <w:sz w:val="16"/>
                <w:szCs w:val="16"/>
              </w:rPr>
              <w:t>78</w:t>
            </w:r>
          </w:p>
        </w:tc>
      </w:tr>
      <w:tr>
        <w:tblPrEx>
          <w:tblCellMar>
            <w:top w:w="0" w:type="dxa"/>
            <w:left w:w="108" w:type="dxa"/>
            <w:bottom w:w="0" w:type="dxa"/>
            <w:right w:w="108" w:type="dxa"/>
          </w:tblCellMar>
        </w:tblPrEx>
        <w:trPr>
          <w:trHeight w:val="435" w:hRule="atLeast"/>
        </w:trPr>
        <w:tc>
          <w:tcPr>
            <w:tcW w:w="80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16"/>
                <w:szCs w:val="16"/>
              </w:rPr>
            </w:pPr>
          </w:p>
        </w:tc>
        <w:tc>
          <w:tcPr>
            <w:tcW w:w="940"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eastAsia="宋体" w:cs="宋体"/>
                <w:color w:val="000000"/>
                <w:kern w:val="0"/>
                <w:sz w:val="16"/>
                <w:szCs w:val="16"/>
              </w:rPr>
            </w:pPr>
          </w:p>
        </w:tc>
        <w:tc>
          <w:tcPr>
            <w:tcW w:w="1120" w:type="dxa"/>
            <w:vMerge w:val="continue"/>
            <w:tcBorders>
              <w:top w:val="nil"/>
              <w:left w:val="single" w:color="auto" w:sz="4" w:space="0"/>
              <w:bottom w:val="single" w:color="000000" w:sz="4" w:space="0"/>
              <w:right w:val="single" w:color="000000" w:sz="4" w:space="0"/>
            </w:tcBorders>
            <w:vAlign w:val="center"/>
          </w:tcPr>
          <w:p>
            <w:pPr>
              <w:widowControl/>
              <w:jc w:val="left"/>
              <w:rPr>
                <w:rFonts w:ascii="宋体" w:hAnsi="宋体" w:eastAsia="宋体" w:cs="宋体"/>
                <w:color w:val="000000"/>
                <w:kern w:val="0"/>
                <w:sz w:val="16"/>
                <w:szCs w:val="16"/>
              </w:rPr>
            </w:pPr>
          </w:p>
        </w:tc>
        <w:tc>
          <w:tcPr>
            <w:tcW w:w="2560" w:type="dxa"/>
            <w:tcBorders>
              <w:top w:val="nil"/>
              <w:left w:val="nil"/>
              <w:bottom w:val="single" w:color="000000" w:sz="4" w:space="0"/>
              <w:right w:val="single" w:color="000000" w:sz="4" w:space="0"/>
            </w:tcBorders>
            <w:shd w:val="clear" w:color="auto" w:fill="auto"/>
            <w:vAlign w:val="center"/>
          </w:tcPr>
          <w:p>
            <w:pPr>
              <w:widowControl/>
              <w:jc w:val="left"/>
              <w:rPr>
                <w:rFonts w:ascii="宋体" w:hAnsi="宋体" w:eastAsia="宋体" w:cs="宋体"/>
                <w:color w:val="000000"/>
                <w:kern w:val="0"/>
                <w:sz w:val="16"/>
                <w:szCs w:val="16"/>
              </w:rPr>
            </w:pPr>
            <w:r>
              <w:rPr>
                <w:rFonts w:hint="eastAsia" w:ascii="宋体" w:hAnsi="宋体" w:eastAsia="宋体" w:cs="宋体"/>
                <w:color w:val="000000"/>
                <w:kern w:val="0"/>
                <w:sz w:val="16"/>
                <w:szCs w:val="16"/>
              </w:rPr>
              <w:t>组织财务培训、制作资料等</w:t>
            </w:r>
          </w:p>
        </w:tc>
        <w:tc>
          <w:tcPr>
            <w:tcW w:w="540" w:type="dxa"/>
            <w:tcBorders>
              <w:top w:val="nil"/>
              <w:left w:val="nil"/>
              <w:bottom w:val="single" w:color="000000" w:sz="4" w:space="0"/>
              <w:right w:val="single" w:color="000000" w:sz="4" w:space="0"/>
            </w:tcBorders>
            <w:shd w:val="clear" w:color="auto" w:fill="auto"/>
            <w:vAlign w:val="center"/>
          </w:tcPr>
          <w:p>
            <w:pPr>
              <w:widowControl/>
              <w:jc w:val="left"/>
              <w:rPr>
                <w:rFonts w:ascii="宋体" w:hAnsi="宋体" w:eastAsia="宋体" w:cs="宋体"/>
                <w:color w:val="000000"/>
                <w:kern w:val="0"/>
                <w:sz w:val="16"/>
                <w:szCs w:val="16"/>
              </w:rPr>
            </w:pPr>
            <w:r>
              <w:rPr>
                <w:rFonts w:hint="eastAsia" w:ascii="宋体" w:hAnsi="宋体" w:eastAsia="宋体" w:cs="宋体"/>
                <w:color w:val="000000"/>
                <w:kern w:val="0"/>
                <w:sz w:val="16"/>
                <w:szCs w:val="16"/>
              </w:rPr>
              <w:t>≥</w:t>
            </w:r>
          </w:p>
        </w:tc>
        <w:tc>
          <w:tcPr>
            <w:tcW w:w="620" w:type="dxa"/>
            <w:tcBorders>
              <w:top w:val="nil"/>
              <w:left w:val="nil"/>
              <w:bottom w:val="single" w:color="000000" w:sz="4" w:space="0"/>
              <w:right w:val="single" w:color="000000" w:sz="4" w:space="0"/>
            </w:tcBorders>
            <w:shd w:val="clear" w:color="auto" w:fill="auto"/>
            <w:vAlign w:val="center"/>
          </w:tcPr>
          <w:p>
            <w:pPr>
              <w:widowControl/>
              <w:jc w:val="left"/>
              <w:rPr>
                <w:rFonts w:ascii="宋体" w:hAnsi="宋体" w:eastAsia="宋体" w:cs="宋体"/>
                <w:color w:val="000000"/>
                <w:kern w:val="0"/>
                <w:sz w:val="16"/>
                <w:szCs w:val="16"/>
              </w:rPr>
            </w:pPr>
            <w:r>
              <w:rPr>
                <w:rFonts w:hint="eastAsia" w:ascii="宋体" w:hAnsi="宋体" w:eastAsia="宋体" w:cs="宋体"/>
                <w:color w:val="000000"/>
                <w:kern w:val="0"/>
                <w:sz w:val="16"/>
                <w:szCs w:val="16"/>
              </w:rPr>
              <w:t>3</w:t>
            </w:r>
          </w:p>
        </w:tc>
        <w:tc>
          <w:tcPr>
            <w:tcW w:w="600" w:type="dxa"/>
            <w:tcBorders>
              <w:top w:val="nil"/>
              <w:left w:val="nil"/>
              <w:bottom w:val="single" w:color="000000" w:sz="4" w:space="0"/>
              <w:right w:val="single" w:color="000000" w:sz="4" w:space="0"/>
            </w:tcBorders>
            <w:shd w:val="clear" w:color="auto" w:fill="auto"/>
            <w:vAlign w:val="center"/>
          </w:tcPr>
          <w:p>
            <w:pPr>
              <w:widowControl/>
              <w:jc w:val="left"/>
              <w:rPr>
                <w:rFonts w:ascii="宋体" w:hAnsi="宋体" w:eastAsia="宋体" w:cs="宋体"/>
                <w:color w:val="000000"/>
                <w:kern w:val="0"/>
                <w:sz w:val="16"/>
                <w:szCs w:val="16"/>
              </w:rPr>
            </w:pPr>
            <w:r>
              <w:rPr>
                <w:rFonts w:hint="eastAsia" w:ascii="宋体" w:hAnsi="宋体" w:eastAsia="宋体" w:cs="宋体"/>
                <w:color w:val="000000"/>
                <w:kern w:val="0"/>
                <w:sz w:val="16"/>
                <w:szCs w:val="16"/>
              </w:rPr>
              <w:t>批次</w:t>
            </w:r>
          </w:p>
        </w:tc>
        <w:tc>
          <w:tcPr>
            <w:tcW w:w="660" w:type="dxa"/>
            <w:tcBorders>
              <w:top w:val="nil"/>
              <w:left w:val="nil"/>
              <w:bottom w:val="single" w:color="000000" w:sz="4" w:space="0"/>
              <w:right w:val="nil"/>
            </w:tcBorders>
            <w:shd w:val="clear" w:color="auto" w:fill="auto"/>
            <w:vAlign w:val="center"/>
          </w:tcPr>
          <w:p>
            <w:pPr>
              <w:widowControl/>
              <w:jc w:val="left"/>
              <w:rPr>
                <w:rFonts w:ascii="宋体" w:hAnsi="宋体" w:eastAsia="宋体" w:cs="宋体"/>
                <w:color w:val="000000"/>
                <w:kern w:val="0"/>
                <w:sz w:val="16"/>
                <w:szCs w:val="16"/>
              </w:rPr>
            </w:pPr>
            <w:r>
              <w:rPr>
                <w:rFonts w:hint="eastAsia" w:ascii="宋体" w:hAnsi="宋体" w:eastAsia="宋体" w:cs="宋体"/>
                <w:color w:val="000000"/>
                <w:kern w:val="0"/>
                <w:sz w:val="16"/>
                <w:szCs w:val="16"/>
              </w:rPr>
              <w:t>20</w:t>
            </w:r>
          </w:p>
        </w:tc>
        <w:tc>
          <w:tcPr>
            <w:tcW w:w="780" w:type="dxa"/>
            <w:tcBorders>
              <w:top w:val="nil"/>
              <w:left w:val="single" w:color="auto" w:sz="4" w:space="0"/>
              <w:bottom w:val="single" w:color="auto" w:sz="4" w:space="0"/>
              <w:right w:val="single" w:color="auto" w:sz="4" w:space="0"/>
            </w:tcBorders>
            <w:shd w:val="clear" w:color="auto" w:fill="auto"/>
            <w:noWrap/>
            <w:vAlign w:val="center"/>
          </w:tcPr>
          <w:p>
            <w:pPr>
              <w:widowControl/>
              <w:jc w:val="right"/>
              <w:rPr>
                <w:rFonts w:ascii="宋体" w:hAnsi="宋体" w:eastAsia="宋体" w:cs="宋体"/>
                <w:color w:val="000000"/>
                <w:kern w:val="0"/>
                <w:sz w:val="16"/>
                <w:szCs w:val="16"/>
              </w:rPr>
            </w:pPr>
            <w:r>
              <w:rPr>
                <w:rFonts w:hint="eastAsia" w:ascii="宋体" w:hAnsi="宋体" w:eastAsia="宋体" w:cs="宋体"/>
                <w:color w:val="000000"/>
                <w:kern w:val="0"/>
                <w:sz w:val="16"/>
                <w:szCs w:val="16"/>
              </w:rPr>
              <w:t>3</w:t>
            </w:r>
          </w:p>
        </w:tc>
      </w:tr>
    </w:tbl>
    <w:p>
      <w:pPr>
        <w:pStyle w:val="13"/>
        <w:spacing w:after="0" w:line="560" w:lineRule="exact"/>
        <w:ind w:left="0" w:leftChars="0" w:firstLine="0" w:firstLineChars="0"/>
        <w:rPr>
          <w:rFonts w:ascii="Times New Roman" w:eastAsia="黑体"/>
          <w:sz w:val="24"/>
          <w:szCs w:val="24"/>
        </w:rPr>
      </w:pPr>
    </w:p>
    <w:sectPr>
      <w:headerReference r:id="rId3" w:type="default"/>
      <w:footerReference r:id="rId4" w:type="default"/>
      <w:pgSz w:w="11906" w:h="16838"/>
      <w:pgMar w:top="2098" w:right="1474" w:bottom="1984" w:left="1587" w:header="851" w:footer="992" w:gutter="0"/>
      <w:pgNumType w:fmt="numberInDash"/>
      <w:cols w:space="425" w:num="1"/>
      <w:docGrid w:type="lines" w:linePitch="43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panose1 w:val="02010609030101010101"/>
    <w:charset w:val="86"/>
    <w:family w:val="modern"/>
    <w:pitch w:val="default"/>
    <w:sig w:usb0="00000001" w:usb1="080E0000" w:usb2="00000000" w:usb3="00000000" w:csb0="00040000" w:csb1="00000000"/>
  </w:font>
  <w:font w:name="Arial">
    <w:altName w:val="DejaVu Sans"/>
    <w:panose1 w:val="020B0604020202020204"/>
    <w:charset w:val="00"/>
    <w:family w:val="swiss"/>
    <w:pitch w:val="default"/>
    <w:sig w:usb0="00000000" w:usb1="00000000" w:usb2="00000009" w:usb3="00000000" w:csb0="000001FF" w:csb1="00000000"/>
  </w:font>
  <w:font w:name="仿宋">
    <w:altName w:val="方正仿宋_GBK"/>
    <w:panose1 w:val="02010609060101010101"/>
    <w:charset w:val="86"/>
    <w:family w:val="modern"/>
    <w:pitch w:val="default"/>
    <w:sig w:usb0="00000000" w:usb1="00000000" w:usb2="00000016" w:usb3="00000000" w:csb0="00040001" w:csb1="00000000"/>
  </w:font>
  <w:font w:name="??">
    <w:altName w:val="仿宋_GB2312"/>
    <w:panose1 w:val="00000000000000000000"/>
    <w:charset w:val="00"/>
    <w:family w:val="roman"/>
    <w:pitch w:val="default"/>
    <w:sig w:usb0="00000000" w:usb1="00000000" w:usb2="00000000" w:usb3="00000000" w:csb0="00000000" w:csb1="00000000"/>
  </w:font>
  <w:font w:name="Wingdings 2">
    <w:panose1 w:val="05020102010507070707"/>
    <w:charset w:val="00"/>
    <w:family w:val="auto"/>
    <w:pitch w:val="default"/>
    <w:sig w:usb0="00000000" w:usb1="00000000" w:usb2="00000000" w:usb3="00000000" w:csb0="80000000" w:csb1="00000000"/>
  </w:font>
  <w:font w:name="Courier New">
    <w:altName w:val="DejaVu Sans"/>
    <w:panose1 w:val="02070309020205020404"/>
    <w:charset w:val="00"/>
    <w:family w:val="modern"/>
    <w:pitch w:val="default"/>
    <w:sig w:usb0="00000000" w:usb1="00000000" w:usb2="00000009" w:usb3="00000000" w:csb0="000001FF" w:csb1="00000000"/>
  </w:font>
  <w:font w:name="方正小标宋_GBK">
    <w:panose1 w:val="02000000000000000000"/>
    <w:charset w:val="86"/>
    <w:family w:val="script"/>
    <w:pitch w:val="default"/>
    <w:sig w:usb0="A00002BF" w:usb1="38CF7CFA" w:usb2="00082016" w:usb3="00000000" w:csb0="00040001" w:csb1="00000000"/>
  </w:font>
  <w:font w:name="楷体_GB2312">
    <w:panose1 w:val="02010609030101010101"/>
    <w:charset w:val="86"/>
    <w:family w:val="auto"/>
    <w:pitch w:val="default"/>
    <w:sig w:usb0="00000001" w:usb1="080E0000" w:usb2="00000000" w:usb3="00000000" w:csb0="00040000" w:csb1="00000000"/>
  </w:font>
  <w:font w:name="方正小标宋简体">
    <w:altName w:val="仿宋_GB2312"/>
    <w:panose1 w:val="00000000000000000000"/>
    <w:charset w:val="86"/>
    <w:family w:val="auto"/>
    <w:pitch w:val="default"/>
    <w:sig w:usb0="00000000" w:usb1="00000000" w:usb2="00000012" w:usb3="00000000" w:csb0="00040001" w:csb1="00000000"/>
  </w:font>
  <w:font w:name="方正书宋_GBK">
    <w:panose1 w:val="02000000000000000000"/>
    <w:charset w:val="86"/>
    <w:family w:val="auto"/>
    <w:pitch w:val="default"/>
    <w:sig w:usb0="A00002BF" w:usb1="38CF7CFA" w:usb2="00082016" w:usb3="00000000" w:csb0="00040001" w:csb1="00000000"/>
  </w:font>
  <w:font w:name="DejaVu Sans">
    <w:panose1 w:val="020B0603030804020204"/>
    <w:charset w:val="00"/>
    <w:family w:val="auto"/>
    <w:pitch w:val="default"/>
    <w:sig w:usb0="E7006EFF" w:usb1="D200FDFF" w:usb2="0A246029" w:usb3="0400200C" w:csb0="600001FF" w:csb1="DFFF0000"/>
  </w:font>
  <w:font w:name="方正仿宋_GBK">
    <w:panose1 w:val="02000000000000000000"/>
    <w:charset w:val="86"/>
    <w:family w:val="auto"/>
    <w:pitch w:val="default"/>
    <w:sig w:usb0="A00002BF" w:usb1="38CF7CFA" w:usb2="00082016" w:usb3="00000000" w:csb0="00040001" w:csb1="00000000"/>
  </w:font>
  <w:font w:name="方正黑体_GBK">
    <w:panose1 w:val="02000000000000000000"/>
    <w:charset w:val="86"/>
    <w:family w:val="auto"/>
    <w:pitch w:val="default"/>
    <w:sig w:usb0="A00002BF" w:usb1="38CF7CFA" w:usb2="00082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r>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path/>
          <v:fill on="f" focussize="0,0"/>
          <v:stroke on="f" weight="0.5pt" joinstyle="miter"/>
          <v:imagedata o:title=""/>
          <o:lock v:ext="edit"/>
          <v:textbox inset="0mm,0mm,0mm,0mm" style="mso-fit-shape-to-text:t;">
            <w:txbxContent>
              <w:p>
                <w:pPr>
                  <w:pStyle w:val="8"/>
                  <w:ind w:right="451" w:rightChars="141"/>
                  <w:jc w:val="right"/>
                  <w:rPr>
                    <w:rFonts w:ascii="宋体" w:hAnsi="宋体"/>
                    <w:sz w:val="28"/>
                    <w:szCs w:val="28"/>
                  </w:rPr>
                </w:pP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w:t>
                </w:r>
                <w:r>
                  <w:rPr>
                    <w:rFonts w:ascii="宋体" w:hAnsi="宋体"/>
                    <w:sz w:val="28"/>
                    <w:szCs w:val="28"/>
                  </w:rPr>
                  <w:t xml:space="preserve"> 17 -</w:t>
                </w:r>
                <w:r>
                  <w:rPr>
                    <w:rFonts w:ascii="宋体" w:hAnsi="宋体"/>
                    <w:sz w:val="28"/>
                    <w:szCs w:val="28"/>
                  </w:rPr>
                  <w:fldChar w:fldCharType="end"/>
                </w:r>
              </w:p>
              <w:p/>
            </w:txbxContent>
          </v:textbox>
        </v:shape>
      </w:pic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60"/>
  <w:drawingGridVerticalSpacing w:val="435"/>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docVars>
    <w:docVar w:name="commondata" w:val="eyJoZGlkIjoiMjg2NzBmZGI1ODZhMDU1NjZjZmUyMmE1ODg1YTYzNjAifQ=="/>
  </w:docVars>
  <w:rsids>
    <w:rsidRoot w:val="00EC0174"/>
    <w:rsid w:val="00006E4D"/>
    <w:rsid w:val="00010ED2"/>
    <w:rsid w:val="00021652"/>
    <w:rsid w:val="00030311"/>
    <w:rsid w:val="00030782"/>
    <w:rsid w:val="00030B66"/>
    <w:rsid w:val="00044BC4"/>
    <w:rsid w:val="0006102A"/>
    <w:rsid w:val="00065B0F"/>
    <w:rsid w:val="00065E7E"/>
    <w:rsid w:val="00073F26"/>
    <w:rsid w:val="000820BB"/>
    <w:rsid w:val="0008241B"/>
    <w:rsid w:val="00086072"/>
    <w:rsid w:val="000866D2"/>
    <w:rsid w:val="00092280"/>
    <w:rsid w:val="00095AE3"/>
    <w:rsid w:val="00096F3E"/>
    <w:rsid w:val="00097FAE"/>
    <w:rsid w:val="000A177C"/>
    <w:rsid w:val="000A3233"/>
    <w:rsid w:val="000A7CE3"/>
    <w:rsid w:val="000B04D6"/>
    <w:rsid w:val="000B15CE"/>
    <w:rsid w:val="000C40C6"/>
    <w:rsid w:val="000C79C1"/>
    <w:rsid w:val="000D07B5"/>
    <w:rsid w:val="000D208A"/>
    <w:rsid w:val="000D6258"/>
    <w:rsid w:val="000E037E"/>
    <w:rsid w:val="000F3DED"/>
    <w:rsid w:val="000F659A"/>
    <w:rsid w:val="000F77B0"/>
    <w:rsid w:val="0010235D"/>
    <w:rsid w:val="00103A47"/>
    <w:rsid w:val="00106D4D"/>
    <w:rsid w:val="001119A2"/>
    <w:rsid w:val="00113AB4"/>
    <w:rsid w:val="001221D6"/>
    <w:rsid w:val="00124578"/>
    <w:rsid w:val="00124ADE"/>
    <w:rsid w:val="0012510A"/>
    <w:rsid w:val="00125F67"/>
    <w:rsid w:val="001261AE"/>
    <w:rsid w:val="00127EBB"/>
    <w:rsid w:val="001348A4"/>
    <w:rsid w:val="00137A71"/>
    <w:rsid w:val="0014117C"/>
    <w:rsid w:val="00146FE8"/>
    <w:rsid w:val="0014767B"/>
    <w:rsid w:val="00147AED"/>
    <w:rsid w:val="0015556D"/>
    <w:rsid w:val="00156831"/>
    <w:rsid w:val="00157F14"/>
    <w:rsid w:val="001766FE"/>
    <w:rsid w:val="00177AAF"/>
    <w:rsid w:val="00183850"/>
    <w:rsid w:val="00184D9F"/>
    <w:rsid w:val="001851B3"/>
    <w:rsid w:val="00196147"/>
    <w:rsid w:val="001A4749"/>
    <w:rsid w:val="001A4842"/>
    <w:rsid w:val="001A5833"/>
    <w:rsid w:val="001B2B3F"/>
    <w:rsid w:val="001C2158"/>
    <w:rsid w:val="001C365A"/>
    <w:rsid w:val="001C3EF6"/>
    <w:rsid w:val="001C4DE9"/>
    <w:rsid w:val="001C51F2"/>
    <w:rsid w:val="001C52C6"/>
    <w:rsid w:val="001C73AB"/>
    <w:rsid w:val="001D2EA4"/>
    <w:rsid w:val="001E4E8D"/>
    <w:rsid w:val="001F47CE"/>
    <w:rsid w:val="001F5776"/>
    <w:rsid w:val="0020620D"/>
    <w:rsid w:val="002069BC"/>
    <w:rsid w:val="002069EB"/>
    <w:rsid w:val="00213619"/>
    <w:rsid w:val="00215E0C"/>
    <w:rsid w:val="002167ED"/>
    <w:rsid w:val="002201B0"/>
    <w:rsid w:val="00220900"/>
    <w:rsid w:val="0022307E"/>
    <w:rsid w:val="00224D05"/>
    <w:rsid w:val="00225BDA"/>
    <w:rsid w:val="00226669"/>
    <w:rsid w:val="002323A3"/>
    <w:rsid w:val="00234D87"/>
    <w:rsid w:val="00235E19"/>
    <w:rsid w:val="00236EF7"/>
    <w:rsid w:val="0024058A"/>
    <w:rsid w:val="002410C0"/>
    <w:rsid w:val="00241BDB"/>
    <w:rsid w:val="002471B1"/>
    <w:rsid w:val="00252894"/>
    <w:rsid w:val="00253FA6"/>
    <w:rsid w:val="00254728"/>
    <w:rsid w:val="00254F9D"/>
    <w:rsid w:val="002550E7"/>
    <w:rsid w:val="002558D4"/>
    <w:rsid w:val="00255A00"/>
    <w:rsid w:val="002560E2"/>
    <w:rsid w:val="00264CFA"/>
    <w:rsid w:val="0026683D"/>
    <w:rsid w:val="00267005"/>
    <w:rsid w:val="00270DD7"/>
    <w:rsid w:val="00276F4A"/>
    <w:rsid w:val="00280BFB"/>
    <w:rsid w:val="00280C88"/>
    <w:rsid w:val="00281D60"/>
    <w:rsid w:val="002973A4"/>
    <w:rsid w:val="002A0195"/>
    <w:rsid w:val="002B5B34"/>
    <w:rsid w:val="002B6906"/>
    <w:rsid w:val="002B7215"/>
    <w:rsid w:val="002C0AFD"/>
    <w:rsid w:val="002C59D0"/>
    <w:rsid w:val="002D1A18"/>
    <w:rsid w:val="002D6C79"/>
    <w:rsid w:val="002E1104"/>
    <w:rsid w:val="002E3FDD"/>
    <w:rsid w:val="00300EF4"/>
    <w:rsid w:val="00301353"/>
    <w:rsid w:val="0030148D"/>
    <w:rsid w:val="00305FF6"/>
    <w:rsid w:val="00307568"/>
    <w:rsid w:val="00311506"/>
    <w:rsid w:val="003137A8"/>
    <w:rsid w:val="00316ADB"/>
    <w:rsid w:val="00317623"/>
    <w:rsid w:val="003216A7"/>
    <w:rsid w:val="00322FAF"/>
    <w:rsid w:val="003260D0"/>
    <w:rsid w:val="00330130"/>
    <w:rsid w:val="00333613"/>
    <w:rsid w:val="00335F67"/>
    <w:rsid w:val="003361E9"/>
    <w:rsid w:val="00350A65"/>
    <w:rsid w:val="00351A0F"/>
    <w:rsid w:val="00361C85"/>
    <w:rsid w:val="00371352"/>
    <w:rsid w:val="00376753"/>
    <w:rsid w:val="003805E0"/>
    <w:rsid w:val="00382223"/>
    <w:rsid w:val="0038541D"/>
    <w:rsid w:val="003867F1"/>
    <w:rsid w:val="00387818"/>
    <w:rsid w:val="00391A13"/>
    <w:rsid w:val="00391FD0"/>
    <w:rsid w:val="003A44FC"/>
    <w:rsid w:val="003B3299"/>
    <w:rsid w:val="003D10A2"/>
    <w:rsid w:val="003D33B8"/>
    <w:rsid w:val="003D433C"/>
    <w:rsid w:val="003D588F"/>
    <w:rsid w:val="003D624D"/>
    <w:rsid w:val="003D719A"/>
    <w:rsid w:val="003E41D4"/>
    <w:rsid w:val="003F5EB7"/>
    <w:rsid w:val="003F7FE2"/>
    <w:rsid w:val="004004E7"/>
    <w:rsid w:val="0040205A"/>
    <w:rsid w:val="00416E1A"/>
    <w:rsid w:val="00426A3F"/>
    <w:rsid w:val="004277D4"/>
    <w:rsid w:val="00440A37"/>
    <w:rsid w:val="00442FD1"/>
    <w:rsid w:val="00452790"/>
    <w:rsid w:val="00461638"/>
    <w:rsid w:val="00462F82"/>
    <w:rsid w:val="0046583F"/>
    <w:rsid w:val="004706FA"/>
    <w:rsid w:val="00474D8D"/>
    <w:rsid w:val="00475CCD"/>
    <w:rsid w:val="00476C0A"/>
    <w:rsid w:val="00477266"/>
    <w:rsid w:val="004811BC"/>
    <w:rsid w:val="004838F2"/>
    <w:rsid w:val="00486492"/>
    <w:rsid w:val="00492CF6"/>
    <w:rsid w:val="004A4C9D"/>
    <w:rsid w:val="004A6ED8"/>
    <w:rsid w:val="004C2078"/>
    <w:rsid w:val="004C228F"/>
    <w:rsid w:val="004C3CD0"/>
    <w:rsid w:val="004C50FC"/>
    <w:rsid w:val="004E0951"/>
    <w:rsid w:val="004E407F"/>
    <w:rsid w:val="004E752F"/>
    <w:rsid w:val="004F046D"/>
    <w:rsid w:val="004F1E37"/>
    <w:rsid w:val="004F5B5A"/>
    <w:rsid w:val="00502ECA"/>
    <w:rsid w:val="00503E1E"/>
    <w:rsid w:val="00514B38"/>
    <w:rsid w:val="00515198"/>
    <w:rsid w:val="00521C44"/>
    <w:rsid w:val="005266AA"/>
    <w:rsid w:val="005274E1"/>
    <w:rsid w:val="00531DDF"/>
    <w:rsid w:val="00535F07"/>
    <w:rsid w:val="00535FA6"/>
    <w:rsid w:val="0053698E"/>
    <w:rsid w:val="00542AB7"/>
    <w:rsid w:val="0055358D"/>
    <w:rsid w:val="005540C8"/>
    <w:rsid w:val="00555809"/>
    <w:rsid w:val="00562165"/>
    <w:rsid w:val="00571B46"/>
    <w:rsid w:val="005756AF"/>
    <w:rsid w:val="00575A4A"/>
    <w:rsid w:val="00590886"/>
    <w:rsid w:val="00591B6F"/>
    <w:rsid w:val="005A1DAF"/>
    <w:rsid w:val="005B0680"/>
    <w:rsid w:val="005C0B9B"/>
    <w:rsid w:val="005C17C8"/>
    <w:rsid w:val="005C2098"/>
    <w:rsid w:val="005C2E6C"/>
    <w:rsid w:val="005D018D"/>
    <w:rsid w:val="005D0CCF"/>
    <w:rsid w:val="005D1C01"/>
    <w:rsid w:val="005E297D"/>
    <w:rsid w:val="005E3F12"/>
    <w:rsid w:val="005E7091"/>
    <w:rsid w:val="005F627E"/>
    <w:rsid w:val="00603B7F"/>
    <w:rsid w:val="0061652E"/>
    <w:rsid w:val="006205E9"/>
    <w:rsid w:val="00622D0B"/>
    <w:rsid w:val="006235EE"/>
    <w:rsid w:val="006270DA"/>
    <w:rsid w:val="00627DA2"/>
    <w:rsid w:val="00630B75"/>
    <w:rsid w:val="006340C5"/>
    <w:rsid w:val="006341E0"/>
    <w:rsid w:val="00634DFF"/>
    <w:rsid w:val="00635337"/>
    <w:rsid w:val="006422CF"/>
    <w:rsid w:val="0064239F"/>
    <w:rsid w:val="0064265B"/>
    <w:rsid w:val="0064519C"/>
    <w:rsid w:val="00650248"/>
    <w:rsid w:val="0065082E"/>
    <w:rsid w:val="006512D0"/>
    <w:rsid w:val="00652663"/>
    <w:rsid w:val="006535B3"/>
    <w:rsid w:val="006560A3"/>
    <w:rsid w:val="00656301"/>
    <w:rsid w:val="006600C9"/>
    <w:rsid w:val="006701CC"/>
    <w:rsid w:val="00671423"/>
    <w:rsid w:val="00671F58"/>
    <w:rsid w:val="006762A4"/>
    <w:rsid w:val="006900E7"/>
    <w:rsid w:val="006A00A8"/>
    <w:rsid w:val="006A37DD"/>
    <w:rsid w:val="006A482D"/>
    <w:rsid w:val="006B0C28"/>
    <w:rsid w:val="006B11E0"/>
    <w:rsid w:val="006B181E"/>
    <w:rsid w:val="006B386A"/>
    <w:rsid w:val="006B7CB4"/>
    <w:rsid w:val="006C0A61"/>
    <w:rsid w:val="006C24D3"/>
    <w:rsid w:val="006C7917"/>
    <w:rsid w:val="006D2C9D"/>
    <w:rsid w:val="006D6071"/>
    <w:rsid w:val="006E51AE"/>
    <w:rsid w:val="006F29E1"/>
    <w:rsid w:val="0070081F"/>
    <w:rsid w:val="007018F5"/>
    <w:rsid w:val="007029D9"/>
    <w:rsid w:val="00702D14"/>
    <w:rsid w:val="00710897"/>
    <w:rsid w:val="00712F45"/>
    <w:rsid w:val="00716567"/>
    <w:rsid w:val="00720A2F"/>
    <w:rsid w:val="00734305"/>
    <w:rsid w:val="007370E1"/>
    <w:rsid w:val="00771383"/>
    <w:rsid w:val="007732A1"/>
    <w:rsid w:val="00774C4A"/>
    <w:rsid w:val="00782BBB"/>
    <w:rsid w:val="007A0690"/>
    <w:rsid w:val="007A078F"/>
    <w:rsid w:val="007B34D4"/>
    <w:rsid w:val="007C0633"/>
    <w:rsid w:val="007D086C"/>
    <w:rsid w:val="007F1BE1"/>
    <w:rsid w:val="007F6878"/>
    <w:rsid w:val="007F707F"/>
    <w:rsid w:val="007F794C"/>
    <w:rsid w:val="007F7AC9"/>
    <w:rsid w:val="007F7BD9"/>
    <w:rsid w:val="00801C1C"/>
    <w:rsid w:val="00803B42"/>
    <w:rsid w:val="008073EF"/>
    <w:rsid w:val="0081095C"/>
    <w:rsid w:val="00810C41"/>
    <w:rsid w:val="00814740"/>
    <w:rsid w:val="00814DB6"/>
    <w:rsid w:val="008212FF"/>
    <w:rsid w:val="00824524"/>
    <w:rsid w:val="0082593B"/>
    <w:rsid w:val="00827537"/>
    <w:rsid w:val="0083478A"/>
    <w:rsid w:val="00845B78"/>
    <w:rsid w:val="008468EA"/>
    <w:rsid w:val="00846EE3"/>
    <w:rsid w:val="008477B6"/>
    <w:rsid w:val="00855D38"/>
    <w:rsid w:val="00867140"/>
    <w:rsid w:val="00881134"/>
    <w:rsid w:val="00884926"/>
    <w:rsid w:val="008903FA"/>
    <w:rsid w:val="008904F0"/>
    <w:rsid w:val="00894931"/>
    <w:rsid w:val="008A6039"/>
    <w:rsid w:val="008B072A"/>
    <w:rsid w:val="008B2D01"/>
    <w:rsid w:val="008B2F27"/>
    <w:rsid w:val="008B4A72"/>
    <w:rsid w:val="008B585E"/>
    <w:rsid w:val="008B6673"/>
    <w:rsid w:val="008B7FC7"/>
    <w:rsid w:val="008C42F4"/>
    <w:rsid w:val="008C49C4"/>
    <w:rsid w:val="008C68B8"/>
    <w:rsid w:val="008D028C"/>
    <w:rsid w:val="008D2C8A"/>
    <w:rsid w:val="008E6C0C"/>
    <w:rsid w:val="008F1E63"/>
    <w:rsid w:val="008F3052"/>
    <w:rsid w:val="008F4D81"/>
    <w:rsid w:val="00901E19"/>
    <w:rsid w:val="0090209D"/>
    <w:rsid w:val="009043D5"/>
    <w:rsid w:val="0091367F"/>
    <w:rsid w:val="009214F7"/>
    <w:rsid w:val="00921CD7"/>
    <w:rsid w:val="00932A58"/>
    <w:rsid w:val="00940EB6"/>
    <w:rsid w:val="00944771"/>
    <w:rsid w:val="009601FC"/>
    <w:rsid w:val="00965426"/>
    <w:rsid w:val="0096654A"/>
    <w:rsid w:val="009711E4"/>
    <w:rsid w:val="00971572"/>
    <w:rsid w:val="00971963"/>
    <w:rsid w:val="00981E55"/>
    <w:rsid w:val="00986C32"/>
    <w:rsid w:val="00986CEF"/>
    <w:rsid w:val="00987212"/>
    <w:rsid w:val="009926FC"/>
    <w:rsid w:val="009A0E5F"/>
    <w:rsid w:val="009A675F"/>
    <w:rsid w:val="009D6E02"/>
    <w:rsid w:val="009E3A1D"/>
    <w:rsid w:val="009F115B"/>
    <w:rsid w:val="009F1AF3"/>
    <w:rsid w:val="009F233E"/>
    <w:rsid w:val="009F4E88"/>
    <w:rsid w:val="00A01050"/>
    <w:rsid w:val="00A024AB"/>
    <w:rsid w:val="00A050A5"/>
    <w:rsid w:val="00A05B8B"/>
    <w:rsid w:val="00A1372F"/>
    <w:rsid w:val="00A170EC"/>
    <w:rsid w:val="00A217B3"/>
    <w:rsid w:val="00A23D04"/>
    <w:rsid w:val="00A277D9"/>
    <w:rsid w:val="00A30CEB"/>
    <w:rsid w:val="00A31318"/>
    <w:rsid w:val="00A37BB8"/>
    <w:rsid w:val="00A5432A"/>
    <w:rsid w:val="00A55F8A"/>
    <w:rsid w:val="00A64A26"/>
    <w:rsid w:val="00A73455"/>
    <w:rsid w:val="00A9670E"/>
    <w:rsid w:val="00AA1423"/>
    <w:rsid w:val="00AB3B0C"/>
    <w:rsid w:val="00AB7996"/>
    <w:rsid w:val="00AC0F39"/>
    <w:rsid w:val="00AC43C3"/>
    <w:rsid w:val="00AC6CC9"/>
    <w:rsid w:val="00AD05F3"/>
    <w:rsid w:val="00AE2EAD"/>
    <w:rsid w:val="00AF77BE"/>
    <w:rsid w:val="00B11CEE"/>
    <w:rsid w:val="00B15F33"/>
    <w:rsid w:val="00B1710C"/>
    <w:rsid w:val="00B20C23"/>
    <w:rsid w:val="00B20F0A"/>
    <w:rsid w:val="00B23428"/>
    <w:rsid w:val="00B264BF"/>
    <w:rsid w:val="00B26968"/>
    <w:rsid w:val="00B401BA"/>
    <w:rsid w:val="00B42E74"/>
    <w:rsid w:val="00B46874"/>
    <w:rsid w:val="00B50E8F"/>
    <w:rsid w:val="00B51151"/>
    <w:rsid w:val="00B523E4"/>
    <w:rsid w:val="00B52B4F"/>
    <w:rsid w:val="00B6108C"/>
    <w:rsid w:val="00B649AD"/>
    <w:rsid w:val="00B64B9C"/>
    <w:rsid w:val="00B67A3E"/>
    <w:rsid w:val="00B735CC"/>
    <w:rsid w:val="00B82C95"/>
    <w:rsid w:val="00B83F87"/>
    <w:rsid w:val="00B84DFD"/>
    <w:rsid w:val="00B95763"/>
    <w:rsid w:val="00BA13C4"/>
    <w:rsid w:val="00BA3B51"/>
    <w:rsid w:val="00BB0E59"/>
    <w:rsid w:val="00BB2ACC"/>
    <w:rsid w:val="00BB3C84"/>
    <w:rsid w:val="00BB4E38"/>
    <w:rsid w:val="00BB583B"/>
    <w:rsid w:val="00BB6171"/>
    <w:rsid w:val="00BB61E2"/>
    <w:rsid w:val="00BC30EF"/>
    <w:rsid w:val="00BC368E"/>
    <w:rsid w:val="00BC3879"/>
    <w:rsid w:val="00BD0E0D"/>
    <w:rsid w:val="00BD41BC"/>
    <w:rsid w:val="00BD55AD"/>
    <w:rsid w:val="00BD68D2"/>
    <w:rsid w:val="00BE0305"/>
    <w:rsid w:val="00BF15F0"/>
    <w:rsid w:val="00BF240E"/>
    <w:rsid w:val="00BF7DF9"/>
    <w:rsid w:val="00C02292"/>
    <w:rsid w:val="00C03559"/>
    <w:rsid w:val="00C05395"/>
    <w:rsid w:val="00C22AD7"/>
    <w:rsid w:val="00C26D8C"/>
    <w:rsid w:val="00C272C1"/>
    <w:rsid w:val="00C27423"/>
    <w:rsid w:val="00C32A68"/>
    <w:rsid w:val="00C34282"/>
    <w:rsid w:val="00C35350"/>
    <w:rsid w:val="00C3564B"/>
    <w:rsid w:val="00C4483A"/>
    <w:rsid w:val="00C47F39"/>
    <w:rsid w:val="00C53721"/>
    <w:rsid w:val="00C64150"/>
    <w:rsid w:val="00C64D2E"/>
    <w:rsid w:val="00C70D9B"/>
    <w:rsid w:val="00C70F97"/>
    <w:rsid w:val="00C7497C"/>
    <w:rsid w:val="00C757A2"/>
    <w:rsid w:val="00C75966"/>
    <w:rsid w:val="00C76577"/>
    <w:rsid w:val="00C80225"/>
    <w:rsid w:val="00C81349"/>
    <w:rsid w:val="00C855B5"/>
    <w:rsid w:val="00C93139"/>
    <w:rsid w:val="00CA07BB"/>
    <w:rsid w:val="00CA08A0"/>
    <w:rsid w:val="00CA32D2"/>
    <w:rsid w:val="00CA4E07"/>
    <w:rsid w:val="00CA737D"/>
    <w:rsid w:val="00CB0AEA"/>
    <w:rsid w:val="00CB1EF5"/>
    <w:rsid w:val="00CB7687"/>
    <w:rsid w:val="00CC05D4"/>
    <w:rsid w:val="00CC3827"/>
    <w:rsid w:val="00CC4C0E"/>
    <w:rsid w:val="00CC7166"/>
    <w:rsid w:val="00CD4303"/>
    <w:rsid w:val="00CF2B1B"/>
    <w:rsid w:val="00CF3B5B"/>
    <w:rsid w:val="00CF5275"/>
    <w:rsid w:val="00CF6136"/>
    <w:rsid w:val="00D0023D"/>
    <w:rsid w:val="00D006C6"/>
    <w:rsid w:val="00D1161A"/>
    <w:rsid w:val="00D14A65"/>
    <w:rsid w:val="00D162B9"/>
    <w:rsid w:val="00D17E12"/>
    <w:rsid w:val="00D249D4"/>
    <w:rsid w:val="00D251E2"/>
    <w:rsid w:val="00D254F4"/>
    <w:rsid w:val="00D263A7"/>
    <w:rsid w:val="00D26A30"/>
    <w:rsid w:val="00D26B5D"/>
    <w:rsid w:val="00D319C3"/>
    <w:rsid w:val="00D33159"/>
    <w:rsid w:val="00D33A19"/>
    <w:rsid w:val="00D34AEA"/>
    <w:rsid w:val="00D355B5"/>
    <w:rsid w:val="00D35782"/>
    <w:rsid w:val="00D43DC3"/>
    <w:rsid w:val="00D4783A"/>
    <w:rsid w:val="00D51791"/>
    <w:rsid w:val="00D5281E"/>
    <w:rsid w:val="00D573AE"/>
    <w:rsid w:val="00D60560"/>
    <w:rsid w:val="00D615B3"/>
    <w:rsid w:val="00D6531B"/>
    <w:rsid w:val="00D6612D"/>
    <w:rsid w:val="00D70B88"/>
    <w:rsid w:val="00D71AD9"/>
    <w:rsid w:val="00D73C02"/>
    <w:rsid w:val="00D85AF4"/>
    <w:rsid w:val="00D872ED"/>
    <w:rsid w:val="00D91100"/>
    <w:rsid w:val="00D913C6"/>
    <w:rsid w:val="00D958BB"/>
    <w:rsid w:val="00D968A5"/>
    <w:rsid w:val="00DA0236"/>
    <w:rsid w:val="00DA5D51"/>
    <w:rsid w:val="00DA5E29"/>
    <w:rsid w:val="00DA61CA"/>
    <w:rsid w:val="00DB42BC"/>
    <w:rsid w:val="00DB66BB"/>
    <w:rsid w:val="00DB73AF"/>
    <w:rsid w:val="00DB76AC"/>
    <w:rsid w:val="00DC2865"/>
    <w:rsid w:val="00DC6B18"/>
    <w:rsid w:val="00DD0894"/>
    <w:rsid w:val="00DD3CF3"/>
    <w:rsid w:val="00DE1888"/>
    <w:rsid w:val="00DE7B6C"/>
    <w:rsid w:val="00DF1250"/>
    <w:rsid w:val="00DF3584"/>
    <w:rsid w:val="00DF5BA6"/>
    <w:rsid w:val="00DF6EF7"/>
    <w:rsid w:val="00E01594"/>
    <w:rsid w:val="00E05454"/>
    <w:rsid w:val="00E074C3"/>
    <w:rsid w:val="00E127FF"/>
    <w:rsid w:val="00E16EE2"/>
    <w:rsid w:val="00E23329"/>
    <w:rsid w:val="00E24D6D"/>
    <w:rsid w:val="00E30EC7"/>
    <w:rsid w:val="00E3415D"/>
    <w:rsid w:val="00E341B2"/>
    <w:rsid w:val="00E42633"/>
    <w:rsid w:val="00E543E6"/>
    <w:rsid w:val="00E5699E"/>
    <w:rsid w:val="00E570E1"/>
    <w:rsid w:val="00E60ADC"/>
    <w:rsid w:val="00E72773"/>
    <w:rsid w:val="00E73D70"/>
    <w:rsid w:val="00E76739"/>
    <w:rsid w:val="00E81946"/>
    <w:rsid w:val="00E82BB7"/>
    <w:rsid w:val="00E84ED8"/>
    <w:rsid w:val="00E86D13"/>
    <w:rsid w:val="00E8778E"/>
    <w:rsid w:val="00E91BCA"/>
    <w:rsid w:val="00E936C2"/>
    <w:rsid w:val="00E95346"/>
    <w:rsid w:val="00EA0CEF"/>
    <w:rsid w:val="00EA2748"/>
    <w:rsid w:val="00EA2C77"/>
    <w:rsid w:val="00EA2E2A"/>
    <w:rsid w:val="00EB207A"/>
    <w:rsid w:val="00EB2438"/>
    <w:rsid w:val="00EB785C"/>
    <w:rsid w:val="00EB79D2"/>
    <w:rsid w:val="00EC0174"/>
    <w:rsid w:val="00EC763B"/>
    <w:rsid w:val="00ED3EEB"/>
    <w:rsid w:val="00ED5749"/>
    <w:rsid w:val="00ED5FA3"/>
    <w:rsid w:val="00ED68C4"/>
    <w:rsid w:val="00ED6A4E"/>
    <w:rsid w:val="00ED72EA"/>
    <w:rsid w:val="00EE3A4F"/>
    <w:rsid w:val="00EE7F05"/>
    <w:rsid w:val="00EF10C3"/>
    <w:rsid w:val="00EF3BD2"/>
    <w:rsid w:val="00F112AE"/>
    <w:rsid w:val="00F16BCE"/>
    <w:rsid w:val="00F45DA1"/>
    <w:rsid w:val="00F5267B"/>
    <w:rsid w:val="00F52860"/>
    <w:rsid w:val="00F53E8B"/>
    <w:rsid w:val="00F663FD"/>
    <w:rsid w:val="00F70120"/>
    <w:rsid w:val="00F743B0"/>
    <w:rsid w:val="00F77D4E"/>
    <w:rsid w:val="00F82409"/>
    <w:rsid w:val="00F8264F"/>
    <w:rsid w:val="00F82D3F"/>
    <w:rsid w:val="00F833E9"/>
    <w:rsid w:val="00F84580"/>
    <w:rsid w:val="00F873DA"/>
    <w:rsid w:val="00F87D0D"/>
    <w:rsid w:val="00F93E14"/>
    <w:rsid w:val="00F95982"/>
    <w:rsid w:val="00FA006C"/>
    <w:rsid w:val="00FA190E"/>
    <w:rsid w:val="00FA288B"/>
    <w:rsid w:val="00FA2997"/>
    <w:rsid w:val="00FA2C71"/>
    <w:rsid w:val="00FA46FD"/>
    <w:rsid w:val="00FB1C17"/>
    <w:rsid w:val="00FB3345"/>
    <w:rsid w:val="00FC5F37"/>
    <w:rsid w:val="00FD0228"/>
    <w:rsid w:val="00FD3BB7"/>
    <w:rsid w:val="00FD7BC3"/>
    <w:rsid w:val="00FE0D93"/>
    <w:rsid w:val="00FF2572"/>
    <w:rsid w:val="00FF32AD"/>
    <w:rsid w:val="00FF714E"/>
    <w:rsid w:val="0DC31556"/>
    <w:rsid w:val="1A3D6143"/>
    <w:rsid w:val="1C013801"/>
    <w:rsid w:val="1DFD8D3B"/>
    <w:rsid w:val="1FB79DC9"/>
    <w:rsid w:val="1FBFC3F2"/>
    <w:rsid w:val="1FFFE033"/>
    <w:rsid w:val="27F352A6"/>
    <w:rsid w:val="2D527252"/>
    <w:rsid w:val="2DDC1740"/>
    <w:rsid w:val="2EAE55F2"/>
    <w:rsid w:val="2EDF4302"/>
    <w:rsid w:val="2EFE1A04"/>
    <w:rsid w:val="35BBF80F"/>
    <w:rsid w:val="3B736F08"/>
    <w:rsid w:val="3BE3D531"/>
    <w:rsid w:val="3D431A40"/>
    <w:rsid w:val="3EFF42CA"/>
    <w:rsid w:val="3F6FCA38"/>
    <w:rsid w:val="3FD5AF3D"/>
    <w:rsid w:val="3FFED8BE"/>
    <w:rsid w:val="3FFF43BB"/>
    <w:rsid w:val="433DCF8E"/>
    <w:rsid w:val="45FF973D"/>
    <w:rsid w:val="47550EBA"/>
    <w:rsid w:val="4BF7E09D"/>
    <w:rsid w:val="4FFFFC3E"/>
    <w:rsid w:val="53BB74FC"/>
    <w:rsid w:val="55FDDF92"/>
    <w:rsid w:val="55FFBC03"/>
    <w:rsid w:val="56CDA72E"/>
    <w:rsid w:val="576F5916"/>
    <w:rsid w:val="577FDAE2"/>
    <w:rsid w:val="57FBE2C7"/>
    <w:rsid w:val="5B335734"/>
    <w:rsid w:val="5B7F322F"/>
    <w:rsid w:val="5BCAB023"/>
    <w:rsid w:val="5DDA9B94"/>
    <w:rsid w:val="5EAB810D"/>
    <w:rsid w:val="5EFF9DA6"/>
    <w:rsid w:val="5F7751B9"/>
    <w:rsid w:val="5F9F7232"/>
    <w:rsid w:val="5F9F9588"/>
    <w:rsid w:val="5FBD32D2"/>
    <w:rsid w:val="5FD450B0"/>
    <w:rsid w:val="5FEF60CD"/>
    <w:rsid w:val="5FFB203D"/>
    <w:rsid w:val="5FFB8CF9"/>
    <w:rsid w:val="63DBAF21"/>
    <w:rsid w:val="6636451A"/>
    <w:rsid w:val="67DE80AA"/>
    <w:rsid w:val="697E3B47"/>
    <w:rsid w:val="69BF132E"/>
    <w:rsid w:val="6BFEE5F3"/>
    <w:rsid w:val="6CAFF34E"/>
    <w:rsid w:val="6CFFCF4F"/>
    <w:rsid w:val="6DFFF8B6"/>
    <w:rsid w:val="6E9FE641"/>
    <w:rsid w:val="6EEDE807"/>
    <w:rsid w:val="6EEE4BE4"/>
    <w:rsid w:val="6EF65E9C"/>
    <w:rsid w:val="6F3D9197"/>
    <w:rsid w:val="6FAB3EC4"/>
    <w:rsid w:val="6FB6AF41"/>
    <w:rsid w:val="6FD894C8"/>
    <w:rsid w:val="6FE36A9E"/>
    <w:rsid w:val="6FEFB2D1"/>
    <w:rsid w:val="6FFF97E6"/>
    <w:rsid w:val="71397E03"/>
    <w:rsid w:val="71FB5B08"/>
    <w:rsid w:val="73FB87D9"/>
    <w:rsid w:val="75EF0FBA"/>
    <w:rsid w:val="7607C293"/>
    <w:rsid w:val="76DFA4E8"/>
    <w:rsid w:val="778720BD"/>
    <w:rsid w:val="77A7D615"/>
    <w:rsid w:val="77FF366A"/>
    <w:rsid w:val="77FF8C96"/>
    <w:rsid w:val="77FFA8F9"/>
    <w:rsid w:val="7976604B"/>
    <w:rsid w:val="79F3BC78"/>
    <w:rsid w:val="7A5B6CAA"/>
    <w:rsid w:val="7A9314AC"/>
    <w:rsid w:val="7B4F6850"/>
    <w:rsid w:val="7BABD5C4"/>
    <w:rsid w:val="7BB12055"/>
    <w:rsid w:val="7BBFADBA"/>
    <w:rsid w:val="7BFF492D"/>
    <w:rsid w:val="7C631402"/>
    <w:rsid w:val="7C978C63"/>
    <w:rsid w:val="7CA35AD0"/>
    <w:rsid w:val="7CDF8BC3"/>
    <w:rsid w:val="7CEB72A5"/>
    <w:rsid w:val="7D18750B"/>
    <w:rsid w:val="7DDFDC39"/>
    <w:rsid w:val="7E140770"/>
    <w:rsid w:val="7E5D92FB"/>
    <w:rsid w:val="7EF51D64"/>
    <w:rsid w:val="7EFFF488"/>
    <w:rsid w:val="7F574612"/>
    <w:rsid w:val="7F7F4920"/>
    <w:rsid w:val="7FB7C299"/>
    <w:rsid w:val="7FBFFB92"/>
    <w:rsid w:val="7FD76ACB"/>
    <w:rsid w:val="7FD89DA2"/>
    <w:rsid w:val="7FDBD805"/>
    <w:rsid w:val="7FDEC14D"/>
    <w:rsid w:val="7FDF8B76"/>
    <w:rsid w:val="7FDFE693"/>
    <w:rsid w:val="7FEFB5DD"/>
    <w:rsid w:val="7FEFBBD9"/>
    <w:rsid w:val="7FFD6A57"/>
    <w:rsid w:val="7FFDA7EC"/>
    <w:rsid w:val="7FFDEA1E"/>
    <w:rsid w:val="7FFEC1F6"/>
    <w:rsid w:val="7FFF2F52"/>
    <w:rsid w:val="8F7B4EC8"/>
    <w:rsid w:val="8FBD4480"/>
    <w:rsid w:val="8FF7AE96"/>
    <w:rsid w:val="955F5184"/>
    <w:rsid w:val="9F6311D7"/>
    <w:rsid w:val="9FF54399"/>
    <w:rsid w:val="A46D76C1"/>
    <w:rsid w:val="A7FF43C2"/>
    <w:rsid w:val="ABF66286"/>
    <w:rsid w:val="AD9E3F04"/>
    <w:rsid w:val="ADA70464"/>
    <w:rsid w:val="AFE97CD3"/>
    <w:rsid w:val="B1BF5C63"/>
    <w:rsid w:val="B1FF3A18"/>
    <w:rsid w:val="B3CDF284"/>
    <w:rsid w:val="B3E8107B"/>
    <w:rsid w:val="B5F66F24"/>
    <w:rsid w:val="B7F5200A"/>
    <w:rsid w:val="BABDA1AA"/>
    <w:rsid w:val="BB1B4BF1"/>
    <w:rsid w:val="BBE5FE68"/>
    <w:rsid w:val="BBFEB9C1"/>
    <w:rsid w:val="BDF7406A"/>
    <w:rsid w:val="BE6FD8DB"/>
    <w:rsid w:val="BEEF57C2"/>
    <w:rsid w:val="BF6D5596"/>
    <w:rsid w:val="BFBEBB2C"/>
    <w:rsid w:val="BFC68935"/>
    <w:rsid w:val="BFDD0F1D"/>
    <w:rsid w:val="BFDDD096"/>
    <w:rsid w:val="C5B3F496"/>
    <w:rsid w:val="C96F3E49"/>
    <w:rsid w:val="CBBF14F3"/>
    <w:rsid w:val="CBE5DCF2"/>
    <w:rsid w:val="CCFCC735"/>
    <w:rsid w:val="CEEB8A74"/>
    <w:rsid w:val="D37FB642"/>
    <w:rsid w:val="D7F99798"/>
    <w:rsid w:val="D7FF400C"/>
    <w:rsid w:val="DBED1CD4"/>
    <w:rsid w:val="DBFBB328"/>
    <w:rsid w:val="DDD7453A"/>
    <w:rsid w:val="DE3E1FD7"/>
    <w:rsid w:val="DF577EA8"/>
    <w:rsid w:val="DFBE1B79"/>
    <w:rsid w:val="DFCF1FEC"/>
    <w:rsid w:val="DFE75A3D"/>
    <w:rsid w:val="DFED2117"/>
    <w:rsid w:val="DFEF594B"/>
    <w:rsid w:val="DFF3F960"/>
    <w:rsid w:val="DFFE0D61"/>
    <w:rsid w:val="E35C4B3C"/>
    <w:rsid w:val="E3A781CA"/>
    <w:rsid w:val="E5DFAB50"/>
    <w:rsid w:val="E6FC647F"/>
    <w:rsid w:val="EBFBC8F1"/>
    <w:rsid w:val="EBFDF757"/>
    <w:rsid w:val="ED758B5D"/>
    <w:rsid w:val="ED76A08D"/>
    <w:rsid w:val="EDBDD81F"/>
    <w:rsid w:val="EDFDB542"/>
    <w:rsid w:val="EF0FCF96"/>
    <w:rsid w:val="EF95E20F"/>
    <w:rsid w:val="EFAF7DFF"/>
    <w:rsid w:val="EFAFB283"/>
    <w:rsid w:val="EFBDA38B"/>
    <w:rsid w:val="EFEE9A76"/>
    <w:rsid w:val="F1971634"/>
    <w:rsid w:val="F1BF6FBC"/>
    <w:rsid w:val="F1F9A9B5"/>
    <w:rsid w:val="F3779FC2"/>
    <w:rsid w:val="F3D5C239"/>
    <w:rsid w:val="F3F37DF4"/>
    <w:rsid w:val="F3F96DE6"/>
    <w:rsid w:val="F3FBC54A"/>
    <w:rsid w:val="F47BB68A"/>
    <w:rsid w:val="F47F523E"/>
    <w:rsid w:val="F69FD6B0"/>
    <w:rsid w:val="F7E7F921"/>
    <w:rsid w:val="F7F7AC6A"/>
    <w:rsid w:val="F7FD93B9"/>
    <w:rsid w:val="FABF64A5"/>
    <w:rsid w:val="FABF7411"/>
    <w:rsid w:val="FBA53981"/>
    <w:rsid w:val="FBE4457E"/>
    <w:rsid w:val="FBFC558A"/>
    <w:rsid w:val="FBFF71AC"/>
    <w:rsid w:val="FBFFEA2B"/>
    <w:rsid w:val="FCCB27AA"/>
    <w:rsid w:val="FCFF8F4B"/>
    <w:rsid w:val="FD9595AD"/>
    <w:rsid w:val="FDF9DD9A"/>
    <w:rsid w:val="FDFF2821"/>
    <w:rsid w:val="FDFFA696"/>
    <w:rsid w:val="FE7FB02B"/>
    <w:rsid w:val="FEBD0232"/>
    <w:rsid w:val="FED5A77F"/>
    <w:rsid w:val="FEDFD193"/>
    <w:rsid w:val="FEE7097E"/>
    <w:rsid w:val="FEEF8230"/>
    <w:rsid w:val="FEF1F1BE"/>
    <w:rsid w:val="FEF99316"/>
    <w:rsid w:val="FEFB20CB"/>
    <w:rsid w:val="FEFD95B3"/>
    <w:rsid w:val="FEFE4E93"/>
    <w:rsid w:val="FEFFA483"/>
    <w:rsid w:val="FF29B32D"/>
    <w:rsid w:val="FF2E6944"/>
    <w:rsid w:val="FF5F9D52"/>
    <w:rsid w:val="FF7A0B6A"/>
    <w:rsid w:val="FF7B6DC2"/>
    <w:rsid w:val="FF7FFF75"/>
    <w:rsid w:val="FF921F59"/>
    <w:rsid w:val="FFBB1E09"/>
    <w:rsid w:val="FFBB6A0C"/>
    <w:rsid w:val="FFBD894B"/>
    <w:rsid w:val="FFBF33B3"/>
    <w:rsid w:val="FFD09362"/>
    <w:rsid w:val="FFD1DA08"/>
    <w:rsid w:val="FFD7DEDD"/>
    <w:rsid w:val="FFDE369F"/>
    <w:rsid w:val="FFEF98C9"/>
    <w:rsid w:val="FFEFCE62"/>
    <w:rsid w:val="FFF973B0"/>
    <w:rsid w:val="FFF9BE60"/>
    <w:rsid w:val="FFFB4F05"/>
    <w:rsid w:val="FFFEC8F5"/>
    <w:rsid w:val="FFFEFED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仿宋_GB2312" w:cs="Times New Roman"/>
      <w:kern w:val="2"/>
      <w:sz w:val="32"/>
      <w:szCs w:val="24"/>
      <w:lang w:val="en-US" w:eastAsia="zh-CN" w:bidi="ar-SA"/>
    </w:rPr>
  </w:style>
  <w:style w:type="character" w:default="1" w:styleId="16">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customStyle="1" w:styleId="2">
    <w:name w:val="标题 5（有编号）（绿盟科技）"/>
    <w:next w:val="1"/>
    <w:qFormat/>
    <w:uiPriority w:val="99"/>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 w:type="paragraph" w:styleId="3">
    <w:name w:val="Normal Indent"/>
    <w:basedOn w:val="1"/>
    <w:next w:val="1"/>
    <w:qFormat/>
    <w:uiPriority w:val="0"/>
    <w:pPr>
      <w:spacing w:beforeLines="50" w:line="360" w:lineRule="auto"/>
      <w:ind w:firstLine="480" w:firstLineChars="200"/>
    </w:pPr>
    <w:rPr>
      <w:rFonts w:eastAsia="仿宋"/>
      <w:sz w:val="24"/>
      <w:szCs w:val="23"/>
      <w:lang w:eastAsia="ar-SA"/>
    </w:rPr>
  </w:style>
  <w:style w:type="paragraph" w:styleId="4">
    <w:name w:val="Document Map"/>
    <w:basedOn w:val="1"/>
    <w:link w:val="20"/>
    <w:qFormat/>
    <w:uiPriority w:val="0"/>
    <w:rPr>
      <w:rFonts w:ascii="宋体" w:eastAsia="宋体"/>
      <w:sz w:val="18"/>
      <w:szCs w:val="18"/>
    </w:rPr>
  </w:style>
  <w:style w:type="paragraph" w:styleId="5">
    <w:name w:val="Body Text"/>
    <w:basedOn w:val="1"/>
    <w:next w:val="1"/>
    <w:qFormat/>
    <w:uiPriority w:val="0"/>
    <w:pPr>
      <w:spacing w:after="120"/>
    </w:pPr>
  </w:style>
  <w:style w:type="paragraph" w:styleId="6">
    <w:name w:val="Body Text Indent"/>
    <w:basedOn w:val="1"/>
    <w:qFormat/>
    <w:uiPriority w:val="0"/>
    <w:pPr>
      <w:spacing w:after="120"/>
      <w:ind w:left="200" w:leftChars="200"/>
    </w:pPr>
    <w:rPr>
      <w:rFonts w:ascii="仿宋_GB2312"/>
      <w:szCs w:val="32"/>
    </w:rPr>
  </w:style>
  <w:style w:type="paragraph" w:styleId="7">
    <w:name w:val="Balloon Text"/>
    <w:basedOn w:val="1"/>
    <w:semiHidden/>
    <w:qFormat/>
    <w:uiPriority w:val="0"/>
    <w:rPr>
      <w:sz w:val="18"/>
      <w:szCs w:val="18"/>
    </w:rPr>
  </w:style>
  <w:style w:type="paragraph" w:styleId="8">
    <w:name w:val="footer"/>
    <w:basedOn w:val="1"/>
    <w:link w:val="22"/>
    <w:qFormat/>
    <w:uiPriority w:val="99"/>
    <w:pPr>
      <w:tabs>
        <w:tab w:val="center" w:pos="4153"/>
        <w:tab w:val="right" w:pos="8306"/>
      </w:tabs>
      <w:snapToGrid w:val="0"/>
      <w:jc w:val="left"/>
    </w:pPr>
    <w:rPr>
      <w:rFonts w:eastAsia="宋体"/>
      <w:sz w:val="18"/>
      <w:szCs w:val="18"/>
    </w:rPr>
  </w:style>
  <w:style w:type="paragraph" w:styleId="9">
    <w:name w:val="header"/>
    <w:basedOn w:val="1"/>
    <w:qFormat/>
    <w:uiPriority w:val="0"/>
    <w:pPr>
      <w:pBdr>
        <w:bottom w:val="single" w:color="auto" w:sz="6" w:space="1"/>
      </w:pBdr>
      <w:tabs>
        <w:tab w:val="center" w:pos="4153"/>
        <w:tab w:val="right" w:pos="8306"/>
      </w:tabs>
      <w:snapToGrid w:val="0"/>
      <w:jc w:val="center"/>
    </w:pPr>
    <w:rPr>
      <w:rFonts w:eastAsia="宋体"/>
      <w:sz w:val="18"/>
      <w:szCs w:val="18"/>
    </w:rPr>
  </w:style>
  <w:style w:type="paragraph" w:styleId="10">
    <w:name w:val="toc 1"/>
    <w:basedOn w:val="1"/>
    <w:next w:val="1"/>
    <w:qFormat/>
    <w:uiPriority w:val="0"/>
  </w:style>
  <w:style w:type="paragraph" w:styleId="11">
    <w:name w:val="HTML Preformatted"/>
    <w:basedOn w:val="1"/>
    <w:link w:val="29"/>
    <w:qFormat/>
    <w:uiPriority w:val="0"/>
    <w:rPr>
      <w:rFonts w:ascii="Courier New" w:hAnsi="Courier New" w:cs="Courier New"/>
      <w:sz w:val="20"/>
      <w:szCs w:val="20"/>
    </w:rPr>
  </w:style>
  <w:style w:type="paragraph" w:styleId="12">
    <w:name w:val="Normal (Web)"/>
    <w:basedOn w:val="1"/>
    <w:qFormat/>
    <w:uiPriority w:val="0"/>
    <w:pPr>
      <w:spacing w:before="100" w:beforeAutospacing="1" w:after="100" w:afterAutospacing="1"/>
      <w:jc w:val="left"/>
    </w:pPr>
    <w:rPr>
      <w:rFonts w:eastAsia="宋体"/>
      <w:kern w:val="0"/>
      <w:sz w:val="24"/>
    </w:rPr>
  </w:style>
  <w:style w:type="paragraph" w:styleId="13">
    <w:name w:val="Body Text First Indent 2"/>
    <w:basedOn w:val="6"/>
    <w:unhideWhenUsed/>
    <w:qFormat/>
    <w:uiPriority w:val="99"/>
    <w:pPr>
      <w:ind w:firstLine="420" w:firstLineChars="200"/>
    </w:pPr>
  </w:style>
  <w:style w:type="table" w:styleId="15">
    <w:name w:val="Table Grid"/>
    <w:basedOn w:val="1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7">
    <w:name w:val="page number"/>
    <w:basedOn w:val="16"/>
    <w:qFormat/>
    <w:uiPriority w:val="0"/>
  </w:style>
  <w:style w:type="paragraph" w:customStyle="1" w:styleId="18">
    <w:name w:val="四号正文"/>
    <w:basedOn w:val="1"/>
    <w:link w:val="19"/>
    <w:qFormat/>
    <w:uiPriority w:val="0"/>
    <w:pPr>
      <w:spacing w:line="360" w:lineRule="auto"/>
    </w:pPr>
    <w:rPr>
      <w:rFonts w:ascii="??" w:hAnsi="??" w:eastAsia="宋体" w:cs="宋体"/>
      <w:color w:val="000000"/>
      <w:kern w:val="0"/>
      <w:sz w:val="28"/>
      <w:szCs w:val="21"/>
    </w:rPr>
  </w:style>
  <w:style w:type="character" w:customStyle="1" w:styleId="19">
    <w:name w:val="四号正文 Char"/>
    <w:basedOn w:val="16"/>
    <w:link w:val="18"/>
    <w:qFormat/>
    <w:uiPriority w:val="0"/>
    <w:rPr>
      <w:rFonts w:ascii="??" w:hAnsi="??" w:eastAsia="宋体" w:cs="宋体"/>
      <w:color w:val="000000"/>
      <w:sz w:val="28"/>
      <w:szCs w:val="21"/>
      <w:lang w:val="en-US" w:eastAsia="zh-CN" w:bidi="ar-SA"/>
    </w:rPr>
  </w:style>
  <w:style w:type="character" w:customStyle="1" w:styleId="20">
    <w:name w:val="文档结构图 Char"/>
    <w:basedOn w:val="16"/>
    <w:link w:val="4"/>
    <w:qFormat/>
    <w:uiPriority w:val="0"/>
    <w:rPr>
      <w:rFonts w:ascii="宋体"/>
      <w:kern w:val="2"/>
      <w:sz w:val="18"/>
      <w:szCs w:val="18"/>
    </w:rPr>
  </w:style>
  <w:style w:type="paragraph" w:customStyle="1" w:styleId="21">
    <w:name w:val="a"/>
    <w:basedOn w:val="1"/>
    <w:qFormat/>
    <w:uiPriority w:val="0"/>
    <w:pPr>
      <w:widowControl/>
      <w:spacing w:before="100" w:beforeAutospacing="1" w:after="100" w:afterAutospacing="1"/>
      <w:jc w:val="left"/>
    </w:pPr>
    <w:rPr>
      <w:rFonts w:ascii="宋体" w:hAnsi="宋体" w:eastAsia="宋体" w:cs="宋体"/>
      <w:kern w:val="0"/>
      <w:sz w:val="24"/>
    </w:rPr>
  </w:style>
  <w:style w:type="character" w:customStyle="1" w:styleId="22">
    <w:name w:val="页脚 Char"/>
    <w:basedOn w:val="16"/>
    <w:link w:val="8"/>
    <w:qFormat/>
    <w:uiPriority w:val="99"/>
    <w:rPr>
      <w:kern w:val="2"/>
      <w:sz w:val="18"/>
      <w:szCs w:val="18"/>
    </w:rPr>
  </w:style>
  <w:style w:type="character" w:customStyle="1" w:styleId="23">
    <w:name w:val="font31"/>
    <w:basedOn w:val="16"/>
    <w:qFormat/>
    <w:uiPriority w:val="0"/>
    <w:rPr>
      <w:rFonts w:hint="eastAsia" w:ascii="宋体" w:hAnsi="宋体" w:eastAsia="宋体" w:cs="宋体"/>
      <w:color w:val="000000"/>
      <w:sz w:val="24"/>
      <w:szCs w:val="24"/>
      <w:u w:val="none"/>
    </w:rPr>
  </w:style>
  <w:style w:type="character" w:customStyle="1" w:styleId="24">
    <w:name w:val="font51"/>
    <w:basedOn w:val="16"/>
    <w:qFormat/>
    <w:uiPriority w:val="0"/>
    <w:rPr>
      <w:rFonts w:hint="default" w:ascii="Wingdings 2" w:hAnsi="Wingdings 2" w:eastAsia="Wingdings 2" w:cs="Wingdings 2"/>
      <w:color w:val="000000"/>
      <w:sz w:val="18"/>
      <w:szCs w:val="18"/>
      <w:u w:val="none"/>
    </w:rPr>
  </w:style>
  <w:style w:type="character" w:customStyle="1" w:styleId="25">
    <w:name w:val="font01"/>
    <w:basedOn w:val="16"/>
    <w:qFormat/>
    <w:uiPriority w:val="0"/>
    <w:rPr>
      <w:rFonts w:ascii="宋体" w:hAnsi="宋体" w:eastAsia="宋体" w:cs="宋体"/>
      <w:color w:val="000000"/>
      <w:sz w:val="18"/>
      <w:szCs w:val="18"/>
      <w:u w:val="none"/>
    </w:rPr>
  </w:style>
  <w:style w:type="character" w:customStyle="1" w:styleId="26">
    <w:name w:val="font41"/>
    <w:basedOn w:val="16"/>
    <w:qFormat/>
    <w:uiPriority w:val="0"/>
    <w:rPr>
      <w:rFonts w:ascii="宋体" w:hAnsi="宋体" w:eastAsia="宋体" w:cs="宋体"/>
      <w:color w:val="000000"/>
      <w:sz w:val="18"/>
      <w:szCs w:val="18"/>
      <w:u w:val="none"/>
    </w:rPr>
  </w:style>
  <w:style w:type="character" w:customStyle="1" w:styleId="27">
    <w:name w:val="NormalCharacter"/>
    <w:semiHidden/>
    <w:qFormat/>
    <w:uiPriority w:val="0"/>
  </w:style>
  <w:style w:type="paragraph" w:styleId="28">
    <w:name w:val="List Paragraph"/>
    <w:basedOn w:val="1"/>
    <w:unhideWhenUsed/>
    <w:qFormat/>
    <w:uiPriority w:val="99"/>
    <w:pPr>
      <w:ind w:firstLine="420" w:firstLineChars="200"/>
    </w:pPr>
  </w:style>
  <w:style w:type="character" w:customStyle="1" w:styleId="29">
    <w:name w:val="HTML 预设格式 Char"/>
    <w:basedOn w:val="16"/>
    <w:link w:val="11"/>
    <w:qFormat/>
    <w:uiPriority w:val="0"/>
    <w:rPr>
      <w:rFonts w:ascii="Courier New" w:hAnsi="Courier New" w:eastAsia="仿宋_GB2312" w:cs="Courier New"/>
      <w:kern w:val="2"/>
    </w:rPr>
  </w:style>
  <w:style w:type="character" w:customStyle="1" w:styleId="30">
    <w:name w:val="val_textcolor000000"/>
    <w:basedOn w:val="16"/>
    <w:qFormat/>
    <w:uiPriority w:val="0"/>
  </w:style>
  <w:style w:type="character" w:customStyle="1" w:styleId="31">
    <w:name w:val="linkspan"/>
    <w:basedOn w:val="16"/>
    <w:qFormat/>
    <w:uiPriority w:val="0"/>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Info spid="_x0000_s205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PSZX</Company>
  <Pages>17</Pages>
  <Words>1277</Words>
  <Characters>7280</Characters>
  <Lines>60</Lines>
  <Paragraphs>17</Paragraphs>
  <TotalTime>1</TotalTime>
  <ScaleCrop>false</ScaleCrop>
  <LinksUpToDate>false</LinksUpToDate>
  <CharactersWithSpaces>8540</CharactersWithSpaces>
  <Application>WPS Office_11.1.0.10702_F1E327BC-269C-435d-A152-05C5408002CA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2019-05-29T03:06:00Z</dcterms:created>
  <dc:creator>陈萍</dc:creator>
  <cp:lastModifiedBy>user</cp:lastModifiedBy>
  <cp:lastPrinted>2016-02-15T16:25:00Z</cp:lastPrinted>
  <dcterms:modified xsi:type="dcterms:W3CDTF">2025-01-21T16:59:04Z</dcterms:modified>
  <dc:title>区域性就业培训基地建设项目</dc:title>
  <cp:revision>568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2052-11.1.0.10702</vt:lpwstr>
  </property>
  <property fmtid="{D5CDD505-2E9C-101B-9397-08002B2CF9AE}" pid="3" name="ICV">
    <vt:lpwstr>A51A36801428E9B041879466C62AECE8</vt:lpwstr>
  </property>
</Properties>
</file>