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27"/>
          <w:rFonts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szCs w:val="32"/>
        </w:rPr>
        <w:drawing>
          <wp:anchor distT="0" distB="0" distL="114300" distR="114300" simplePos="0" relativeHeight="251660288" behindDoc="0" locked="0" layoutInCell="1" allowOverlap="1">
            <wp:simplePos x="0" y="0"/>
            <wp:positionH relativeFrom="column">
              <wp:posOffset>41275</wp:posOffset>
            </wp:positionH>
            <wp:positionV relativeFrom="paragraph">
              <wp:posOffset>71120</wp:posOffset>
            </wp:positionV>
            <wp:extent cx="5615940" cy="1407160"/>
            <wp:effectExtent l="19050" t="0" r="3810" b="0"/>
            <wp:wrapTopAndBottom/>
            <wp:docPr id="2" name="图片 2" descr="局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局文件红头"/>
                    <pic:cNvPicPr>
                      <a:picLocks noChangeAspect="1" noChangeArrowheads="1"/>
                    </pic:cNvPicPr>
                  </pic:nvPicPr>
                  <pic:blipFill>
                    <a:blip r:embed="rId6" cstate="print"/>
                    <a:srcRect/>
                    <a:stretch>
                      <a:fillRect/>
                    </a:stretch>
                  </pic:blipFill>
                  <pic:spPr>
                    <a:xfrm>
                      <a:off x="0" y="0"/>
                      <a:ext cx="5615940" cy="1407160"/>
                    </a:xfrm>
                    <a:prstGeom prst="rect">
                      <a:avLst/>
                    </a:prstGeom>
                    <a:noFill/>
                    <a:ln w="9525">
                      <a:noFill/>
                      <a:miter lim="800000"/>
                      <a:headEnd/>
                      <a:tailEnd/>
                    </a:ln>
                  </pic:spPr>
                </pic:pic>
              </a:graphicData>
            </a:graphic>
          </wp:anchor>
        </w:drawing>
      </w:r>
    </w:p>
    <w:p>
      <w:pPr>
        <w:spacing w:line="560" w:lineRule="exact"/>
        <w:ind w:left="640" w:hanging="640" w:hangingChars="200"/>
        <w:jc w:val="center"/>
        <w:rPr>
          <w:rFonts w:ascii="方正小标宋_GBK" w:hAnsi="方正小标宋_GBK" w:eastAsia="方正小标宋_GBK" w:cs="方正小标宋_GBK"/>
          <w:szCs w:val="32"/>
        </w:rPr>
      </w:pPr>
    </w:p>
    <w:p>
      <w:pPr>
        <w:spacing w:line="560" w:lineRule="exact"/>
      </w:pPr>
      <w:r>
        <w:rPr>
          <w:rFonts w:ascii="仿宋_GB2312"/>
          <w:w w:val="95"/>
          <w:sz w:val="66"/>
          <w:szCs w:val="72"/>
        </w:rPr>
        <w:pict>
          <v:line id="直接连接符 3" o:spid="_x0000_s2051" o:spt="20" style="position:absolute;left:0pt;margin-left:8.35pt;margin-top:15.45pt;height:0.95pt;width:435.85pt;z-index:251661312;mso-width-relative:page;mso-height-relative:page;" stroked="t" coordsize="21600,21600" o:gfxdata="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AkpxlbCAIAAAME&#10;AAAOAAAAAAAAAAEAIAAAADoBAABkcnMvZTJvRG9jLnhtbFBLAQIUABQAAAAIAIdO4kCqSUK91QAA&#10;AAcBAAAPAAAAAAAAAAEAIAAAADgAAABkcnMvZG93bnJldi54bWxQSwUGAAAAAAYABgBZAQAAtAUA&#10;AAAA&#10;">
            <v:path arrowok="t"/>
            <v:fill focussize="0,0"/>
            <v:stroke weight="2.25pt" color="#FF0000"/>
            <v:imagedata o:title=""/>
            <o:lock v:ext="edit"/>
          </v:line>
        </w:pict>
      </w:r>
    </w:p>
    <w:p>
      <w:pPr>
        <w:spacing w:line="560" w:lineRule="exact"/>
        <w:rPr>
          <w:rFonts w:ascii="方正小标宋_GBK" w:eastAsia="方正小标宋_GBK" w:cs="方正小标宋_GBK"/>
          <w:sz w:val="44"/>
          <w:szCs w:val="44"/>
        </w:rPr>
      </w:pPr>
      <w:r>
        <w:rPr>
          <w:rFonts w:hint="eastAsia" w:ascii="仿宋_GB2312" w:hAnsi="仿宋_GB2312" w:cs="仿宋_GB2312"/>
          <w:szCs w:val="32"/>
        </w:rPr>
        <w:t xml:space="preserve">                          </w:t>
      </w:r>
    </w:p>
    <w:p>
      <w:pPr>
        <w:spacing w:line="560" w:lineRule="exact"/>
        <w:jc w:val="center"/>
        <w:rPr>
          <w:rFonts w:ascii="方正小标宋_GBK" w:eastAsia="方正小标宋_GBK"/>
          <w:sz w:val="44"/>
          <w:szCs w:val="44"/>
        </w:rPr>
      </w:pPr>
      <w:r>
        <w:rPr>
          <w:rFonts w:hint="eastAsia" w:ascii="方正小标宋_GBK" w:eastAsia="方正小标宋_GBK" w:cs="方正小标宋_GBK"/>
          <w:sz w:val="44"/>
          <w:szCs w:val="44"/>
        </w:rPr>
        <w:t>黑水县财政局</w:t>
      </w:r>
    </w:p>
    <w:p>
      <w:pPr>
        <w:spacing w:line="560" w:lineRule="exact"/>
        <w:jc w:val="center"/>
        <w:textAlignment w:val="baseline"/>
        <w:rPr>
          <w:rStyle w:val="27"/>
          <w:rFonts w:ascii="方正小标宋_GBK" w:hAnsi="方正小标宋_GBK" w:eastAsia="方正小标宋_GBK" w:cs="方正小标宋_GBK"/>
          <w:w w:val="95"/>
          <w:sz w:val="44"/>
          <w:szCs w:val="44"/>
        </w:rPr>
      </w:pPr>
      <w:r>
        <w:rPr>
          <w:rStyle w:val="27"/>
          <w:rFonts w:hint="eastAsia" w:ascii="方正小标宋_GBK" w:hAnsi="方正小标宋_GBK" w:eastAsia="方正小标宋_GBK" w:cs="方正小标宋_GBK"/>
          <w:w w:val="95"/>
          <w:sz w:val="44"/>
          <w:szCs w:val="44"/>
        </w:rPr>
        <w:t>2023年部门预算整体支出绩效自评报告</w:t>
      </w:r>
    </w:p>
    <w:p>
      <w:pPr>
        <w:pStyle w:val="2"/>
        <w:spacing w:before="0" w:after="0" w:line="560" w:lineRule="exact"/>
      </w:pPr>
    </w:p>
    <w:p>
      <w:pPr>
        <w:pStyle w:val="12"/>
        <w:shd w:val="clear" w:color="auto" w:fill="FFFFFF"/>
        <w:spacing w:before="0" w:beforeAutospacing="0" w:after="0" w:afterAutospacing="0" w:line="560" w:lineRule="exact"/>
        <w:ind w:firstLine="640" w:firstLineChars="200"/>
        <w:jc w:val="both"/>
        <w:rPr>
          <w:rFonts w:ascii="仿宋_GB2312" w:hAnsi="仿宋" w:eastAsia="仿宋_GB2312" w:cs="宋体"/>
          <w:color w:val="333333"/>
          <w:sz w:val="32"/>
          <w:szCs w:val="32"/>
        </w:rPr>
      </w:pPr>
      <w:r>
        <w:rPr>
          <w:rFonts w:hint="eastAsia" w:ascii="仿宋_GB2312" w:hAnsi="仿宋" w:eastAsia="仿宋_GB2312" w:cs="宋体"/>
          <w:color w:val="333333"/>
          <w:kern w:val="2"/>
          <w:sz w:val="32"/>
          <w:szCs w:val="32"/>
        </w:rPr>
        <w:t>为强化预算绩效管理，提高财政资金使用效益，根据《</w:t>
      </w:r>
      <w:r>
        <w:rPr>
          <w:rFonts w:hint="eastAsia" w:ascii="仿宋_GB2312" w:hAnsi="仿宋" w:eastAsia="仿宋_GB2312" w:cs="宋体"/>
          <w:color w:val="333333"/>
          <w:sz w:val="32"/>
          <w:szCs w:val="32"/>
        </w:rPr>
        <w:t>黑水县财政局关于开展2024年县级部门绩效自评工作的通知</w:t>
      </w:r>
      <w:r>
        <w:rPr>
          <w:rFonts w:hint="eastAsia" w:ascii="仿宋_GB2312" w:hAnsi="仿宋" w:eastAsia="仿宋_GB2312" w:cs="宋体"/>
          <w:color w:val="333333"/>
          <w:kern w:val="2"/>
          <w:sz w:val="32"/>
          <w:szCs w:val="32"/>
        </w:rPr>
        <w:t>》（黑财〔2023〕107号）等文件要求，我局高度重视，对2023年度单位整体支出的管理、使用及绩效目标实现情况等内容开展绩效自评工作。现将评价情况报告以下：</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hint="eastAsia" w:eastAsia="楷体_GB2312"/>
          <w:b/>
          <w:bCs/>
          <w:color w:val="000000"/>
          <w:kern w:val="0"/>
          <w:szCs w:val="32"/>
          <w:shd w:val="clear" w:color="auto" w:fill="FFFFFF"/>
          <w:lang w:val="zh-CN"/>
        </w:rPr>
        <w:t>（一）</w:t>
      </w:r>
      <w:r>
        <w:rPr>
          <w:rFonts w:eastAsia="楷体_GB2312"/>
          <w:b/>
          <w:bCs/>
          <w:color w:val="000000"/>
          <w:kern w:val="0"/>
          <w:szCs w:val="32"/>
          <w:shd w:val="clear" w:color="auto" w:fill="FFFFFF"/>
          <w:lang w:val="zh-CN"/>
        </w:rPr>
        <w:t>机构组成。</w:t>
      </w:r>
    </w:p>
    <w:p>
      <w:pPr>
        <w:adjustRightInd w:val="0"/>
        <w:snapToGrid w:val="0"/>
        <w:spacing w:line="560" w:lineRule="exact"/>
        <w:ind w:firstLine="640" w:firstLineChars="200"/>
        <w:contextualSpacing/>
        <w:jc w:val="left"/>
        <w:rPr>
          <w:rFonts w:ascii="仿宋_GB2312" w:hAnsi="仿宋" w:cs="宋体"/>
          <w:color w:val="333333"/>
          <w:szCs w:val="32"/>
        </w:rPr>
      </w:pPr>
      <w:r>
        <w:rPr>
          <w:rFonts w:hint="eastAsia" w:ascii="仿宋_GB2312" w:hAnsi="仿宋" w:cs="宋体"/>
          <w:color w:val="333333"/>
          <w:szCs w:val="32"/>
        </w:rPr>
        <w:t>黑水县财政局属行政机构独立核算一级预算单位，局机关内设办公室等11个股室，分别为：办公室、综合股（行政审批股）、预算股、国库股、资产管理和政府采购监督管理股、经济建设股、行政政法及教育文化股、社会保障股、农业农村股（基层财政股）、自然资源与生态环境股、财政监督与绩效管理股。事业机构4个(参公机构1个)分别为：国库集中支付中心、财政投资评审中心、乡镇财政管理中心、国有资产经营管理中心）。</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（二）机构职能</w:t>
      </w:r>
      <w:r>
        <w:rPr>
          <w:rFonts w:hint="eastAsia" w:eastAsia="楷体_GB2312"/>
          <w:b/>
          <w:bCs/>
          <w:color w:val="000000"/>
          <w:kern w:val="0"/>
          <w:szCs w:val="32"/>
          <w:shd w:val="clear" w:color="auto" w:fill="FFFFFF"/>
          <w:lang w:val="zh-CN"/>
        </w:rPr>
        <w:t>。</w:t>
      </w:r>
    </w:p>
    <w:p>
      <w:pPr>
        <w:spacing w:line="56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根据黑编办发〔2019﹞38号文件规定，本部门的主要职责是：</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1、拟订全县财税发展战略、规划、政策和改革方案并组织实施。分析预测宏观经济形势，参与制定宏观经济政策，提出运用财税政策实施宏观调控和综合平衡社会财力的建议。拟定国家与企业的分配政策，完善鼓励公益事业发展的财税政策。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2、贯彻执行财政、税收、财务、会计管理的法律法规和规章。按照管理权限管理全县税政事项。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3、负责管理各项财政收支。编制年度县级预决算草案并组织执行。组织制定经费开支标准、定额，审核批复部门（单位）年度预决算。受县政府委托，向县人大及其常委会报告财政预算、执行和决算等情况。负责政府投资基金县级财政出资的资产管理。负责县级预决算公开。负责全面实施预算绩效管理。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4、按分工负责政府非税收入管理。负责政府性基金管理，按规定管理行政事业性收费等其他非税收入。管理财政票据。制定彩票管理政策和有关办法，监管彩票市场，按规定管理彩票资金。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5、组织制定全县国库管理制度、国库集中收付制度，指导和监督国库业务，开展国库现金管理工作。贯彻执行政府财务报告编制办法并组织实施。负责制定政府采购制度并监督管理。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6、贯彻执行地方政府债务管理制度和政策，制定具体管理办法，编制地方政府债余额限额计划，统一管理政府外债，防范财政风险。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8、负责审核并汇总编制全县国有资本经营预决算草案。制定国有资本经营预算制度和办法，收取县本级企业国有资本收益。组织实施企业财务制度，负责财政预算内行政事业单位和社会团体的非贸易外汇和财政预算内的国际收支管理。</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9、负责审核并汇总编制全县社会保险基金预决算草案，会同有关部门拟订有关资金（基金）财务管理制度，承担社会保险基金财政监管工作。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10、负责办理和监督县级财政的经济发展支出、县级政府性投资项目的财政拨款，负责投资评审管理工作，参与拟订县级基建投资有关政策，制定基建财务管理制度。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11、管理外国政府和国际金融机构贷（赠）款项目的有关业务，参与财经领域的国际交流与合作。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12、负责管理全县会计工作，监督和规范会计行为， 组织实施国家统一的会计制度，指导和监督注册会计师和会 计师事务所的业务，指导和管理社会审计。依法管理资产评估有关工作。 </w:t>
      </w:r>
    </w:p>
    <w:p>
      <w:pPr>
        <w:spacing w:line="560" w:lineRule="exact"/>
        <w:ind w:firstLine="640" w:firstLineChars="200"/>
        <w:rPr>
          <w:rFonts w:ascii="仿宋_GB2312" w:hAnsi="仿宋_GB2312" w:cs="仿宋_GB2312"/>
          <w:szCs w:val="32"/>
        </w:rPr>
      </w:pPr>
      <w:r>
        <w:rPr>
          <w:rFonts w:hint="eastAsia" w:ascii="仿宋_GB2312" w:hAnsi="仿宋_GB2312" w:cs="仿宋_GB2312"/>
          <w:color w:val="000000"/>
          <w:kern w:val="0"/>
          <w:szCs w:val="32"/>
        </w:rPr>
        <w:t xml:space="preserve">13、负责职责范围内的安全生产和职业健康、生态环境保护、审批服务便民化等工作。 </w:t>
      </w:r>
    </w:p>
    <w:p>
      <w:pPr>
        <w:pStyle w:val="12"/>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14、完成县委、县政府和州财政局交办的其他任务。</w:t>
      </w:r>
    </w:p>
    <w:p>
      <w:pPr>
        <w:spacing w:line="560" w:lineRule="exact"/>
        <w:ind w:firstLine="640" w:firstLineChars="200"/>
        <w:jc w:val="left"/>
        <w:rPr>
          <w:rFonts w:ascii="仿宋_GB2312" w:hAnsi="宋体"/>
          <w:szCs w:val="32"/>
        </w:rPr>
      </w:pPr>
      <w:r>
        <w:rPr>
          <w:rFonts w:hint="eastAsia" w:ascii="仿宋_GB2312" w:hAnsi="宋体"/>
          <w:szCs w:val="32"/>
        </w:rPr>
        <w:t>15、职能转变。</w:t>
      </w:r>
    </w:p>
    <w:p>
      <w:pPr>
        <w:spacing w:line="560" w:lineRule="exact"/>
        <w:ind w:firstLine="640" w:firstLineChars="200"/>
        <w:jc w:val="left"/>
        <w:rPr>
          <w:rFonts w:ascii="仿宋_GB2312" w:hAnsi="宋体"/>
          <w:szCs w:val="32"/>
        </w:rPr>
      </w:pPr>
      <w:r>
        <w:rPr>
          <w:rFonts w:hint="eastAsia" w:ascii="仿宋_GB2312" w:hAnsi="宋体"/>
          <w:szCs w:val="32"/>
        </w:rPr>
        <w:t>一是完善宏观调控体系。二是深化财税体制改革。三是防范化解地方政府债务风险。</w:t>
      </w:r>
    </w:p>
    <w:p>
      <w:pPr>
        <w:spacing w:line="560" w:lineRule="exact"/>
        <w:ind w:firstLine="642" w:firstLineChars="200"/>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）人员概况</w:t>
      </w:r>
      <w:r>
        <w:rPr>
          <w:rFonts w:hint="eastAsia" w:eastAsia="楷体_GB2312"/>
          <w:b/>
          <w:bCs/>
          <w:color w:val="000000"/>
          <w:kern w:val="0"/>
          <w:szCs w:val="32"/>
          <w:shd w:val="clear" w:color="auto" w:fill="FFFFFF"/>
          <w:lang w:val="zh-CN"/>
        </w:rPr>
        <w:t>。</w:t>
      </w:r>
    </w:p>
    <w:p>
      <w:pPr>
        <w:spacing w:line="560" w:lineRule="exact"/>
        <w:ind w:firstLine="640" w:firstLineChars="200"/>
        <w:rPr>
          <w:rFonts w:ascii="仿宋_GB2312" w:hAnsi="仿宋" w:cs="宋体"/>
          <w:color w:val="333333"/>
          <w:szCs w:val="32"/>
        </w:rPr>
      </w:pPr>
      <w:r>
        <w:rPr>
          <w:szCs w:val="32"/>
        </w:rPr>
        <w:t>截至202</w:t>
      </w:r>
      <w:r>
        <w:rPr>
          <w:rFonts w:hint="eastAsia"/>
          <w:szCs w:val="32"/>
        </w:rPr>
        <w:t>3</w:t>
      </w:r>
      <w:r>
        <w:rPr>
          <w:szCs w:val="32"/>
        </w:rPr>
        <w:t>年末，</w:t>
      </w:r>
      <w:r>
        <w:rPr>
          <w:rFonts w:hint="eastAsia" w:ascii="仿宋_GB2312" w:hAnsi="仿宋" w:cs="宋体"/>
          <w:color w:val="333333"/>
          <w:szCs w:val="32"/>
        </w:rPr>
        <w:t>黑水县财政局属行政机构一级预算单位。总编制42名，其中：行政编制15名，参公编制13人，行政工勤4名；事业编制10名。在职人员总数38人，其中：行政人员12人、参公人员12人、行政工勤4人、事业人员10人。</w:t>
      </w:r>
    </w:p>
    <w:p>
      <w:pPr>
        <w:spacing w:line="560" w:lineRule="exact"/>
        <w:ind w:firstLine="640" w:firstLineChars="200"/>
        <w:rPr>
          <w:rFonts w:eastAsia="黑体"/>
          <w:color w:val="000000"/>
          <w:kern w:val="0"/>
          <w:szCs w:val="32"/>
          <w:shd w:val="clear" w:color="auto" w:fill="FFFFFF"/>
        </w:rPr>
      </w:pPr>
      <w:r>
        <w:rPr>
          <w:rFonts w:eastAsia="黑体"/>
          <w:color w:val="000000"/>
          <w:kern w:val="0"/>
          <w:szCs w:val="32"/>
          <w:shd w:val="clear" w:color="auto" w:fill="FFFFFF"/>
        </w:rPr>
        <w:t>二、部门资金收支情况</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收入情况</w:t>
      </w:r>
      <w:r>
        <w:rPr>
          <w:rFonts w:eastAsia="楷体_GB2312"/>
          <w:b/>
          <w:bCs/>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1.</w:t>
      </w:r>
      <w:r>
        <w:rPr>
          <w:rFonts w:hint="eastAsia" w:ascii="楷体_GB2312" w:hAnsi="楷体_GB2312" w:eastAsia="楷体_GB2312" w:cs="楷体_GB2312"/>
          <w:color w:val="000000"/>
          <w:kern w:val="0"/>
          <w:szCs w:val="32"/>
          <w:shd w:val="clear" w:color="auto" w:fill="FFFFFF"/>
          <w:lang w:val="zh-CN"/>
        </w:rPr>
        <w:t xml:space="preserve"> 2023年年初预算收入情况。</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根据《黑水县财政局关于批复2023年度部门预算的通知》（黑财</w:t>
      </w:r>
      <w:r>
        <w:rPr>
          <w:rFonts w:hint="eastAsia" w:ascii="宋体" w:hAnsi="宋体" w:eastAsia="宋体" w:cs="仿宋_GB2312"/>
          <w:color w:val="000000"/>
          <w:kern w:val="0"/>
          <w:szCs w:val="32"/>
        </w:rPr>
        <w:t>〔2023〕5号</w:t>
      </w:r>
      <w:r>
        <w:rPr>
          <w:rFonts w:hint="eastAsia" w:ascii="仿宋_GB2312" w:hAnsi="仿宋_GB2312" w:cs="仿宋_GB2312"/>
          <w:color w:val="000000"/>
          <w:kern w:val="0"/>
          <w:szCs w:val="32"/>
        </w:rPr>
        <w:t>）文件，我局2023年年初预算收入823.81万元，全部为一般公共预算财政拨款收入，占总预算100%。</w:t>
      </w:r>
    </w:p>
    <w:p>
      <w:pPr>
        <w:adjustRightInd w:val="0"/>
        <w:snapToGrid w:val="0"/>
        <w:spacing w:line="560" w:lineRule="exact"/>
        <w:ind w:firstLine="800" w:firstLineChars="25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2.决算报表收入情况。</w:t>
      </w:r>
    </w:p>
    <w:p>
      <w:pPr>
        <w:adjustRightInd w:val="0"/>
        <w:snapToGrid w:val="0"/>
        <w:spacing w:line="560" w:lineRule="exact"/>
        <w:ind w:firstLine="800" w:firstLineChars="250"/>
        <w:contextualSpacing/>
        <w:jc w:val="left"/>
        <w:rPr>
          <w:rFonts w:ascii="仿宋_GB2312" w:hAnsi="宋体" w:cs="仿宋_GB2312"/>
          <w:color w:val="000000"/>
          <w:kern w:val="0"/>
          <w:szCs w:val="32"/>
        </w:rPr>
      </w:pPr>
      <w:r>
        <w:rPr>
          <w:rFonts w:hint="eastAsia" w:ascii="仿宋_GB2312" w:hAnsi="宋体" w:cs="仿宋_GB2312"/>
          <w:color w:val="000000"/>
          <w:kern w:val="0"/>
          <w:szCs w:val="32"/>
        </w:rPr>
        <w:t>黑水县财政局2023年决算报表收入1190.37万元，全部为一般公共预算财政拨款收入。</w:t>
      </w:r>
    </w:p>
    <w:p>
      <w:pPr>
        <w:adjustRightInd w:val="0"/>
        <w:snapToGrid w:val="0"/>
        <w:spacing w:line="560" w:lineRule="exact"/>
        <w:ind w:firstLine="800" w:firstLineChars="25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3.追加预算安排情况。</w:t>
      </w:r>
    </w:p>
    <w:p>
      <w:pPr>
        <w:adjustRightInd w:val="0"/>
        <w:snapToGrid w:val="0"/>
        <w:spacing w:line="560" w:lineRule="exact"/>
        <w:ind w:firstLine="640" w:firstLineChars="200"/>
        <w:contextualSpacing/>
        <w:jc w:val="left"/>
        <w:rPr>
          <w:rFonts w:ascii="仿宋_GB2312" w:hAnsi="宋体" w:cs="仿宋_GB2312"/>
          <w:color w:val="000000"/>
          <w:kern w:val="0"/>
          <w:szCs w:val="32"/>
        </w:rPr>
      </w:pPr>
      <w:r>
        <w:rPr>
          <w:rFonts w:hint="eastAsia" w:ascii="仿宋_GB2312" w:hAnsi="宋体" w:cs="仿宋_GB2312"/>
          <w:color w:val="000000"/>
          <w:kern w:val="0"/>
          <w:szCs w:val="32"/>
        </w:rPr>
        <w:t>黑水县财政局2023年追加预算安排366.56万元。主要是年度考核奖、</w:t>
      </w:r>
      <w:r>
        <w:rPr>
          <w:rFonts w:ascii="仿宋_GB2312" w:hAnsi="宋体" w:cs="仿宋_GB2312"/>
          <w:color w:val="000000"/>
          <w:kern w:val="0"/>
          <w:szCs w:val="32"/>
        </w:rPr>
        <w:t>年度考核奖和基础性绩效奖</w:t>
      </w:r>
      <w:r>
        <w:rPr>
          <w:rFonts w:hint="eastAsia" w:ascii="仿宋_GB2312" w:hAnsi="宋体" w:cs="仿宋_GB2312"/>
          <w:color w:val="000000"/>
          <w:kern w:val="0"/>
          <w:szCs w:val="32"/>
        </w:rPr>
        <w:t>、</w:t>
      </w:r>
      <w:r>
        <w:t>丧葬费及抚恤金</w:t>
      </w:r>
      <w:r>
        <w:rPr>
          <w:rFonts w:hint="eastAsia"/>
        </w:rPr>
        <w:t>、</w:t>
      </w:r>
      <w:r>
        <w:t>财政委托业务经费项目</w:t>
      </w:r>
      <w:r>
        <w:rPr>
          <w:rFonts w:hint="eastAsia"/>
        </w:rPr>
        <w:t>、</w:t>
      </w:r>
      <w:r>
        <w:t>乡镇综合实施建设项目</w:t>
      </w:r>
      <w:r>
        <w:rPr>
          <w:rFonts w:hint="eastAsia"/>
        </w:rPr>
        <w:t>等。</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二</w:t>
      </w: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支出情况</w:t>
      </w:r>
      <w:r>
        <w:rPr>
          <w:rFonts w:eastAsia="楷体_GB2312"/>
          <w:b/>
          <w:bCs/>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1. 2023年年初预算支出情况。</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根据《黑水县财政局关于批复2023年度部门预算的通知》（黑财</w:t>
      </w:r>
      <w:r>
        <w:rPr>
          <w:rFonts w:hint="eastAsia" w:ascii="宋体" w:hAnsi="宋体" w:eastAsia="宋体" w:cs="仿宋_GB2312"/>
          <w:color w:val="000000"/>
          <w:kern w:val="0"/>
          <w:szCs w:val="32"/>
        </w:rPr>
        <w:t>〔2023〕5号</w:t>
      </w:r>
      <w:r>
        <w:rPr>
          <w:rFonts w:hint="eastAsia" w:ascii="仿宋_GB2312" w:hAnsi="仿宋_GB2312" w:cs="仿宋_GB2312"/>
          <w:color w:val="000000"/>
          <w:kern w:val="0"/>
          <w:szCs w:val="32"/>
        </w:rPr>
        <w:t>）文件，我局2023年年初预算支出823.81万元。</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按支出性质分：基本支出724.73万元，占总预算的87.93%；项目支出99.08万元，占总预算的12.07%。</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按支出功能分：</w:t>
      </w:r>
      <w:r>
        <w:rPr>
          <w:rFonts w:ascii="仿宋_GB2312" w:hAnsi="仿宋_GB2312" w:cs="仿宋_GB2312"/>
          <w:color w:val="000000"/>
          <w:kern w:val="0"/>
          <w:szCs w:val="32"/>
        </w:rPr>
        <w:t>一般公共服务支出</w:t>
      </w:r>
      <w:r>
        <w:rPr>
          <w:rFonts w:hint="eastAsia" w:ascii="仿宋_GB2312" w:hAnsi="仿宋_GB2312" w:cs="仿宋_GB2312"/>
          <w:color w:val="000000"/>
          <w:kern w:val="0"/>
          <w:szCs w:val="32"/>
        </w:rPr>
        <w:t>591.09万元、</w:t>
      </w:r>
      <w:r>
        <w:rPr>
          <w:rFonts w:ascii="仿宋_GB2312" w:hAnsi="仿宋_GB2312" w:cs="仿宋_GB2312"/>
          <w:color w:val="000000"/>
          <w:kern w:val="0"/>
          <w:szCs w:val="32"/>
        </w:rPr>
        <w:t>社会保障和就业支出</w:t>
      </w:r>
      <w:r>
        <w:rPr>
          <w:rFonts w:hint="eastAsia" w:ascii="仿宋_GB2312" w:hAnsi="仿宋_GB2312" w:cs="仿宋_GB2312"/>
          <w:color w:val="000000"/>
          <w:kern w:val="0"/>
          <w:szCs w:val="32"/>
        </w:rPr>
        <w:t>122.17万元、</w:t>
      </w:r>
      <w:r>
        <w:rPr>
          <w:rFonts w:ascii="仿宋_GB2312" w:hAnsi="仿宋_GB2312" w:cs="仿宋_GB2312"/>
          <w:color w:val="000000"/>
          <w:kern w:val="0"/>
          <w:szCs w:val="32"/>
        </w:rPr>
        <w:t>卫生健康支出</w:t>
      </w:r>
      <w:r>
        <w:rPr>
          <w:rFonts w:hint="eastAsia" w:ascii="仿宋_GB2312" w:hAnsi="仿宋_GB2312" w:cs="仿宋_GB2312"/>
          <w:color w:val="000000"/>
          <w:kern w:val="0"/>
          <w:szCs w:val="32"/>
        </w:rPr>
        <w:t>49.47万元、</w:t>
      </w:r>
      <w:r>
        <w:rPr>
          <w:rFonts w:ascii="仿宋_GB2312" w:hAnsi="仿宋_GB2312" w:cs="仿宋_GB2312"/>
          <w:color w:val="000000"/>
          <w:kern w:val="0"/>
          <w:szCs w:val="32"/>
        </w:rPr>
        <w:t>住房保障支出</w:t>
      </w:r>
      <w:r>
        <w:rPr>
          <w:rFonts w:hint="eastAsia" w:ascii="仿宋_GB2312" w:hAnsi="仿宋_GB2312" w:cs="仿宋_GB2312"/>
          <w:color w:val="000000"/>
          <w:kern w:val="0"/>
          <w:szCs w:val="32"/>
        </w:rPr>
        <w:t>61.09万元。</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rPr>
      </w:pPr>
      <w:r>
        <w:rPr>
          <w:rFonts w:hint="eastAsia" w:ascii="楷体_GB2312" w:hAnsi="楷体_GB2312" w:eastAsia="楷体_GB2312" w:cs="楷体_GB2312"/>
          <w:color w:val="000000"/>
          <w:kern w:val="0"/>
          <w:szCs w:val="32"/>
          <w:shd w:val="clear" w:color="auto" w:fill="FFFFFF"/>
        </w:rPr>
        <w:t>2.决算报表支出情况。</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黑水县财政局2023年决算报表支出1190.37万元。</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按支出性质分：基本支出923.09万元，占总支出的77.55%；项目支出267.27万元，占总支出的22.45%。</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按支出功能分：</w:t>
      </w:r>
      <w:r>
        <w:rPr>
          <w:rFonts w:ascii="仿宋_GB2312" w:hAnsi="仿宋_GB2312" w:cs="仿宋_GB2312"/>
          <w:color w:val="000000"/>
          <w:kern w:val="0"/>
          <w:szCs w:val="32"/>
        </w:rPr>
        <w:t>一般公共服务支出</w:t>
      </w:r>
      <w:r>
        <w:rPr>
          <w:rFonts w:hint="eastAsia" w:ascii="仿宋_GB2312" w:hAnsi="仿宋_GB2312" w:cs="仿宋_GB2312"/>
          <w:color w:val="000000"/>
          <w:kern w:val="0"/>
          <w:szCs w:val="32"/>
        </w:rPr>
        <w:t>932.11万元，占总支出的78.3%；</w:t>
      </w:r>
      <w:r>
        <w:rPr>
          <w:rFonts w:ascii="仿宋_GB2312" w:hAnsi="仿宋_GB2312" w:cs="仿宋_GB2312"/>
          <w:color w:val="000000"/>
          <w:kern w:val="0"/>
          <w:szCs w:val="32"/>
        </w:rPr>
        <w:t>社会保障和就业支出</w:t>
      </w:r>
      <w:r>
        <w:rPr>
          <w:rFonts w:hint="eastAsia" w:ascii="仿宋_GB2312" w:hAnsi="仿宋_GB2312" w:cs="仿宋_GB2312"/>
          <w:color w:val="000000"/>
          <w:kern w:val="0"/>
          <w:szCs w:val="32"/>
        </w:rPr>
        <w:t>111.47万元，占总支出的9.36%；</w:t>
      </w:r>
      <w:r>
        <w:rPr>
          <w:rFonts w:ascii="仿宋_GB2312" w:hAnsi="仿宋_GB2312" w:cs="仿宋_GB2312"/>
          <w:color w:val="000000"/>
          <w:kern w:val="0"/>
          <w:szCs w:val="32"/>
        </w:rPr>
        <w:t>卫生健康支出</w:t>
      </w:r>
      <w:r>
        <w:rPr>
          <w:rFonts w:hint="eastAsia" w:ascii="仿宋_GB2312" w:hAnsi="仿宋_GB2312" w:cs="仿宋_GB2312"/>
          <w:color w:val="000000"/>
          <w:kern w:val="0"/>
          <w:szCs w:val="32"/>
        </w:rPr>
        <w:t>50.97万元，占总支出的4.29%；</w:t>
      </w:r>
      <w:r>
        <w:t>农林水支</w:t>
      </w:r>
      <w:r>
        <w:rPr>
          <w:rFonts w:ascii="仿宋_GB2312" w:hAnsi="仿宋_GB2312" w:cs="仿宋_GB2312"/>
          <w:color w:val="000000"/>
          <w:kern w:val="0"/>
          <w:szCs w:val="32"/>
        </w:rPr>
        <w:t>出</w:t>
      </w:r>
      <w:r>
        <w:rPr>
          <w:rFonts w:hint="eastAsia" w:ascii="仿宋_GB2312" w:hAnsi="仿宋_GB2312" w:cs="仿宋_GB2312"/>
          <w:color w:val="000000"/>
          <w:kern w:val="0"/>
          <w:szCs w:val="32"/>
        </w:rPr>
        <w:t>35.4万</w:t>
      </w:r>
      <w:r>
        <w:rPr>
          <w:rFonts w:hint="eastAsia"/>
        </w:rPr>
        <w:t>元，</w:t>
      </w:r>
      <w:r>
        <w:rPr>
          <w:rFonts w:hint="eastAsia" w:ascii="仿宋_GB2312" w:hAnsi="仿宋_GB2312" w:cs="仿宋_GB2312"/>
          <w:color w:val="000000"/>
          <w:kern w:val="0"/>
          <w:szCs w:val="32"/>
        </w:rPr>
        <w:t>占总支出的2.97%；</w:t>
      </w:r>
      <w:r>
        <w:rPr>
          <w:rFonts w:ascii="仿宋_GB2312" w:hAnsi="仿宋_GB2312" w:cs="仿宋_GB2312"/>
          <w:color w:val="000000"/>
          <w:kern w:val="0"/>
          <w:szCs w:val="32"/>
        </w:rPr>
        <w:t>住房保障支出</w:t>
      </w:r>
      <w:r>
        <w:rPr>
          <w:rFonts w:hint="eastAsia" w:ascii="仿宋_GB2312" w:hAnsi="仿宋_GB2312" w:cs="仿宋_GB2312"/>
          <w:color w:val="000000"/>
          <w:kern w:val="0"/>
          <w:szCs w:val="32"/>
        </w:rPr>
        <w:t>60.42万元，占总支出的5.08%。</w:t>
      </w:r>
    </w:p>
    <w:p>
      <w:pPr>
        <w:adjustRightInd w:val="0"/>
        <w:snapToGrid w:val="0"/>
        <w:spacing w:line="560" w:lineRule="exact"/>
        <w:ind w:firstLine="640" w:firstLineChars="200"/>
        <w:contextualSpacing/>
        <w:jc w:val="left"/>
        <w:rPr>
          <w:rFonts w:ascii="仿宋_GB2312" w:hAnsi="仿宋_GB2312" w:cs="仿宋_GB2312"/>
          <w:color w:val="000000"/>
          <w:kern w:val="0"/>
          <w:szCs w:val="32"/>
        </w:rPr>
      </w:pPr>
      <w:r>
        <w:rPr>
          <w:rFonts w:hint="eastAsia" w:ascii="仿宋_GB2312" w:hAnsi="仿宋_GB2312" w:cs="仿宋_GB2312"/>
          <w:color w:val="000000"/>
          <w:kern w:val="0"/>
          <w:szCs w:val="32"/>
        </w:rPr>
        <w:t>按支出经济分：工资福利支出790.02万元，占总支出的66.37%；</w:t>
      </w:r>
      <w:r>
        <w:rPr>
          <w:rFonts w:hint="eastAsia" w:ascii="仿宋_GB2312"/>
        </w:rPr>
        <w:t>商品和服务支出308.94万元，</w:t>
      </w:r>
      <w:r>
        <w:rPr>
          <w:rFonts w:hint="eastAsia" w:ascii="仿宋_GB2312" w:hAnsi="仿宋_GB2312" w:cs="仿宋_GB2312"/>
          <w:color w:val="000000"/>
          <w:kern w:val="0"/>
          <w:szCs w:val="32"/>
        </w:rPr>
        <w:t>占总支出的25.96%；</w:t>
      </w:r>
      <w:r>
        <w:rPr>
          <w:rFonts w:hint="eastAsia" w:ascii="仿宋_GB2312"/>
        </w:rPr>
        <w:t>对个人和家庭的补助55.51万元，</w:t>
      </w:r>
      <w:r>
        <w:rPr>
          <w:rFonts w:hint="eastAsia" w:ascii="仿宋_GB2312" w:hAnsi="仿宋_GB2312" w:cs="仿宋_GB2312"/>
          <w:color w:val="000000"/>
          <w:kern w:val="0"/>
          <w:szCs w:val="32"/>
        </w:rPr>
        <w:t>占总支出的4.66%；</w:t>
      </w:r>
      <w:r>
        <w:rPr>
          <w:rFonts w:hint="eastAsia" w:ascii="仿宋_GB2312"/>
        </w:rPr>
        <w:t>资本性支出（基本建设）35.4万元，</w:t>
      </w:r>
      <w:r>
        <w:rPr>
          <w:rFonts w:hint="eastAsia" w:ascii="仿宋_GB2312" w:hAnsi="仿宋_GB2312" w:cs="仿宋_GB2312"/>
          <w:color w:val="000000"/>
          <w:kern w:val="0"/>
          <w:szCs w:val="32"/>
        </w:rPr>
        <w:t>占总支出的2.97%；</w:t>
      </w:r>
      <w:r>
        <w:rPr>
          <w:rFonts w:hint="eastAsia" w:ascii="仿宋_GB2312"/>
        </w:rPr>
        <w:t>资本性支出0.5万元，</w:t>
      </w:r>
      <w:r>
        <w:rPr>
          <w:rFonts w:hint="eastAsia" w:ascii="仿宋_GB2312" w:hAnsi="仿宋_GB2312" w:cs="仿宋_GB2312"/>
          <w:color w:val="000000"/>
          <w:kern w:val="0"/>
          <w:szCs w:val="32"/>
        </w:rPr>
        <w:t>占总支出的0.04%</w:t>
      </w:r>
      <w:r>
        <w:rPr>
          <w:rFonts w:hint="eastAsia" w:ascii="仿宋_GB2312"/>
        </w:rPr>
        <w:t>。</w:t>
      </w:r>
    </w:p>
    <w:p>
      <w:pPr>
        <w:adjustRightInd w:val="0"/>
        <w:snapToGrid w:val="0"/>
        <w:spacing w:line="560" w:lineRule="exact"/>
        <w:ind w:firstLine="800" w:firstLineChars="25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3.追加预算安排支出情况。</w:t>
      </w:r>
    </w:p>
    <w:p>
      <w:pPr>
        <w:adjustRightInd w:val="0"/>
        <w:snapToGrid w:val="0"/>
        <w:spacing w:line="560" w:lineRule="exact"/>
        <w:ind w:firstLine="640" w:firstLineChars="200"/>
        <w:contextualSpacing/>
        <w:jc w:val="left"/>
        <w:rPr>
          <w:rFonts w:ascii="仿宋_GB2312" w:hAnsi="宋体" w:cs="仿宋_GB2312"/>
          <w:color w:val="000000"/>
          <w:kern w:val="0"/>
          <w:szCs w:val="32"/>
        </w:rPr>
      </w:pPr>
      <w:r>
        <w:rPr>
          <w:rFonts w:hint="eastAsia" w:ascii="仿宋_GB2312" w:hAnsi="宋体" w:cs="仿宋_GB2312"/>
          <w:color w:val="000000"/>
          <w:kern w:val="0"/>
          <w:szCs w:val="32"/>
        </w:rPr>
        <w:t>黑水县财政局2023年追加预算安排366.56万元。安排基本支出追加153.41万元，项目支出追加213.15万元</w:t>
      </w:r>
      <w:r>
        <w:rPr>
          <w:rFonts w:hint="eastAsia"/>
        </w:rPr>
        <w:t>。</w:t>
      </w:r>
    </w:p>
    <w:p>
      <w:pPr>
        <w:adjustRightInd w:val="0"/>
        <w:snapToGrid w:val="0"/>
        <w:spacing w:line="560" w:lineRule="exact"/>
        <w:ind w:firstLine="642" w:firstLineChars="200"/>
        <w:contextualSpacing/>
        <w:jc w:val="left"/>
        <w:rPr>
          <w:rFonts w:eastAsia="楷体_GB2312"/>
          <w:b/>
          <w:szCs w:val="32"/>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w:t>
      </w:r>
      <w:r>
        <w:rPr>
          <w:rFonts w:eastAsia="楷体_GB2312"/>
          <w:b/>
          <w:szCs w:val="32"/>
        </w:rPr>
        <w:t>结余分配和结转结余情况</w:t>
      </w:r>
      <w:r>
        <w:rPr>
          <w:rFonts w:hint="eastAsia" w:eastAsia="楷体_GB2312"/>
          <w:b/>
          <w:szCs w:val="32"/>
        </w:rPr>
        <w:t>。</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szCs w:val="32"/>
        </w:rPr>
        <w:t>黑水县财政局2023年决算报表无</w:t>
      </w:r>
      <w:r>
        <w:rPr>
          <w:color w:val="000000"/>
          <w:kern w:val="0"/>
          <w:szCs w:val="32"/>
          <w:shd w:val="clear" w:color="auto" w:fill="FFFFFF"/>
        </w:rPr>
        <w:t>结转结余。</w:t>
      </w:r>
    </w:p>
    <w:p>
      <w:pPr>
        <w:adjustRightInd w:val="0"/>
        <w:snapToGrid w:val="0"/>
        <w:spacing w:line="560" w:lineRule="exact"/>
        <w:ind w:firstLine="640" w:firstLineChars="200"/>
        <w:contextualSpacing/>
        <w:jc w:val="left"/>
        <w:rPr>
          <w:rFonts w:eastAsia="黑体"/>
          <w:color w:val="000000" w:themeColor="text1"/>
          <w:kern w:val="0"/>
          <w:szCs w:val="32"/>
          <w:shd w:val="clear" w:color="auto" w:fill="FFFFFF"/>
        </w:rPr>
      </w:pPr>
      <w:r>
        <w:rPr>
          <w:rFonts w:eastAsia="黑体"/>
          <w:color w:val="000000"/>
          <w:kern w:val="0"/>
          <w:szCs w:val="32"/>
          <w:shd w:val="clear" w:color="auto" w:fill="FFFFFF"/>
        </w:rPr>
        <w:t>三、部门预算绩效分析</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w:t>
      </w:r>
      <w:r>
        <w:rPr>
          <w:rFonts w:hint="eastAsia" w:eastAsia="楷体_GB2312"/>
          <w:b/>
          <w:bCs/>
          <w:color w:val="000000"/>
          <w:kern w:val="0"/>
          <w:szCs w:val="32"/>
          <w:shd w:val="clear" w:color="auto" w:fill="FFFFFF"/>
          <w:lang w:val="zh-CN"/>
        </w:rPr>
        <w:t>部门预算</w:t>
      </w:r>
      <w:r>
        <w:rPr>
          <w:rFonts w:eastAsia="楷体_GB2312"/>
          <w:b/>
          <w:bCs/>
          <w:color w:val="000000"/>
          <w:kern w:val="0"/>
          <w:szCs w:val="32"/>
          <w:shd w:val="clear" w:color="auto" w:fill="FFFFFF"/>
          <w:lang w:val="zh-CN"/>
        </w:rPr>
        <w:t>总体绩效分析。</w:t>
      </w:r>
      <w:r>
        <w:rPr>
          <w:rFonts w:hint="eastAsia" w:eastAsia="楷体_GB2312"/>
          <w:b/>
          <w:bCs/>
          <w:color w:val="000000"/>
          <w:kern w:val="0"/>
          <w:szCs w:val="32"/>
          <w:shd w:val="clear" w:color="auto" w:fill="FFFFFF"/>
          <w:lang w:val="zh-CN"/>
        </w:rPr>
        <w:t>（分值65分，自评得分59分）</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ascii="仿宋_GB2312" w:hAnsi="宋体"/>
          <w:szCs w:val="32"/>
        </w:rPr>
        <w:t>根据2023年财政工作要点和职能职责，结合单位实际，</w:t>
      </w:r>
      <w:r>
        <w:rPr>
          <w:color w:val="000000"/>
          <w:kern w:val="0"/>
          <w:szCs w:val="32"/>
          <w:shd w:val="clear" w:color="auto" w:fill="FFFFFF"/>
          <w:lang w:val="zh-CN"/>
        </w:rPr>
        <w:t>部门预算绩效</w:t>
      </w:r>
      <w:r>
        <w:rPr>
          <w:rFonts w:hint="eastAsia"/>
          <w:color w:val="000000"/>
          <w:kern w:val="0"/>
          <w:szCs w:val="32"/>
          <w:shd w:val="clear" w:color="auto" w:fill="FFFFFF"/>
          <w:lang w:val="zh-CN"/>
        </w:rPr>
        <w:t>目标紧紧围绕</w:t>
      </w:r>
      <w:r>
        <w:rPr>
          <w:color w:val="000000"/>
          <w:kern w:val="0"/>
          <w:szCs w:val="32"/>
          <w:shd w:val="clear" w:color="auto" w:fill="FFFFFF"/>
          <w:lang w:val="zh-CN"/>
        </w:rPr>
        <w:t>履职效能、预算管理、财务管理、资产管理、采购管理</w:t>
      </w:r>
      <w:r>
        <w:rPr>
          <w:rFonts w:hint="eastAsia"/>
          <w:color w:val="000000"/>
          <w:kern w:val="0"/>
          <w:szCs w:val="32"/>
          <w:shd w:val="clear" w:color="auto" w:fill="FFFFFF"/>
          <w:lang w:val="zh-CN"/>
        </w:rPr>
        <w:t>方面设定全面绩效目标</w:t>
      </w:r>
      <w:r>
        <w:rPr>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1.</w:t>
      </w:r>
      <w:r>
        <w:rPr>
          <w:rFonts w:hint="eastAsia" w:ascii="楷体_GB2312" w:hAnsi="楷体_GB2312" w:eastAsia="楷体_GB2312" w:cs="楷体_GB2312"/>
          <w:color w:val="000000"/>
          <w:kern w:val="0"/>
          <w:szCs w:val="32"/>
          <w:shd w:val="clear" w:color="auto" w:fill="FFFFFF"/>
          <w:lang w:val="zh-CN"/>
        </w:rPr>
        <w:t>履职效能。(分值15分，自评得分15分)</w:t>
      </w:r>
    </w:p>
    <w:p>
      <w:pPr>
        <w:spacing w:line="560" w:lineRule="exact"/>
        <w:ind w:firstLine="642" w:firstLineChars="200"/>
        <w:jc w:val="left"/>
        <w:rPr>
          <w:rFonts w:ascii="仿宋_GB2312" w:hAnsi="宋体"/>
          <w:szCs w:val="32"/>
        </w:rPr>
      </w:pPr>
      <w:r>
        <w:rPr>
          <w:rFonts w:hint="eastAsia" w:ascii="仿宋_GB2312" w:hAnsi="宋体"/>
          <w:b/>
          <w:szCs w:val="32"/>
        </w:rPr>
        <w:t>一是</w:t>
      </w:r>
      <w:r>
        <w:rPr>
          <w:rFonts w:hint="eastAsia" w:ascii="仿宋_GB2312" w:hAnsi="宋体"/>
          <w:szCs w:val="32"/>
        </w:rPr>
        <w:t>预算执行管理不断加强。通过建立执行数据动态监控机制、提高财政资金拨付效率、加快预算执行进度，提高预算执行效率。</w:t>
      </w:r>
      <w:r>
        <w:rPr>
          <w:rFonts w:hint="eastAsia" w:ascii="仿宋_GB2312" w:hAnsi="宋体"/>
          <w:b/>
          <w:szCs w:val="32"/>
        </w:rPr>
        <w:t>二是</w:t>
      </w:r>
      <w:r>
        <w:rPr>
          <w:rFonts w:hint="eastAsia" w:ascii="仿宋_GB2312" w:hAnsi="宋体"/>
          <w:szCs w:val="32"/>
        </w:rPr>
        <w:t>持续提升财政管理服务水平，规范全口径预算管理、国库管理，会计信息质量监督管理等全过程动态监管机制不断健全。</w:t>
      </w:r>
      <w:r>
        <w:rPr>
          <w:rFonts w:hint="eastAsia" w:ascii="仿宋_GB2312" w:hAnsi="宋体"/>
          <w:b/>
          <w:szCs w:val="32"/>
        </w:rPr>
        <w:t>三是</w:t>
      </w:r>
      <w:r>
        <w:rPr>
          <w:rFonts w:hint="eastAsia" w:ascii="仿宋_GB2312" w:hAnsi="宋体"/>
          <w:szCs w:val="32"/>
        </w:rPr>
        <w:t>强化监督检查，确保各项财政政策的实施和财政资金安全、规范、有效运行。</w:t>
      </w:r>
      <w:r>
        <w:rPr>
          <w:rFonts w:hint="eastAsia" w:ascii="仿宋_GB2312" w:hAnsi="宋体"/>
          <w:b/>
          <w:szCs w:val="32"/>
        </w:rPr>
        <w:t>四是</w:t>
      </w:r>
      <w:r>
        <w:rPr>
          <w:rFonts w:hint="eastAsia" w:ascii="仿宋_GB2312" w:hAnsi="宋体"/>
          <w:szCs w:val="32"/>
        </w:rPr>
        <w:t>严格执行中央八项规定精神和党政机关厉行节约反对浪费条例，认真执行会议费、培训费、差旅费管理办法等有关规定，严格控制“三公”经费和一般性公用经费支出。</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2.</w:t>
      </w:r>
      <w:r>
        <w:rPr>
          <w:rFonts w:ascii="楷体_GB2312" w:hAnsi="楷体_GB2312" w:eastAsia="楷体_GB2312" w:cs="楷体_GB2312"/>
          <w:color w:val="000000"/>
          <w:kern w:val="0"/>
          <w:szCs w:val="32"/>
          <w:shd w:val="clear" w:color="auto" w:fill="FFFFFF"/>
          <w:lang w:val="zh-CN"/>
        </w:rPr>
        <w:t>预算管理</w:t>
      </w:r>
      <w:r>
        <w:rPr>
          <w:rFonts w:hint="eastAsia" w:ascii="楷体_GB2312" w:hAnsi="楷体_GB2312" w:eastAsia="楷体_GB2312" w:cs="楷体_GB2312"/>
          <w:color w:val="000000"/>
          <w:kern w:val="0"/>
          <w:szCs w:val="32"/>
          <w:shd w:val="clear" w:color="auto" w:fill="FFFFFF"/>
          <w:lang w:val="zh-CN"/>
        </w:rPr>
        <w:t>。（分值25分，自评得分21分）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（1）预算编制质量。（分值8分，自评得分8分）</w:t>
      </w:r>
    </w:p>
    <w:p>
      <w:pPr>
        <w:adjustRightInd w:val="0"/>
        <w:snapToGrid w:val="0"/>
        <w:spacing w:line="560" w:lineRule="exact"/>
        <w:ind w:firstLine="640" w:firstLineChars="200"/>
        <w:contextualSpacing/>
        <w:jc w:val="left"/>
        <w:rPr>
          <w:rFonts w:ascii="仿宋_GB2312" w:hAnsi="宋体"/>
          <w:szCs w:val="32"/>
        </w:rPr>
      </w:pPr>
      <w:r>
        <w:rPr>
          <w:rFonts w:hint="eastAsia"/>
        </w:rPr>
        <w:t>黑水县财政局</w:t>
      </w:r>
      <w:r>
        <w:rPr>
          <w:rFonts w:hint="eastAsia" w:ascii="仿宋_GB2312" w:hAnsi="宋体"/>
          <w:szCs w:val="32"/>
        </w:rPr>
        <w:t>年度预算与中期规划和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信息运维服务、财政委托业务、乡镇综合实施建设、其他财政事务等重点项目任务完成目标。</w:t>
      </w:r>
    </w:p>
    <w:p>
      <w:pPr>
        <w:spacing w:line="560" w:lineRule="exact"/>
        <w:ind w:firstLine="640" w:firstLineChars="200"/>
        <w:jc w:val="left"/>
        <w:rPr>
          <w:rFonts w:ascii="仿宋_GB2312" w:hAnsi="宋体"/>
          <w:szCs w:val="32"/>
        </w:rPr>
      </w:pPr>
      <w:r>
        <w:rPr>
          <w:rFonts w:hint="eastAsia" w:ascii="仿宋_GB2312" w:hAnsi="宋体"/>
          <w:szCs w:val="32"/>
        </w:rPr>
        <w:t>（2）单位收入统筹。（分值4分，自评得分4分）</w:t>
      </w:r>
    </w:p>
    <w:p>
      <w:pPr>
        <w:spacing w:line="560" w:lineRule="exact"/>
        <w:ind w:firstLine="640" w:firstLineChars="200"/>
        <w:jc w:val="left"/>
        <w:rPr>
          <w:rFonts w:ascii="仿宋_GB2312" w:hAnsi="宋体"/>
          <w:szCs w:val="32"/>
        </w:rPr>
      </w:pPr>
      <w:r>
        <w:rPr>
          <w:rFonts w:hint="eastAsia"/>
        </w:rPr>
        <w:t>黑水县财政局的收入全部为</w:t>
      </w:r>
      <w:r>
        <w:rPr>
          <w:rFonts w:hint="eastAsia" w:ascii="仿宋_GB2312" w:hAnsi="宋体" w:cs="仿宋_GB2312"/>
          <w:color w:val="000000"/>
          <w:kern w:val="0"/>
          <w:szCs w:val="32"/>
        </w:rPr>
        <w:t>一般公共预算财政拨款</w:t>
      </w:r>
      <w:r>
        <w:rPr>
          <w:rFonts w:hint="eastAsia"/>
        </w:rPr>
        <w:t>收入和其他收入，收入来源合规。</w:t>
      </w:r>
    </w:p>
    <w:p>
      <w:pPr>
        <w:spacing w:line="560" w:lineRule="exact"/>
        <w:ind w:firstLine="640" w:firstLineChars="200"/>
        <w:jc w:val="left"/>
        <w:rPr>
          <w:rFonts w:ascii="仿宋_GB2312" w:hAnsi="宋体"/>
          <w:szCs w:val="32"/>
        </w:rPr>
      </w:pPr>
      <w:r>
        <w:rPr>
          <w:rFonts w:hint="eastAsia" w:ascii="仿宋_GB2312" w:hAnsi="宋体"/>
          <w:szCs w:val="32"/>
        </w:rPr>
        <w:t>（3）支出执行进度。（分值6分，自评得分2分）</w:t>
      </w:r>
    </w:p>
    <w:p>
      <w:pPr>
        <w:spacing w:line="560" w:lineRule="exact"/>
        <w:ind w:firstLine="640" w:firstLineChars="200"/>
        <w:jc w:val="left"/>
        <w:rPr>
          <w:rFonts w:ascii="仿宋_GB2312" w:hAnsi="宋体"/>
          <w:szCs w:val="32"/>
        </w:rPr>
      </w:pPr>
      <w:r>
        <w:rPr>
          <w:rFonts w:hint="eastAsia" w:ascii="仿宋_GB2312" w:hAnsi="宋体"/>
          <w:szCs w:val="32"/>
        </w:rPr>
        <w:t>黑水县财政局在执行过程中，截止6月30日完成预算执行进度49.06%，未达到50%；截止10月31日完成预算执行进度72.12%，未达到83.33%；12月完成预算进度达到99.33%。</w:t>
      </w:r>
    </w:p>
    <w:p>
      <w:pPr>
        <w:spacing w:line="560" w:lineRule="exact"/>
        <w:ind w:firstLine="640" w:firstLineChars="200"/>
        <w:jc w:val="left"/>
        <w:rPr>
          <w:rFonts w:ascii="仿宋_GB2312" w:hAnsi="宋体"/>
          <w:szCs w:val="32"/>
        </w:rPr>
      </w:pPr>
      <w:r>
        <w:rPr>
          <w:rFonts w:hint="eastAsia" w:ascii="仿宋_GB2312" w:hAnsi="宋体"/>
          <w:szCs w:val="32"/>
        </w:rPr>
        <w:t>（4）预算年终结余。（分值2分，自评得分2分）</w:t>
      </w:r>
    </w:p>
    <w:p>
      <w:pPr>
        <w:spacing w:line="560" w:lineRule="exact"/>
        <w:ind w:firstLine="640" w:firstLineChars="200"/>
        <w:jc w:val="left"/>
        <w:rPr>
          <w:rFonts w:ascii="仿宋_GB2312" w:hAnsi="宋体"/>
          <w:szCs w:val="32"/>
        </w:rPr>
      </w:pPr>
      <w:r>
        <w:rPr>
          <w:rFonts w:hint="eastAsia" w:ascii="仿宋_GB2312" w:hAnsi="宋体"/>
          <w:szCs w:val="32"/>
        </w:rPr>
        <w:t>黑水县财政局在2023年决算报表无部门预算年终结余资金。</w:t>
      </w:r>
    </w:p>
    <w:p>
      <w:pPr>
        <w:spacing w:line="560" w:lineRule="exact"/>
        <w:ind w:firstLine="640" w:firstLineChars="200"/>
        <w:jc w:val="left"/>
        <w:rPr>
          <w:rFonts w:ascii="仿宋_GB2312" w:hAnsi="宋体"/>
          <w:szCs w:val="32"/>
        </w:rPr>
      </w:pPr>
      <w:r>
        <w:rPr>
          <w:rFonts w:hint="eastAsia" w:ascii="仿宋_GB2312" w:hAnsi="宋体"/>
          <w:szCs w:val="32"/>
        </w:rPr>
        <w:t>（5）严控一般性支出。（分值5分，自评得分5分）</w:t>
      </w:r>
    </w:p>
    <w:p>
      <w:pPr>
        <w:spacing w:line="560" w:lineRule="exact"/>
        <w:ind w:firstLine="640" w:firstLineChars="200"/>
        <w:jc w:val="left"/>
        <w:rPr>
          <w:rFonts w:ascii="仿宋_GB2312" w:hAnsi="宋体"/>
          <w:szCs w:val="32"/>
        </w:rPr>
      </w:pPr>
      <w:r>
        <w:rPr>
          <w:rFonts w:hint="eastAsia" w:ascii="仿宋_GB2312" w:hAnsi="宋体"/>
          <w:szCs w:val="32"/>
        </w:rPr>
        <w:t>黑水县财政局严格执行批复的各项支出预算，不擅自扩大支出范围、提高开支标准，严格按照预算批复的支出用途使用资金。一般性支出财政拨款年初预算数40.35万元（“三公”经费12.35万元、会议费0万元、培训费3万元、差旅费25万元）较上年45.5万元（“三公”经费12.5万元、会议费0万元、培训费3万元、差旅费30万元）实现压减12.76%；一般性支出财政拨款预算执行23.67万元（“三公”经费6.57万元、会议费0万元、培训费4.41万元、差旅费12.69万元）较上年29万元（“三公”经费9.94万元、会议费0万元、培训费1.32万元、差旅费17.74万元）实现压减22.52%。</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3.</w:t>
      </w:r>
      <w:r>
        <w:rPr>
          <w:rFonts w:ascii="楷体_GB2312" w:hAnsi="楷体_GB2312" w:eastAsia="楷体_GB2312" w:cs="楷体_GB2312"/>
          <w:color w:val="000000"/>
          <w:kern w:val="0"/>
          <w:szCs w:val="32"/>
          <w:shd w:val="clear" w:color="auto" w:fill="FFFFFF"/>
          <w:lang w:val="zh-CN"/>
        </w:rPr>
        <w:t>财务管理</w:t>
      </w:r>
      <w:r>
        <w:rPr>
          <w:rFonts w:hint="eastAsia" w:ascii="楷体_GB2312" w:hAnsi="楷体_GB2312" w:eastAsia="楷体_GB2312" w:cs="楷体_GB2312"/>
          <w:color w:val="000000"/>
          <w:kern w:val="0"/>
          <w:szCs w:val="32"/>
          <w:shd w:val="clear" w:color="auto" w:fill="FFFFFF"/>
          <w:lang w:val="zh-CN"/>
        </w:rPr>
        <w:t>。（分值10分，自评得分10分）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（1）财务管理制度。（分值4分，自评得分4分）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严格执行《</w:t>
      </w:r>
      <w:r>
        <w:rPr>
          <w:rFonts w:hint="default" w:ascii="仿宋_GB2312" w:hAnsi="宋体"/>
          <w:szCs w:val="32"/>
        </w:rPr>
        <w:t>中华人民共和国</w:t>
      </w:r>
      <w:r>
        <w:rPr>
          <w:rFonts w:hint="eastAsia" w:ascii="仿宋_GB2312" w:hAnsi="宋体"/>
          <w:szCs w:val="32"/>
        </w:rPr>
        <w:t>预算法》《政府会计制度》《黑水县财政局机关内部控制制度汇编》、《黑水县财政局机关内部控制手册》、《黑水县党政机关国内公务接待管理实施细则》、《黑水县行政事业单位会议费管理办法》、《黑水县行政事业单位差旅费管理办法》及相关财务管理规定的要求执行。</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（2）财务岗位设置。（分值2分，自评得分2分）</w:t>
      </w:r>
    </w:p>
    <w:p>
      <w:pPr>
        <w:adjustRightInd w:val="0"/>
        <w:snapToGrid w:val="0"/>
        <w:spacing w:line="560" w:lineRule="exact"/>
        <w:ind w:firstLine="640" w:firstLineChars="200"/>
        <w:contextualSpacing/>
        <w:jc w:val="left"/>
        <w:rPr>
          <w:szCs w:val="32"/>
        </w:rPr>
      </w:pPr>
      <w:r>
        <w:rPr>
          <w:rFonts w:hint="eastAsia" w:ascii="仿宋_GB2312" w:hAnsi="仿宋" w:cs="宋体"/>
          <w:color w:val="333333"/>
          <w:szCs w:val="32"/>
        </w:rPr>
        <w:t>单位财务由局党组书记、局长和分管财务的领导负责，设会计、出纳各一名。</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（3）资金使用规范。（分值4分，自评得分4分）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严格按照财务制度，对财</w:t>
      </w:r>
      <w:r>
        <w:rPr>
          <w:rFonts w:hint="default" w:ascii="仿宋_GB2312" w:hAnsi="宋体"/>
          <w:szCs w:val="32"/>
        </w:rPr>
        <w:t>政</w:t>
      </w:r>
      <w:r>
        <w:rPr>
          <w:rFonts w:hint="eastAsia" w:ascii="仿宋_GB2312" w:hAnsi="宋体"/>
          <w:szCs w:val="32"/>
        </w:rPr>
        <w:t>支出严格把关，确保经费使用合理规范，各项支出符合国家财经法规和财务管理制度规定；资金支付具有完整的审批程序和手续，符合部门预算批复的用途，不存在截留、挤占、挪用、虚列支出等情况。</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4.</w:t>
      </w:r>
      <w:r>
        <w:rPr>
          <w:rFonts w:ascii="楷体_GB2312" w:hAnsi="楷体_GB2312" w:eastAsia="楷体_GB2312" w:cs="楷体_GB2312"/>
          <w:color w:val="000000"/>
          <w:kern w:val="0"/>
          <w:szCs w:val="32"/>
          <w:shd w:val="clear" w:color="auto" w:fill="FFFFFF"/>
          <w:lang w:val="zh-CN"/>
        </w:rPr>
        <w:t>资产管理</w:t>
      </w:r>
      <w:r>
        <w:rPr>
          <w:rFonts w:hint="eastAsia" w:ascii="楷体_GB2312" w:hAnsi="楷体_GB2312" w:eastAsia="楷体_GB2312" w:cs="楷体_GB2312"/>
          <w:color w:val="000000"/>
          <w:kern w:val="0"/>
          <w:szCs w:val="32"/>
          <w:shd w:val="clear" w:color="auto" w:fill="FFFFFF"/>
          <w:lang w:val="zh-CN"/>
        </w:rPr>
        <w:t>。（分值9分，自评得7分）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（1）人均资产变化率。（分值3分，自评得分2分）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黑水县财政局2023年资产933.84万元，38人， 2022年资产950.14万元，35人，我单位人均资产通过资产占有情况和人口数量相比，资产得到有效利用。</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（2）人均资产利用率。（分值3分，自评得分3分）</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仿宋_GB2312" w:hAnsi="宋体"/>
          <w:szCs w:val="32"/>
        </w:rPr>
        <w:t>严格执行《行政事业单位国有资产管理暂行办法》（财政部令35号）《行政事业性国有资产管理条例》（国务院令738号）《四川省行政事业性国有资产管理办法》《四川省省直行政事业单位国有资产管理办法》（川办发〔2023〕20号）《阿坝州州直行政事业单位国有资产管理办法》（阿府办发〔2024〕9号）等有关规定，加强资产管理，建立资产管理制度，将各类资产录入到国有资产管理系统，实行资产动态管理。同时单位资产实行“谁使用、谁负责”的管理原则，及时进行资产清查盘点，资产保存完整、使用合规、配置合理。资产账务管理合规，账实相符。2023年度资产处置规范。无闲置资产，固定资产利用率为100%。</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（3）资产盘活率。（分值3分，自评得分2分）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黑水县财政局2023年无闲置一年以上的资产。</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5.</w:t>
      </w:r>
      <w:r>
        <w:rPr>
          <w:rFonts w:ascii="楷体_GB2312" w:hAnsi="楷体_GB2312" w:eastAsia="楷体_GB2312" w:cs="楷体_GB2312"/>
          <w:color w:val="000000"/>
          <w:kern w:val="0"/>
          <w:szCs w:val="32"/>
          <w:shd w:val="clear" w:color="auto" w:fill="FFFFFF"/>
          <w:lang w:val="zh-CN"/>
        </w:rPr>
        <w:t>采购管理</w:t>
      </w:r>
      <w:r>
        <w:rPr>
          <w:rFonts w:hint="eastAsia" w:ascii="楷体_GB2312" w:hAnsi="楷体_GB2312" w:eastAsia="楷体_GB2312" w:cs="楷体_GB2312"/>
          <w:color w:val="000000"/>
          <w:kern w:val="0"/>
          <w:szCs w:val="32"/>
          <w:shd w:val="clear" w:color="auto" w:fill="FFFFFF"/>
          <w:lang w:val="zh-CN"/>
        </w:rPr>
        <w:t>。（分值6分，自评得分6分）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（1）支持中小企业发展。（分值3分，自评得分3分）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严格遵守《中华人民共和国政府采购</w:t>
      </w:r>
      <w:r>
        <w:rPr>
          <w:rFonts w:hint="default" w:ascii="仿宋_GB2312" w:hAnsi="宋体"/>
          <w:szCs w:val="32"/>
        </w:rPr>
        <w:t>法</w:t>
      </w:r>
      <w:r>
        <w:rPr>
          <w:rFonts w:hint="eastAsia" w:ascii="仿宋_GB2312" w:hAnsi="宋体"/>
          <w:szCs w:val="32"/>
        </w:rPr>
        <w:t>实施条例》《中华人民共和国政府采购法》等政府采购相关法律法规，严格执行单位政府采购管理制度，对纳入政府采购的项目必须实行政府采购，严格按照政府采购组织形式与方式加强政府采购内部监督管理，严格履行政府采购审批程序。</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（2）采购执行率。（分值3分，自评得分3分）</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黑水县财政局2023年无政府采购项目，不存在政府采购项目资金支付情况。</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（二）部门预算项目绩效分析。</w:t>
      </w:r>
      <w:r>
        <w:rPr>
          <w:rFonts w:hint="eastAsia" w:eastAsia="楷体_GB2312"/>
          <w:b/>
          <w:bCs/>
          <w:color w:val="000000"/>
          <w:kern w:val="0"/>
          <w:szCs w:val="32"/>
          <w:shd w:val="clear" w:color="auto" w:fill="FFFFFF"/>
          <w:lang w:val="zh-CN"/>
        </w:rPr>
        <w:t>（分值35分，自评得分35分）</w:t>
      </w:r>
    </w:p>
    <w:p>
      <w:pPr>
        <w:adjustRightInd w:val="0"/>
        <w:snapToGrid w:val="0"/>
        <w:spacing w:line="560" w:lineRule="exact"/>
        <w:ind w:firstLine="640" w:firstLineChars="200"/>
        <w:contextualSpacing/>
        <w:jc w:val="left"/>
        <w:rPr>
          <w:rFonts w:ascii="仿宋_GB2312"/>
          <w:color w:val="000000"/>
          <w:kern w:val="0"/>
          <w:szCs w:val="32"/>
          <w:shd w:val="clear" w:color="auto" w:fill="FFFFFF"/>
          <w:lang w:val="zh-CN"/>
        </w:rPr>
      </w:pPr>
      <w:r>
        <w:rPr>
          <w:rFonts w:hint="eastAsia" w:ascii="仿宋_GB2312"/>
          <w:color w:val="000000"/>
          <w:kern w:val="0"/>
          <w:szCs w:val="32"/>
          <w:shd w:val="clear" w:color="auto" w:fill="FFFFFF"/>
        </w:rPr>
        <w:t>常年项目绩效分析。</w:t>
      </w:r>
      <w:r>
        <w:rPr>
          <w:rFonts w:hint="eastAsia" w:ascii="仿宋_GB2312"/>
          <w:color w:val="000000"/>
          <w:kern w:val="0"/>
          <w:szCs w:val="32"/>
          <w:shd w:val="clear" w:color="auto" w:fill="FFFFFF"/>
          <w:lang w:val="zh-CN"/>
        </w:rPr>
        <w:t>该类项目总数</w:t>
      </w:r>
      <w:r>
        <w:rPr>
          <w:rFonts w:hint="eastAsia" w:ascii="仿宋_GB2312"/>
          <w:color w:val="000000"/>
          <w:kern w:val="0"/>
          <w:szCs w:val="32"/>
          <w:shd w:val="clear" w:color="auto" w:fill="FFFFFF"/>
        </w:rPr>
        <w:t>3</w:t>
      </w:r>
      <w:r>
        <w:rPr>
          <w:rFonts w:hint="eastAsia" w:ascii="仿宋_GB2312"/>
          <w:color w:val="000000"/>
          <w:kern w:val="0"/>
          <w:szCs w:val="32"/>
          <w:shd w:val="clear" w:color="auto" w:fill="FFFFFF"/>
          <w:lang w:val="zh-CN"/>
        </w:rPr>
        <w:t>个，涉及预算总金额</w:t>
      </w:r>
      <w:r>
        <w:rPr>
          <w:rFonts w:hint="eastAsia" w:ascii="仿宋_GB2312"/>
          <w:color w:val="000000"/>
          <w:kern w:val="0"/>
          <w:szCs w:val="32"/>
          <w:shd w:val="clear" w:color="auto" w:fill="FFFFFF"/>
        </w:rPr>
        <w:t xml:space="preserve">   231.87</w:t>
      </w:r>
      <w:r>
        <w:rPr>
          <w:rFonts w:hint="eastAsia" w:ascii="仿宋_GB2312"/>
          <w:color w:val="000000"/>
          <w:kern w:val="0"/>
          <w:szCs w:val="32"/>
          <w:shd w:val="clear" w:color="auto" w:fill="FFFFFF"/>
          <w:lang w:val="zh-CN"/>
        </w:rPr>
        <w:t>万元，1—1</w:t>
      </w:r>
      <w:r>
        <w:rPr>
          <w:rFonts w:hint="eastAsia" w:ascii="仿宋_GB2312"/>
          <w:color w:val="000000"/>
          <w:kern w:val="0"/>
          <w:szCs w:val="32"/>
          <w:shd w:val="clear" w:color="auto" w:fill="FFFFFF"/>
        </w:rPr>
        <w:t>2</w:t>
      </w:r>
      <w:r>
        <w:rPr>
          <w:rFonts w:hint="eastAsia" w:ascii="仿宋_GB2312"/>
          <w:color w:val="000000"/>
          <w:kern w:val="0"/>
          <w:szCs w:val="32"/>
          <w:shd w:val="clear" w:color="auto" w:fill="FFFFFF"/>
          <w:lang w:val="zh-CN"/>
        </w:rPr>
        <w:t>月预算执行总体进度为</w:t>
      </w:r>
      <w:r>
        <w:rPr>
          <w:rFonts w:hint="eastAsia" w:ascii="仿宋_GB2312"/>
          <w:color w:val="000000"/>
          <w:kern w:val="0"/>
          <w:szCs w:val="32"/>
          <w:shd w:val="clear" w:color="auto" w:fill="FFFFFF"/>
        </w:rPr>
        <w:t>100</w:t>
      </w:r>
      <w:r>
        <w:rPr>
          <w:rFonts w:hint="eastAsia" w:ascii="仿宋_GB2312"/>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仿宋_GB2312"/>
          <w:color w:val="000000"/>
          <w:kern w:val="0"/>
          <w:szCs w:val="32"/>
          <w:shd w:val="clear" w:color="auto" w:fill="FFFFFF"/>
          <w:lang w:val="zh-CN"/>
        </w:rPr>
      </w:pPr>
      <w:r>
        <w:rPr>
          <w:rFonts w:hint="eastAsia" w:ascii="仿宋_GB2312"/>
          <w:color w:val="000000"/>
          <w:kern w:val="0"/>
          <w:szCs w:val="32"/>
          <w:shd w:val="clear" w:color="auto" w:fill="FFFFFF"/>
        </w:rPr>
        <w:t>阶段（一次性）项目绩效分析。</w:t>
      </w:r>
      <w:r>
        <w:rPr>
          <w:rFonts w:hint="eastAsia" w:ascii="仿宋_GB2312"/>
          <w:color w:val="000000"/>
          <w:kern w:val="0"/>
          <w:szCs w:val="32"/>
          <w:shd w:val="clear" w:color="auto" w:fill="FFFFFF"/>
          <w:lang w:val="zh-CN"/>
        </w:rPr>
        <w:t>该类项目总数</w:t>
      </w:r>
      <w:r>
        <w:rPr>
          <w:rFonts w:hint="eastAsia" w:ascii="仿宋_GB2312"/>
          <w:color w:val="000000"/>
          <w:kern w:val="0"/>
          <w:szCs w:val="32"/>
          <w:shd w:val="clear" w:color="auto" w:fill="FFFFFF"/>
        </w:rPr>
        <w:t>1</w:t>
      </w:r>
      <w:r>
        <w:rPr>
          <w:rFonts w:hint="eastAsia" w:ascii="仿宋_GB2312"/>
          <w:color w:val="000000"/>
          <w:kern w:val="0"/>
          <w:szCs w:val="32"/>
          <w:shd w:val="clear" w:color="auto" w:fill="FFFFFF"/>
          <w:lang w:val="zh-CN"/>
        </w:rPr>
        <w:t>个，涉及预算总金额</w:t>
      </w:r>
      <w:r>
        <w:rPr>
          <w:rFonts w:hint="eastAsia" w:ascii="仿宋_GB2312"/>
          <w:color w:val="000000"/>
          <w:kern w:val="0"/>
          <w:szCs w:val="32"/>
          <w:shd w:val="clear" w:color="auto" w:fill="FFFFFF"/>
        </w:rPr>
        <w:t>35.4</w:t>
      </w:r>
      <w:r>
        <w:rPr>
          <w:rFonts w:hint="eastAsia" w:ascii="仿宋_GB2312"/>
          <w:color w:val="000000"/>
          <w:kern w:val="0"/>
          <w:szCs w:val="32"/>
          <w:shd w:val="clear" w:color="auto" w:fill="FFFFFF"/>
          <w:lang w:val="zh-CN"/>
        </w:rPr>
        <w:t>万元，1—1</w:t>
      </w:r>
      <w:r>
        <w:rPr>
          <w:rFonts w:hint="eastAsia" w:ascii="仿宋_GB2312"/>
          <w:color w:val="000000"/>
          <w:kern w:val="0"/>
          <w:szCs w:val="32"/>
          <w:shd w:val="clear" w:color="auto" w:fill="FFFFFF"/>
        </w:rPr>
        <w:t>2</w:t>
      </w:r>
      <w:r>
        <w:rPr>
          <w:rFonts w:hint="eastAsia" w:ascii="仿宋_GB2312"/>
          <w:color w:val="000000"/>
          <w:kern w:val="0"/>
          <w:szCs w:val="32"/>
          <w:shd w:val="clear" w:color="auto" w:fill="FFFFFF"/>
          <w:lang w:val="zh-CN"/>
        </w:rPr>
        <w:t>月预算执行总体进度为</w:t>
      </w:r>
      <w:r>
        <w:rPr>
          <w:rFonts w:hint="eastAsia" w:ascii="仿宋_GB2312"/>
          <w:color w:val="000000"/>
          <w:kern w:val="0"/>
          <w:szCs w:val="32"/>
          <w:shd w:val="clear" w:color="auto" w:fill="FFFFFF"/>
        </w:rPr>
        <w:t>100</w:t>
      </w:r>
      <w:r>
        <w:rPr>
          <w:rFonts w:hint="eastAsia" w:ascii="仿宋_GB2312"/>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1.</w:t>
      </w:r>
      <w:r>
        <w:rPr>
          <w:rFonts w:hint="eastAsia" w:ascii="楷体_GB2312" w:hAnsi="楷体_GB2312" w:eastAsia="楷体_GB2312" w:cs="楷体_GB2312"/>
          <w:color w:val="000000"/>
          <w:kern w:val="0"/>
          <w:szCs w:val="32"/>
          <w:shd w:val="clear" w:color="auto" w:fill="FFFFFF"/>
          <w:lang w:val="zh-CN"/>
        </w:rPr>
        <w:t>项目决策。(分值12分，自评得分12分)</w:t>
      </w:r>
    </w:p>
    <w:p>
      <w:pPr>
        <w:spacing w:line="560" w:lineRule="exact"/>
        <w:ind w:firstLine="640" w:firstLineChars="200"/>
        <w:jc w:val="left"/>
        <w:rPr>
          <w:rFonts w:ascii="仿宋_GB2312" w:hAnsi="宋体"/>
          <w:szCs w:val="32"/>
        </w:rPr>
      </w:pPr>
      <w:r>
        <w:rPr>
          <w:rFonts w:hint="eastAsia" w:ascii="仿宋_GB2312" w:hAnsi="宋体"/>
          <w:szCs w:val="32"/>
        </w:rPr>
        <w:t>（1）决策程序。（分值4分，自评得分4分）</w:t>
      </w:r>
    </w:p>
    <w:p>
      <w:pPr>
        <w:spacing w:line="560" w:lineRule="exact"/>
        <w:ind w:firstLine="640" w:firstLineChars="200"/>
        <w:jc w:val="left"/>
        <w:rPr>
          <w:rFonts w:ascii="仿宋_GB2312" w:hAnsi="宋体"/>
          <w:szCs w:val="32"/>
        </w:rPr>
      </w:pPr>
      <w:r>
        <w:rPr>
          <w:rFonts w:hint="eastAsia" w:ascii="仿宋_GB2312" w:hAnsi="宋体"/>
          <w:szCs w:val="32"/>
        </w:rPr>
        <w:t>黑水县财政局的部门预算项目总数4个，其中常年项目3个，分别为：财政信息化运维服务项目、财政委托业务经费项目、财政一般行政管理事务经费项目（财政购买人员劳务派遣、财政局机关食堂）。阶段（一次性）项目1个，为：乡镇综合实施建设项目。本单位的4个项目召开局务会通过，申报程序合理，按规定开展事前评估论证、与部门“三定”方案确定的职责和部门中长期发展规划相匹配，符合部门年度工作任务。</w:t>
      </w:r>
    </w:p>
    <w:p>
      <w:pPr>
        <w:spacing w:line="560" w:lineRule="exact"/>
        <w:ind w:firstLine="640" w:firstLineChars="200"/>
        <w:jc w:val="left"/>
        <w:rPr>
          <w:rFonts w:ascii="仿宋_GB2312" w:hAnsi="宋体"/>
          <w:szCs w:val="32"/>
        </w:rPr>
      </w:pPr>
      <w:r>
        <w:rPr>
          <w:rFonts w:hint="eastAsia" w:ascii="仿宋_GB2312" w:hAnsi="宋体"/>
          <w:szCs w:val="32"/>
        </w:rPr>
        <w:t>（2）目标设置。（分值4分，自评得分4分）</w:t>
      </w:r>
    </w:p>
    <w:p>
      <w:pPr>
        <w:spacing w:line="560" w:lineRule="exact"/>
        <w:ind w:firstLine="640" w:firstLineChars="200"/>
        <w:jc w:val="left"/>
        <w:rPr>
          <w:rFonts w:ascii="仿宋_GB2312" w:hAnsi="宋体"/>
          <w:szCs w:val="32"/>
        </w:rPr>
      </w:pPr>
      <w:r>
        <w:rPr>
          <w:rFonts w:hint="eastAsia" w:ascii="仿宋_GB2312" w:hAnsi="宋体"/>
          <w:szCs w:val="32"/>
        </w:rPr>
        <w:t>黑水县财政局在设置部门预算绩效目标时，根据2022年度工作总结及2023年度工作计划、部门职能职责、重点工作安排部署等资料设定部门预算绩效目标，绩效目标设置科学合理，规范完整，量化细化，与预算匹配。并分解为38条绩效指标，其中：数量指标16条、质量指标4条、时效指标3条、成本指标4条，社会效益指标2条、可持续影响指标4条，服务对象满意度指标2条、满意度指标3条。具体情况见下表：</w:t>
      </w:r>
    </w:p>
    <w:p>
      <w:pPr>
        <w:spacing w:line="560" w:lineRule="exact"/>
        <w:ind w:firstLine="640" w:firstLineChars="200"/>
        <w:jc w:val="left"/>
        <w:rPr>
          <w:rFonts w:ascii="仿宋_GB2312" w:hAnsi="宋体"/>
          <w:szCs w:val="32"/>
        </w:rPr>
      </w:pPr>
    </w:p>
    <w:tbl>
      <w:tblPr>
        <w:tblStyle w:val="14"/>
        <w:tblW w:w="9580" w:type="dxa"/>
        <w:tblInd w:w="93" w:type="dxa"/>
        <w:tblLayout w:type="autofit"/>
        <w:tblCellMar>
          <w:top w:w="0" w:type="dxa"/>
          <w:left w:w="108" w:type="dxa"/>
          <w:bottom w:w="0" w:type="dxa"/>
          <w:right w:w="108" w:type="dxa"/>
        </w:tblCellMar>
      </w:tblPr>
      <w:tblGrid>
        <w:gridCol w:w="570"/>
        <w:gridCol w:w="980"/>
        <w:gridCol w:w="1470"/>
        <w:gridCol w:w="3540"/>
        <w:gridCol w:w="1500"/>
        <w:gridCol w:w="1520"/>
      </w:tblGrid>
      <w:tr>
        <w:tblPrEx>
          <w:tblCellMar>
            <w:top w:w="0" w:type="dxa"/>
            <w:left w:w="108" w:type="dxa"/>
            <w:bottom w:w="0" w:type="dxa"/>
            <w:right w:w="108" w:type="dxa"/>
          </w:tblCellMar>
        </w:tblPrEx>
        <w:trPr>
          <w:trHeight w:val="600" w:hRule="atLeast"/>
        </w:trPr>
        <w:tc>
          <w:tcPr>
            <w:tcW w:w="5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绩</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指</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标</w:t>
            </w:r>
          </w:p>
        </w:tc>
        <w:tc>
          <w:tcPr>
            <w:tcW w:w="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一级指标</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二级指标</w:t>
            </w:r>
          </w:p>
        </w:tc>
        <w:tc>
          <w:tcPr>
            <w:tcW w:w="3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三级指标</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年度指标值</w:t>
            </w:r>
          </w:p>
        </w:tc>
        <w:tc>
          <w:tcPr>
            <w:tcW w:w="152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全年执行情况</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产出指标</w:t>
            </w:r>
          </w:p>
        </w:tc>
        <w:tc>
          <w:tcPr>
            <w:tcW w:w="147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数量指标</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开展互联网+精准扶贫代理记账系统维护量</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≥16个</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16个</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数据中心机房设备维护量</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≥5套</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5套</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债务管理及监测平台系统维护单位数量</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≥75个</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75个</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会议视频系统升级改造</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≥1套</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1套</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开展项目评审出具的评审报告</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≥150个</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150个</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绩效管理部门工作指导部门数量</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≥75个</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75个</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开展部门整体支出绩效评价数量</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≥20个</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20个</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开展政策和项目支出绩效评价数量</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≥30个</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30个</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部门项目财务核算数量</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≥100个</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100个</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开展事前绩效评估数量</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≥8个</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8个</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食堂工作日卫生每天保洁次数</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等于3次</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3次</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食堂工作日每天出餐次数</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等于3次</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3次</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劳务人员发放工资及时性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等于12月</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12月</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劳务派遣人数</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等于5人</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5人</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新建乡镇综合服务设施</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3个</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3个</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建筑面积</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2400平方米</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2400平方米</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时效指标</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解决问题的及时性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等于95%</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报告提交及时性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干部职工用餐完成及时率</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质量指标</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运维服务响应时间</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≦5分钟</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5分钟</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确保财政业务系统平稳运行</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项目评审报告合格率</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食品质量安全保障率</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等于100%</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成本指标</w:t>
            </w:r>
          </w:p>
        </w:tc>
        <w:tc>
          <w:tcPr>
            <w:tcW w:w="14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经济成本指标</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总项目投资</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≦647.39868万元</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35.4万元</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年度维护成本控制</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≦21.75万元</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30万元</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项目评审审减率</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总控制劳务派遣费用</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≦34.0776万元</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24.13万元</w:t>
            </w:r>
          </w:p>
        </w:tc>
      </w:tr>
      <w:tr>
        <w:tblPrEx>
          <w:tblCellMar>
            <w:top w:w="0" w:type="dxa"/>
            <w:left w:w="108" w:type="dxa"/>
            <w:bottom w:w="0" w:type="dxa"/>
            <w:right w:w="108" w:type="dxa"/>
          </w:tblCellMar>
        </w:tblPrEx>
        <w:trPr>
          <w:trHeight w:val="540"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效益指标</w:t>
            </w:r>
          </w:p>
        </w:tc>
        <w:tc>
          <w:tcPr>
            <w:tcW w:w="147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社会效益指标</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促进乡镇经济发展，提高社区群众的生活质量，体现党的富民政策。</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提升</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提升</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受益人口数</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≥28人次</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30人次</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可持续影响指标</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用餐环境健康保障率</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100%</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保障工作开展及正常运转</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财政业务系统应用持续性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等于5套</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5套</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部门预算绩效管理水平提升</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显著提升</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显著提升</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147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服务对象满意度指标</w:t>
            </w:r>
          </w:p>
        </w:tc>
        <w:tc>
          <w:tcPr>
            <w:tcW w:w="3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人民群众满意度</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≥98%</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98%</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使用人员满意度</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95%</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满意度指标</w:t>
            </w: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干部职工满意度</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≥98%</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98%</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被评价部门的满意度</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≥85%</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89%</w:t>
            </w:r>
          </w:p>
        </w:tc>
      </w:tr>
      <w:tr>
        <w:tblPrEx>
          <w:tblCellMar>
            <w:top w:w="0" w:type="dxa"/>
            <w:left w:w="108" w:type="dxa"/>
            <w:bottom w:w="0" w:type="dxa"/>
            <w:right w:w="108" w:type="dxa"/>
          </w:tblCellMar>
        </w:tblPrEx>
        <w:trPr>
          <w:trHeight w:val="345" w:hRule="atLeast"/>
        </w:trPr>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14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16"/>
                <w:szCs w:val="16"/>
              </w:rPr>
            </w:pPr>
          </w:p>
        </w:tc>
        <w:tc>
          <w:tcPr>
            <w:tcW w:w="3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被指导部门的满意度</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≥85%</w:t>
            </w:r>
          </w:p>
        </w:tc>
        <w:tc>
          <w:tcPr>
            <w:tcW w:w="15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89%</w:t>
            </w:r>
          </w:p>
        </w:tc>
      </w:tr>
    </w:tbl>
    <w:p>
      <w:pPr>
        <w:spacing w:line="560" w:lineRule="exact"/>
        <w:ind w:firstLine="640" w:firstLineChars="200"/>
        <w:jc w:val="left"/>
        <w:rPr>
          <w:rFonts w:ascii="仿宋_GB2312" w:hAnsi="宋体"/>
          <w:szCs w:val="32"/>
        </w:rPr>
      </w:pPr>
      <w:r>
        <w:rPr>
          <w:rFonts w:hint="eastAsia" w:ascii="仿宋_GB2312" w:hAnsi="宋体"/>
          <w:szCs w:val="32"/>
        </w:rPr>
        <w:t>（3）项目入库。（分值4分，自评得分4分）</w:t>
      </w:r>
    </w:p>
    <w:p>
      <w:pPr>
        <w:spacing w:line="560" w:lineRule="exact"/>
        <w:ind w:firstLine="640" w:firstLineChars="200"/>
        <w:jc w:val="left"/>
        <w:rPr>
          <w:rFonts w:ascii="仿宋_GB2312" w:hAnsi="宋体"/>
          <w:szCs w:val="32"/>
        </w:rPr>
      </w:pPr>
      <w:r>
        <w:rPr>
          <w:rFonts w:hint="eastAsia" w:ascii="仿宋_GB2312" w:hAnsi="宋体"/>
          <w:szCs w:val="32"/>
        </w:rPr>
        <w:t>黑水县财政局部门预算项目在年初预算安排局务会通过时，将项目在规定期限内入库。</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2.项目执行</w:t>
      </w:r>
      <w:r>
        <w:rPr>
          <w:rFonts w:hint="eastAsia" w:ascii="楷体_GB2312" w:hAnsi="楷体_GB2312" w:eastAsia="楷体_GB2312" w:cs="楷体_GB2312"/>
          <w:color w:val="000000"/>
          <w:kern w:val="0"/>
          <w:szCs w:val="32"/>
          <w:shd w:val="clear" w:color="auto" w:fill="FFFFFF"/>
          <w:lang w:val="zh-CN"/>
        </w:rPr>
        <w:t>。（分值12分，自评得分12分）</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（1）执行同向。</w:t>
      </w:r>
      <w:r>
        <w:rPr>
          <w:rFonts w:hint="eastAsia" w:ascii="仿宋_GB2312" w:hAnsi="宋体"/>
          <w:szCs w:val="32"/>
        </w:rPr>
        <w:t>（分值4分，自评得分4分）</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zh-CN"/>
        </w:rPr>
        <w:t>黑水县财政局部门预算项目列支内容与绩效目标设置方向相符，</w:t>
      </w:r>
      <w:r>
        <w:rPr>
          <w:rFonts w:hint="eastAsia" w:ascii="仿宋_GB2312" w:hAnsi="宋体"/>
          <w:szCs w:val="32"/>
        </w:rPr>
        <w:t>重点项目明确实施主体责任，制定具体的、可行的、操作性强的方案</w:t>
      </w:r>
      <w:r>
        <w:rPr>
          <w:rFonts w:hint="eastAsia"/>
          <w:color w:val="000000"/>
          <w:kern w:val="0"/>
          <w:szCs w:val="32"/>
          <w:shd w:val="clear" w:color="auto" w:fill="FFFFFF"/>
          <w:lang w:val="zh-CN"/>
        </w:rPr>
        <w:t>。</w:t>
      </w:r>
    </w:p>
    <w:p>
      <w:pPr>
        <w:adjustRightInd w:val="0"/>
        <w:snapToGrid w:val="0"/>
        <w:spacing w:line="560" w:lineRule="exact"/>
        <w:ind w:firstLine="640" w:firstLineChars="200"/>
        <w:contextualSpacing/>
        <w:jc w:val="left"/>
        <w:rPr>
          <w:rFonts w:ascii="仿宋_GB2312" w:hAnsi="宋体"/>
          <w:szCs w:val="32"/>
        </w:rPr>
      </w:pPr>
      <w:r>
        <w:rPr>
          <w:rFonts w:hint="eastAsia"/>
          <w:color w:val="000000"/>
          <w:kern w:val="0"/>
          <w:szCs w:val="32"/>
          <w:shd w:val="clear" w:color="auto" w:fill="FFFFFF"/>
          <w:lang w:val="zh-CN"/>
        </w:rPr>
        <w:t>（2）项目调整。</w:t>
      </w:r>
      <w:r>
        <w:rPr>
          <w:rFonts w:hint="eastAsia" w:ascii="仿宋_GB2312" w:hAnsi="宋体"/>
          <w:szCs w:val="32"/>
        </w:rPr>
        <w:t>（分值4分，自评得分4分）</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ascii="仿宋_GB2312" w:hAnsi="宋体"/>
          <w:szCs w:val="32"/>
        </w:rPr>
        <w:t>黑水县财政局除落实国家政策、发生不可抗力、上级部门或县委县政府临时交办而必须调整预算外，严格按照批复执行预算，同时“三公”经费节支增效。</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lang w:val="zh-CN"/>
        </w:rPr>
        <w:t>（3）执行结果。</w:t>
      </w:r>
      <w:r>
        <w:rPr>
          <w:rFonts w:hint="eastAsia" w:ascii="仿宋_GB2312" w:hAnsi="宋体"/>
          <w:szCs w:val="32"/>
        </w:rPr>
        <w:t>（分值4分，自评得分4分）</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color w:val="000000"/>
          <w:kern w:val="0"/>
          <w:szCs w:val="32"/>
          <w:shd w:val="clear" w:color="auto" w:fill="FFFFFF"/>
          <w:lang w:val="zh-CN"/>
        </w:rPr>
        <w:t>黑水县财政局部门预算执行完成，执行率100%。</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rPr>
        <w:t>3.</w:t>
      </w:r>
      <w:r>
        <w:rPr>
          <w:rFonts w:hint="eastAsia" w:ascii="楷体_GB2312" w:hAnsi="楷体_GB2312" w:eastAsia="楷体_GB2312" w:cs="楷体_GB2312"/>
          <w:color w:val="000000"/>
          <w:kern w:val="0"/>
          <w:szCs w:val="32"/>
          <w:shd w:val="clear" w:color="auto" w:fill="FFFFFF"/>
          <w:lang w:val="zh-CN"/>
        </w:rPr>
        <w:t>目标实现。（分值11分，自评得分11分）</w:t>
      </w:r>
    </w:p>
    <w:p>
      <w:pPr>
        <w:adjustRightInd w:val="0"/>
        <w:snapToGrid w:val="0"/>
        <w:spacing w:line="560" w:lineRule="exact"/>
        <w:ind w:firstLine="640" w:firstLineChars="200"/>
        <w:contextualSpacing/>
        <w:jc w:val="left"/>
        <w:rPr>
          <w:rFonts w:ascii="仿宋_GB2312" w:hAnsi="宋体"/>
          <w:szCs w:val="32"/>
        </w:rPr>
      </w:pPr>
      <w:r>
        <w:rPr>
          <w:rFonts w:hint="eastAsia"/>
          <w:color w:val="000000"/>
          <w:kern w:val="0"/>
          <w:szCs w:val="32"/>
          <w:shd w:val="clear" w:color="auto" w:fill="FFFFFF"/>
          <w:lang w:val="zh-CN"/>
        </w:rPr>
        <w:t>（1）目标完成。</w:t>
      </w:r>
      <w:r>
        <w:rPr>
          <w:rFonts w:hint="eastAsia" w:ascii="仿宋_GB2312" w:hAnsi="宋体"/>
          <w:szCs w:val="32"/>
        </w:rPr>
        <w:t>（分值4分，自评得分4分）</w:t>
      </w:r>
    </w:p>
    <w:p>
      <w:pPr>
        <w:spacing w:line="560" w:lineRule="exact"/>
        <w:ind w:firstLine="640" w:firstLineChars="200"/>
        <w:jc w:val="left"/>
        <w:rPr>
          <w:rFonts w:ascii="仿宋_GB2312" w:hAnsi="宋体"/>
          <w:szCs w:val="32"/>
        </w:rPr>
      </w:pPr>
      <w:r>
        <w:rPr>
          <w:rFonts w:hint="eastAsia" w:ascii="仿宋_GB2312" w:hAnsi="宋体"/>
          <w:szCs w:val="32"/>
        </w:rPr>
        <w:t>黑水县财政局紧紧围绕年初制定的各项工作计划，切实加强组织领导，落实工作责任，全面完成了各项目标任务。为实现全县财政运行平稳，全面履行了财政职责职能。</w:t>
      </w:r>
    </w:p>
    <w:p>
      <w:pPr>
        <w:adjustRightInd w:val="0"/>
        <w:snapToGrid w:val="0"/>
        <w:spacing w:line="560" w:lineRule="exact"/>
        <w:ind w:firstLine="640" w:firstLineChars="200"/>
        <w:contextualSpacing/>
        <w:jc w:val="left"/>
        <w:rPr>
          <w:rFonts w:ascii="仿宋_GB2312" w:hAnsi="宋体"/>
          <w:szCs w:val="32"/>
        </w:rPr>
      </w:pPr>
      <w:r>
        <w:rPr>
          <w:rFonts w:hint="eastAsia"/>
          <w:color w:val="000000"/>
          <w:kern w:val="0"/>
          <w:szCs w:val="32"/>
          <w:shd w:val="clear" w:color="auto" w:fill="FFFFFF"/>
          <w:lang w:val="zh-CN"/>
        </w:rPr>
        <w:t>（2）目标偏离。</w:t>
      </w:r>
      <w:r>
        <w:rPr>
          <w:rFonts w:hint="eastAsia" w:ascii="仿宋_GB2312" w:hAnsi="宋体"/>
          <w:szCs w:val="32"/>
        </w:rPr>
        <w:t>（分值4分，自评得分4分）</w:t>
      </w:r>
    </w:p>
    <w:p>
      <w:pPr>
        <w:adjustRightInd w:val="0"/>
        <w:snapToGrid w:val="0"/>
        <w:spacing w:line="560" w:lineRule="exact"/>
        <w:ind w:firstLine="640" w:firstLineChars="200"/>
        <w:contextualSpacing/>
        <w:jc w:val="left"/>
        <w:rPr>
          <w:color w:val="000000"/>
          <w:kern w:val="0"/>
          <w:szCs w:val="32"/>
          <w:shd w:val="clear" w:color="auto" w:fill="FFFFFF"/>
          <w:lang w:val="zh-CN"/>
        </w:rPr>
      </w:pPr>
      <w:r>
        <w:rPr>
          <w:rFonts w:hint="eastAsia" w:ascii="仿宋_GB2312" w:hAnsi="宋体"/>
          <w:szCs w:val="32"/>
        </w:rPr>
        <w:t>黑水县财政局部门预算项目绩效目标数量指标实现程度不存在与预期目标偏离。</w:t>
      </w:r>
    </w:p>
    <w:p>
      <w:pPr>
        <w:adjustRightInd w:val="0"/>
        <w:snapToGrid w:val="0"/>
        <w:spacing w:line="560" w:lineRule="exact"/>
        <w:ind w:firstLine="640" w:firstLineChars="200"/>
        <w:contextualSpacing/>
        <w:jc w:val="left"/>
        <w:rPr>
          <w:rFonts w:ascii="仿宋_GB2312" w:hAnsi="宋体"/>
          <w:szCs w:val="32"/>
        </w:rPr>
      </w:pPr>
      <w:r>
        <w:rPr>
          <w:rFonts w:hint="eastAsia"/>
          <w:color w:val="000000"/>
          <w:kern w:val="0"/>
          <w:szCs w:val="32"/>
          <w:shd w:val="clear" w:color="auto" w:fill="FFFFFF"/>
          <w:lang w:val="zh-CN"/>
        </w:rPr>
        <w:t>（3）实现效果。</w:t>
      </w:r>
      <w:r>
        <w:rPr>
          <w:rFonts w:hint="eastAsia" w:ascii="仿宋_GB2312" w:hAnsi="宋体"/>
          <w:szCs w:val="32"/>
        </w:rPr>
        <w:t>（分值4分，自评得分4分）</w:t>
      </w:r>
    </w:p>
    <w:p>
      <w:pPr>
        <w:spacing w:line="560" w:lineRule="exact"/>
        <w:ind w:firstLine="640" w:firstLineChars="200"/>
        <w:jc w:val="left"/>
        <w:rPr>
          <w:rFonts w:ascii="仿宋_GB2312" w:hAnsi="宋体"/>
          <w:szCs w:val="32"/>
        </w:rPr>
      </w:pPr>
      <w:r>
        <w:rPr>
          <w:rFonts w:hint="eastAsia" w:ascii="仿宋_GB2312" w:hAnsi="宋体"/>
          <w:szCs w:val="32"/>
        </w:rPr>
        <w:t>部门立足本职，围绕中心，服务大局，部门支出保障工作正常运转，部门预算执行有效，充分发挥了资金使用效益。充分发挥财政职能，为促进我县经济社会发展，取得了一定经济、生态和社会效益。</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w:t>
      </w:r>
      <w:r>
        <w:rPr>
          <w:rFonts w:hint="eastAsia" w:eastAsia="楷体_GB2312"/>
          <w:b/>
          <w:bCs/>
          <w:color w:val="000000"/>
          <w:kern w:val="0"/>
          <w:szCs w:val="32"/>
          <w:shd w:val="clear" w:color="auto" w:fill="FFFFFF"/>
          <w:lang w:val="zh-CN"/>
        </w:rPr>
        <w:t>三</w:t>
      </w:r>
      <w:r>
        <w:rPr>
          <w:rFonts w:eastAsia="楷体_GB2312"/>
          <w:b/>
          <w:bCs/>
          <w:color w:val="000000"/>
          <w:kern w:val="0"/>
          <w:szCs w:val="32"/>
          <w:shd w:val="clear" w:color="auto" w:fill="FFFFFF"/>
          <w:lang w:val="zh-CN"/>
        </w:rPr>
        <w:t>）重点领域绩效分析。</w:t>
      </w:r>
    </w:p>
    <w:p>
      <w:pPr>
        <w:adjustRightInd w:val="0"/>
        <w:snapToGrid w:val="0"/>
        <w:spacing w:line="560" w:lineRule="exact"/>
        <w:ind w:firstLine="640" w:firstLineChars="200"/>
        <w:contextualSpacing/>
        <w:jc w:val="left"/>
        <w:rPr>
          <w:rFonts w:ascii="楷体_GB2312" w:hAnsi="楷体_GB2312" w:eastAsia="楷体_GB2312" w:cs="楷体_GB2312"/>
          <w:color w:val="000000"/>
          <w:kern w:val="0"/>
          <w:szCs w:val="32"/>
          <w:highlight w:val="yellow"/>
          <w:shd w:val="clear" w:color="auto" w:fill="FFFFFF"/>
        </w:rPr>
      </w:pPr>
      <w:r>
        <w:rPr>
          <w:rFonts w:hint="eastAsia" w:ascii="楷体_GB2312" w:hAnsi="楷体_GB2312" w:eastAsia="楷体_GB2312" w:cs="楷体_GB2312"/>
          <w:color w:val="000000"/>
          <w:kern w:val="0"/>
          <w:szCs w:val="32"/>
          <w:shd w:val="clear" w:color="auto" w:fill="FFFFFF"/>
        </w:rPr>
        <w:t>1.</w:t>
      </w:r>
      <w:r>
        <w:rPr>
          <w:rFonts w:ascii="楷体_GB2312" w:hAnsi="楷体_GB2312" w:eastAsia="楷体_GB2312" w:cs="楷体_GB2312"/>
          <w:color w:val="000000"/>
          <w:kern w:val="0"/>
          <w:szCs w:val="32"/>
          <w:shd w:val="clear" w:color="auto" w:fill="FFFFFF"/>
        </w:rPr>
        <w:t xml:space="preserve"> 行政事业性国有资产</w:t>
      </w:r>
      <w:r>
        <w:rPr>
          <w:rFonts w:hint="eastAsia" w:ascii="楷体_GB2312" w:hAnsi="楷体_GB2312" w:eastAsia="楷体_GB2312" w:cs="楷体_GB2312"/>
          <w:color w:val="000000"/>
          <w:kern w:val="0"/>
          <w:szCs w:val="32"/>
          <w:shd w:val="clear" w:color="auto" w:fill="FFFFFF"/>
        </w:rPr>
        <w:t>。</w:t>
      </w:r>
      <w:r>
        <w:rPr>
          <w:rFonts w:hint="eastAsia"/>
          <w:szCs w:val="32"/>
        </w:rPr>
        <w:t>截止2023年12月31日，黑水县财政局2023年资产原值933.84万元。从资产总体情况分析，资产总额933.84万元，较上年资产950.14万元减少16.3万元；负债总额27.63万元，较上年13.84万元增加13.79万元；净资产388.59万元，较上年418.7万元减少30.11万元。从资产类别分析，</w:t>
      </w:r>
      <w:r>
        <w:rPr>
          <w:rStyle w:val="30"/>
        </w:rPr>
        <w:t>房屋和构筑物</w:t>
      </w:r>
      <w:r>
        <w:rPr>
          <w:rStyle w:val="30"/>
          <w:rFonts w:hint="eastAsia"/>
        </w:rPr>
        <w:t>587.37万元，占比62.9%；专用</w:t>
      </w:r>
      <w:r>
        <w:rPr>
          <w:rStyle w:val="30"/>
        </w:rPr>
        <w:t>设备</w:t>
      </w:r>
      <w:r>
        <w:rPr>
          <w:rStyle w:val="30"/>
          <w:rFonts w:hint="eastAsia"/>
        </w:rPr>
        <w:t>0.25万元，占比0.03%；通用</w:t>
      </w:r>
      <w:r>
        <w:rPr>
          <w:rStyle w:val="30"/>
        </w:rPr>
        <w:t>设备</w:t>
      </w:r>
      <w:r>
        <w:rPr>
          <w:rStyle w:val="30"/>
          <w:rFonts w:hint="eastAsia"/>
        </w:rPr>
        <w:t>308.29万元，占比33.01%；</w:t>
      </w:r>
      <w:r>
        <w:rPr>
          <w:rStyle w:val="30"/>
        </w:rPr>
        <w:t>家具和用具</w:t>
      </w:r>
      <w:r>
        <w:rPr>
          <w:rStyle w:val="30"/>
          <w:rFonts w:hint="eastAsia"/>
        </w:rPr>
        <w:t>、</w:t>
      </w:r>
      <w:r>
        <w:rPr>
          <w:rStyle w:val="31"/>
        </w:rPr>
        <w:t>装具及动植物</w:t>
      </w:r>
      <w:r>
        <w:rPr>
          <w:rStyle w:val="31"/>
          <w:rFonts w:hint="eastAsia"/>
        </w:rPr>
        <w:t>37.93</w:t>
      </w:r>
      <w:r>
        <w:rPr>
          <w:rStyle w:val="30"/>
          <w:rFonts w:hint="eastAsia"/>
        </w:rPr>
        <w:t>万元，占比4.06%。</w:t>
      </w:r>
    </w:p>
    <w:p>
      <w:pPr>
        <w:snapToGrid w:val="0"/>
        <w:spacing w:line="560" w:lineRule="exact"/>
        <w:ind w:firstLine="642" w:firstLineChars="200"/>
        <w:rPr>
          <w:rFonts w:eastAsia="楷体_GB2312"/>
          <w:b/>
          <w:bCs/>
          <w:szCs w:val="32"/>
          <w:highlight w:val="yellow"/>
          <w:lang w:val="zh-CN"/>
        </w:rPr>
      </w:pPr>
      <w:r>
        <w:rPr>
          <w:rFonts w:eastAsia="楷体_GB2312"/>
          <w:b/>
          <w:bCs/>
          <w:szCs w:val="32"/>
          <w:lang w:val="zh-CN"/>
        </w:rPr>
        <w:t>（四）绩效结果应用情况</w:t>
      </w:r>
      <w:r>
        <w:rPr>
          <w:rFonts w:hint="eastAsia" w:eastAsia="楷体_GB2312"/>
          <w:b/>
          <w:bCs/>
          <w:szCs w:val="32"/>
          <w:lang w:val="zh-CN"/>
        </w:rPr>
        <w:t>。</w:t>
      </w:r>
    </w:p>
    <w:p>
      <w:pPr>
        <w:spacing w:line="560" w:lineRule="exact"/>
        <w:ind w:firstLine="640" w:firstLineChars="200"/>
        <w:rPr>
          <w:rFonts w:ascii="仿宋_GB2312" w:hAnsi="仿宋_GB2312" w:cs="仿宋_GB2312"/>
          <w:color w:val="333333"/>
          <w:kern w:val="0"/>
          <w:szCs w:val="32"/>
          <w:shd w:val="clear" w:color="auto" w:fill="FFFFFF"/>
        </w:rPr>
      </w:pPr>
      <w:r>
        <w:rPr>
          <w:rFonts w:hint="eastAsia"/>
          <w:szCs w:val="32"/>
        </w:rPr>
        <w:t>（1）围绕内部应用情况。</w:t>
      </w:r>
      <w:r>
        <w:rPr>
          <w:rFonts w:hint="eastAsia"/>
          <w:b/>
          <w:szCs w:val="32"/>
        </w:rPr>
        <w:t>一是</w:t>
      </w:r>
      <w:r>
        <w:rPr>
          <w:rFonts w:hint="eastAsia"/>
          <w:szCs w:val="32"/>
        </w:rPr>
        <w:t>黑水县财政局</w:t>
      </w:r>
      <w:r>
        <w:rPr>
          <w:rFonts w:hint="eastAsia" w:ascii="仿宋_GB2312" w:hAnsi="仿宋_GB2312" w:cs="仿宋_GB2312"/>
          <w:color w:val="333333"/>
          <w:kern w:val="0"/>
          <w:szCs w:val="32"/>
          <w:shd w:val="clear" w:color="auto" w:fill="FFFFFF"/>
        </w:rPr>
        <w:t>部门预算编制规范、准确，确保了部门正常运转和专项工作的顺利开展，较好完成年初绩效目标任务。</w:t>
      </w:r>
      <w:r>
        <w:rPr>
          <w:rFonts w:hint="eastAsia" w:ascii="仿宋_GB2312" w:hAnsi="仿宋_GB2312" w:cs="仿宋_GB2312"/>
          <w:b/>
          <w:color w:val="333333"/>
          <w:kern w:val="0"/>
          <w:szCs w:val="32"/>
          <w:shd w:val="clear" w:color="auto" w:fill="FFFFFF"/>
        </w:rPr>
        <w:t>二是</w:t>
      </w:r>
      <w:r>
        <w:rPr>
          <w:rFonts w:hint="eastAsia" w:ascii="仿宋_GB2312" w:hAnsi="仿宋_GB2312" w:cs="仿宋_GB2312"/>
          <w:color w:val="333333"/>
          <w:kern w:val="0"/>
          <w:szCs w:val="32"/>
          <w:shd w:val="clear" w:color="auto" w:fill="FFFFFF"/>
        </w:rPr>
        <w:t>部门决算按照县财政和上级财政要求进行编制，准确、详实、真实地反映了本单位财政收支情况。结合本单位实际情况按财经要求建立健全了财务管理制度、约束机制及监督机制，依法、有效地利用财政资金，提高财政资金使用效率，合理分配人、财、物，完成了部门职能目标，实现了较高的工作效率和支出绩效。</w:t>
      </w:r>
      <w:r>
        <w:rPr>
          <w:rFonts w:hint="eastAsia" w:ascii="仿宋_GB2312" w:hAnsi="仿宋_GB2312" w:cs="仿宋_GB2312"/>
          <w:b/>
          <w:color w:val="333333"/>
          <w:kern w:val="0"/>
          <w:szCs w:val="32"/>
          <w:shd w:val="clear" w:color="auto" w:fill="FFFFFF"/>
        </w:rPr>
        <w:t>三是</w:t>
      </w:r>
      <w:r>
        <w:rPr>
          <w:rFonts w:hint="eastAsia" w:ascii="仿宋_GB2312" w:hAnsi="仿宋_GB2312" w:cs="仿宋_GB2312"/>
          <w:color w:val="333333"/>
          <w:kern w:val="0"/>
          <w:szCs w:val="32"/>
          <w:shd w:val="clear" w:color="auto" w:fill="FFFFFF"/>
        </w:rPr>
        <w:t>作为全过程预算绩效管理的落脚点，我局高度重视部门的自评结果，及时整理、汇总、分析、反馈绩效自评结果，并将其作为改进预算管理和以后年度预算安排的重要依据。本绩效报告将向县财政局报送，拟公开于黑水财政局门户网站，并自愿接受社会各界人民群众的监督。</w:t>
      </w:r>
    </w:p>
    <w:p>
      <w:pPr>
        <w:snapToGrid w:val="0"/>
        <w:spacing w:line="560" w:lineRule="exact"/>
        <w:ind w:firstLine="640" w:firstLineChars="200"/>
        <w:rPr>
          <w:szCs w:val="32"/>
        </w:rPr>
      </w:pPr>
      <w:r>
        <w:rPr>
          <w:rFonts w:hint="eastAsia"/>
          <w:szCs w:val="32"/>
        </w:rPr>
        <w:t>（2）</w:t>
      </w:r>
      <w:r>
        <w:rPr>
          <w:szCs w:val="32"/>
        </w:rPr>
        <w:t>信息公开情况</w:t>
      </w:r>
      <w:r>
        <w:rPr>
          <w:rFonts w:hint="eastAsia"/>
          <w:szCs w:val="32"/>
        </w:rPr>
        <w:t>。黑水县财政局</w:t>
      </w:r>
      <w:r>
        <w:rPr>
          <w:rFonts w:hint="eastAsia" w:ascii="仿宋_GB2312" w:hAnsi="仿宋_GB2312" w:cs="仿宋_GB2312"/>
          <w:szCs w:val="32"/>
        </w:rPr>
        <w:t>按照上级要求，在政府网站上进行预算、决算公开。</w:t>
      </w:r>
    </w:p>
    <w:p>
      <w:pPr>
        <w:snapToGrid w:val="0"/>
        <w:spacing w:line="560" w:lineRule="exact"/>
        <w:ind w:firstLine="640" w:firstLineChars="200"/>
        <w:rPr>
          <w:szCs w:val="32"/>
        </w:rPr>
      </w:pPr>
      <w:r>
        <w:rPr>
          <w:rFonts w:hint="eastAsia"/>
          <w:szCs w:val="32"/>
        </w:rPr>
        <w:t>（3）</w:t>
      </w:r>
      <w:r>
        <w:rPr>
          <w:szCs w:val="32"/>
        </w:rPr>
        <w:t>整改反馈情况</w:t>
      </w:r>
      <w:r>
        <w:rPr>
          <w:rFonts w:hint="eastAsia"/>
          <w:szCs w:val="32"/>
        </w:rPr>
        <w:t>。近三年内人大、纪检监察、审计、财政等部门各项检查、绩效评价等发现的问题进行整改。</w:t>
      </w:r>
    </w:p>
    <w:p>
      <w:pPr>
        <w:adjustRightInd w:val="0"/>
        <w:snapToGrid w:val="0"/>
        <w:spacing w:line="56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（一）评价结论。</w:t>
      </w:r>
    </w:p>
    <w:p>
      <w:pPr>
        <w:adjustRightInd w:val="0"/>
        <w:snapToGrid w:val="0"/>
        <w:spacing w:line="560" w:lineRule="exact"/>
        <w:ind w:firstLine="640" w:firstLineChars="200"/>
        <w:contextualSpacing/>
        <w:jc w:val="left"/>
        <w:rPr>
          <w:rFonts w:ascii="仿宋_GB2312" w:hAnsi="宋体"/>
          <w:szCs w:val="32"/>
        </w:rPr>
      </w:pPr>
      <w:r>
        <w:rPr>
          <w:rFonts w:hint="eastAsia" w:ascii="仿宋_GB2312" w:hAnsi="宋体"/>
          <w:szCs w:val="32"/>
        </w:rPr>
        <w:t>根据部门预算绩效评价指标体系，2023年自评得分为94分，评价等级为“优”。2023年，我局的预算编制全面、科学、合理，部门整体绩效目标与部门职责职能、部门年度重点工作任务相匹配，为部门履职尽责明确了方向，预算执行到位，预算管理规范，履职效益明显，重点工作任务资金安排得到有效保障，部门预算配置较为合理，部门各项经费支出合法合规，不存在挤占、挪用、截留等违规现象。严格执行各项财经法规和会计制度，财务管理和会计基础工作进一步规范，有效提升了部门整体支出管理水平。</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（二）存在问题。</w:t>
      </w:r>
    </w:p>
    <w:p>
      <w:pPr>
        <w:spacing w:line="560" w:lineRule="exact"/>
        <w:ind w:firstLine="640" w:firstLineChars="200"/>
        <w:jc w:val="left"/>
        <w:rPr>
          <w:rFonts w:ascii="仿宋_GB2312" w:hAnsi="宋体"/>
          <w:szCs w:val="32"/>
        </w:rPr>
      </w:pPr>
      <w:r>
        <w:rPr>
          <w:rFonts w:hint="eastAsia" w:ascii="仿宋_GB2312" w:hAnsi="宋体"/>
          <w:szCs w:val="32"/>
        </w:rPr>
        <w:t>一是对预算绩效评价工作的重要性认识有待进一步提高，绩效评价制度建设和规范化管理还有待加强；二是项目支出绩效评价指标体系不完善，绩效目标设立不够明确、细化和量化；三是</w:t>
      </w:r>
      <w:r>
        <w:rPr>
          <w:rFonts w:hint="eastAsia" w:ascii="仿宋_GB2312" w:hAnsi="仿宋_GB2312" w:cs="仿宋_GB2312"/>
          <w:szCs w:val="32"/>
        </w:rPr>
        <w:t>个别支出支付进度安排不够合理。</w:t>
      </w:r>
    </w:p>
    <w:p>
      <w:pPr>
        <w:adjustRightInd w:val="0"/>
        <w:snapToGrid w:val="0"/>
        <w:spacing w:line="560" w:lineRule="exact"/>
        <w:ind w:firstLine="642" w:firstLineChars="200"/>
        <w:contextualSpacing/>
        <w:jc w:val="left"/>
        <w:rPr>
          <w:rFonts w:eastAsia="楷体_GB2312"/>
          <w:b/>
          <w:bCs/>
          <w:color w:val="000000"/>
          <w:kern w:val="0"/>
          <w:szCs w:val="32"/>
          <w:shd w:val="clear" w:color="auto" w:fill="FFFFFF"/>
          <w:lang w:val="zh-CN"/>
        </w:rPr>
      </w:pPr>
      <w:r>
        <w:rPr>
          <w:rFonts w:eastAsia="楷体_GB2312"/>
          <w:b/>
          <w:bCs/>
          <w:color w:val="000000"/>
          <w:kern w:val="0"/>
          <w:szCs w:val="32"/>
          <w:shd w:val="clear" w:color="auto" w:fill="FFFFFF"/>
          <w:lang w:val="zh-CN"/>
        </w:rPr>
        <w:t>（三）改进建议。</w:t>
      </w:r>
    </w:p>
    <w:p>
      <w:pPr>
        <w:adjustRightInd w:val="0"/>
        <w:snapToGrid w:val="0"/>
        <w:spacing w:line="560" w:lineRule="exact"/>
        <w:ind w:firstLine="640" w:firstLineChars="200"/>
        <w:contextualSpacing/>
        <w:jc w:val="left"/>
        <w:rPr>
          <w:rFonts w:ascii="仿宋_GB2312" w:hAnsi="仿宋_GB2312" w:cs="仿宋_GB2312"/>
          <w:kern w:val="0"/>
          <w:szCs w:val="32"/>
        </w:rPr>
      </w:pPr>
      <w:r>
        <w:rPr>
          <w:rFonts w:hint="eastAsia" w:ascii="仿宋_GB2312" w:hAnsi="宋体"/>
          <w:szCs w:val="32"/>
        </w:rPr>
        <w:t>一是及时调整和优化本部门后续项目和以后年度预算支出的方向和结构，合理配置资源。二是强化评价结果在项目申报和预算编制中的有效应用。三是促进单位规范使用资金。</w:t>
      </w:r>
    </w:p>
    <w:p>
      <w:pPr>
        <w:adjustRightInd w:val="0"/>
        <w:snapToGrid w:val="0"/>
        <w:spacing w:line="560" w:lineRule="exact"/>
        <w:ind w:firstLine="640" w:firstLineChars="200"/>
        <w:contextualSpacing/>
        <w:jc w:val="left"/>
        <w:rPr>
          <w:rFonts w:ascii="仿宋_GB2312" w:hAnsi="仿宋_GB2312" w:cs="仿宋_GB2312"/>
          <w:kern w:val="0"/>
          <w:szCs w:val="32"/>
          <w:lang w:val="zh-CN"/>
        </w:rPr>
      </w:pPr>
    </w:p>
    <w:p>
      <w:pPr>
        <w:spacing w:line="560" w:lineRule="exact"/>
        <w:contextualSpacing/>
        <w:rPr>
          <w:rFonts w:eastAsia="黑体"/>
          <w:szCs w:val="32"/>
        </w:rPr>
      </w:pPr>
    </w:p>
    <w:p>
      <w:pPr>
        <w:spacing w:line="560" w:lineRule="exact"/>
        <w:ind w:firstLine="640" w:firstLineChars="200"/>
      </w:pPr>
      <w:r>
        <w:rPr>
          <w:rFonts w:hint="eastAsia"/>
          <w:color w:val="000000"/>
          <w:kern w:val="0"/>
          <w:szCs w:val="32"/>
          <w:shd w:val="clear" w:color="auto" w:fill="FFFFFF"/>
        </w:rPr>
        <w:t>附表：</w:t>
      </w:r>
      <w:r>
        <w:rPr>
          <w:color w:val="000000"/>
          <w:kern w:val="0"/>
          <w:szCs w:val="32"/>
          <w:shd w:val="clear" w:color="auto" w:fill="FFFFFF"/>
        </w:rPr>
        <w:t>部门整体支出绩效目标完成情况自评表</w:t>
      </w:r>
      <w:r>
        <w:rPr>
          <w:color w:val="000000"/>
          <w:kern w:val="0"/>
          <w:szCs w:val="32"/>
          <w:shd w:val="clear" w:color="auto" w:fill="FFFFFF"/>
        </w:rPr>
        <w:br w:type="page"/>
      </w:r>
      <w:r>
        <w:rPr>
          <w:rFonts w:hint="eastAsia" w:ascii="黑体" w:hAnsi="黑体" w:eastAsia="黑体" w:cs="黑体"/>
        </w:rPr>
        <w:t>附表</w:t>
      </w:r>
    </w:p>
    <w:tbl>
      <w:tblPr>
        <w:tblStyle w:val="14"/>
        <w:tblW w:w="8620" w:type="dxa"/>
        <w:tblInd w:w="93" w:type="dxa"/>
        <w:tblLayout w:type="autofit"/>
        <w:tblCellMar>
          <w:top w:w="0" w:type="dxa"/>
          <w:left w:w="108" w:type="dxa"/>
          <w:bottom w:w="0" w:type="dxa"/>
          <w:right w:w="108" w:type="dxa"/>
        </w:tblCellMar>
      </w:tblPr>
      <w:tblGrid>
        <w:gridCol w:w="800"/>
        <w:gridCol w:w="940"/>
        <w:gridCol w:w="1120"/>
        <w:gridCol w:w="2560"/>
        <w:gridCol w:w="540"/>
        <w:gridCol w:w="620"/>
        <w:gridCol w:w="600"/>
        <w:gridCol w:w="660"/>
        <w:gridCol w:w="780"/>
      </w:tblGrid>
      <w:tr>
        <w:tblPrEx>
          <w:tblCellMar>
            <w:top w:w="0" w:type="dxa"/>
            <w:left w:w="108" w:type="dxa"/>
            <w:bottom w:w="0" w:type="dxa"/>
            <w:right w:w="108" w:type="dxa"/>
          </w:tblCellMar>
        </w:tblPrEx>
        <w:trPr>
          <w:trHeight w:val="540" w:hRule="atLeast"/>
        </w:trPr>
        <w:tc>
          <w:tcPr>
            <w:tcW w:w="8620" w:type="dxa"/>
            <w:gridSpan w:val="9"/>
            <w:tcBorders>
              <w:top w:val="nil"/>
              <w:left w:val="nil"/>
              <w:bottom w:val="nil"/>
              <w:right w:val="nil"/>
            </w:tcBorders>
            <w:shd w:val="clear" w:color="auto" w:fill="auto"/>
            <w:vAlign w:val="center"/>
          </w:tcPr>
          <w:p>
            <w:pPr>
              <w:widowControl/>
              <w:jc w:val="center"/>
              <w:rPr>
                <w:rFonts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部门整体支出绩效目标完成情况自评表</w:t>
            </w:r>
          </w:p>
        </w:tc>
      </w:tr>
      <w:tr>
        <w:tblPrEx>
          <w:tblCellMar>
            <w:top w:w="0" w:type="dxa"/>
            <w:left w:w="108" w:type="dxa"/>
            <w:bottom w:w="0" w:type="dxa"/>
            <w:right w:w="108" w:type="dxa"/>
          </w:tblCellMar>
        </w:tblPrEx>
        <w:trPr>
          <w:trHeight w:val="390" w:hRule="atLeast"/>
        </w:trPr>
        <w:tc>
          <w:tcPr>
            <w:tcW w:w="8620" w:type="dxa"/>
            <w:gridSpan w:val="9"/>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w:t>
            </w:r>
            <w:r>
              <w:rPr>
                <w:rFonts w:eastAsia="宋体"/>
                <w:color w:val="000000"/>
                <w:kern w:val="0"/>
                <w:sz w:val="28"/>
                <w:szCs w:val="28"/>
              </w:rPr>
              <w:t>2023</w:t>
            </w:r>
            <w:r>
              <w:rPr>
                <w:rFonts w:hint="eastAsia" w:ascii="宋体" w:hAnsi="宋体" w:eastAsia="宋体" w:cs="宋体"/>
                <w:color w:val="000000"/>
                <w:kern w:val="0"/>
                <w:sz w:val="28"/>
                <w:szCs w:val="28"/>
              </w:rPr>
              <w:t>年度）</w:t>
            </w:r>
          </w:p>
        </w:tc>
      </w:tr>
      <w:tr>
        <w:tblPrEx>
          <w:tblCellMar>
            <w:top w:w="0" w:type="dxa"/>
            <w:left w:w="108" w:type="dxa"/>
            <w:bottom w:w="0" w:type="dxa"/>
            <w:right w:w="108" w:type="dxa"/>
          </w:tblCellMar>
        </w:tblPrEx>
        <w:trPr>
          <w:trHeight w:val="255" w:hRule="atLeast"/>
        </w:trPr>
        <w:tc>
          <w:tcPr>
            <w:tcW w:w="8620" w:type="dxa"/>
            <w:gridSpan w:val="9"/>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单位：万元</w:t>
            </w:r>
          </w:p>
        </w:tc>
      </w:tr>
      <w:tr>
        <w:tblPrEx>
          <w:tblCellMar>
            <w:top w:w="0" w:type="dxa"/>
            <w:left w:w="108" w:type="dxa"/>
            <w:bottom w:w="0" w:type="dxa"/>
            <w:right w:w="108" w:type="dxa"/>
          </w:tblCellMar>
        </w:tblPrEx>
        <w:trPr>
          <w:trHeight w:val="390" w:hRule="atLeast"/>
        </w:trPr>
        <w:tc>
          <w:tcPr>
            <w:tcW w:w="2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部门名称</w:t>
            </w:r>
          </w:p>
        </w:tc>
        <w:tc>
          <w:tcPr>
            <w:tcW w:w="57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黑水县财政局</w:t>
            </w:r>
          </w:p>
        </w:tc>
      </w:tr>
      <w:tr>
        <w:tblPrEx>
          <w:tblCellMar>
            <w:top w:w="0" w:type="dxa"/>
            <w:left w:w="108" w:type="dxa"/>
            <w:bottom w:w="0" w:type="dxa"/>
            <w:right w:w="108" w:type="dxa"/>
          </w:tblCellMar>
        </w:tblPrEx>
        <w:trPr>
          <w:trHeight w:val="435" w:hRule="atLeast"/>
        </w:trPr>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年度部门整体支出预算</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资金总额</w:t>
            </w:r>
          </w:p>
        </w:tc>
        <w:tc>
          <w:tcPr>
            <w:tcW w:w="3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财政拨款</w:t>
            </w:r>
          </w:p>
        </w:tc>
        <w:tc>
          <w:tcPr>
            <w:tcW w:w="26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其他资金</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823.81</w:t>
            </w:r>
          </w:p>
        </w:tc>
        <w:tc>
          <w:tcPr>
            <w:tcW w:w="3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823.81</w:t>
            </w:r>
          </w:p>
        </w:tc>
        <w:tc>
          <w:tcPr>
            <w:tcW w:w="26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435" w:hRule="atLeast"/>
        </w:trPr>
        <w:tc>
          <w:tcPr>
            <w:tcW w:w="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年度总体目标</w:t>
            </w:r>
          </w:p>
        </w:tc>
        <w:tc>
          <w:tcPr>
            <w:tcW w:w="782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以学习贯彻党的二十大精神为引领，全面落实中央、省委、州委、县委、财政中心工作和重点任务精神，牢牢把握财政高质量发展政治方向，在“稳经济、强收支、守底线”上下功夫，始终保持“善创新、重实干、勇担当”的奋进姿态，坚定“勇攻坚、快追赶、求突破”的决心信心，紧扣“南农北林，冰雪立业，精神铸魂，共同富裕”发展思路，大力弘扬黑水“四种精神”，主动对标“六区建设”目标，认真贯彻落实县委“开局就是决战、起步就是冲刺”的要求，主动融入全县高质量发展大局找定位，主动对接全州财政工作核心找方向，以思想认识上的破冰引领目标行动上的突围，以更大的力度、更实的举措，以一域之为为谱写黑水高质量发展新篇章贡献财政力量。</w:t>
            </w:r>
          </w:p>
        </w:tc>
      </w:tr>
      <w:tr>
        <w:tblPrEx>
          <w:tblCellMar>
            <w:top w:w="0" w:type="dxa"/>
            <w:left w:w="108" w:type="dxa"/>
            <w:bottom w:w="0" w:type="dxa"/>
            <w:right w:w="108" w:type="dxa"/>
          </w:tblCellMar>
        </w:tblPrEx>
        <w:trPr>
          <w:trHeight w:val="1035" w:hRule="atLeast"/>
        </w:trPr>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82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435" w:hRule="atLeast"/>
        </w:trPr>
        <w:tc>
          <w:tcPr>
            <w:tcW w:w="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年度主要任务</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任务名称</w:t>
            </w:r>
          </w:p>
        </w:tc>
        <w:tc>
          <w:tcPr>
            <w:tcW w:w="57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主要内容</w:t>
            </w:r>
          </w:p>
        </w:tc>
      </w:tr>
      <w:tr>
        <w:tblPrEx>
          <w:tblCellMar>
            <w:top w:w="0" w:type="dxa"/>
            <w:left w:w="108" w:type="dxa"/>
            <w:bottom w:w="0" w:type="dxa"/>
            <w:right w:w="108" w:type="dxa"/>
          </w:tblCellMar>
        </w:tblPrEx>
        <w:trPr>
          <w:trHeight w:val="555" w:hRule="atLeast"/>
        </w:trPr>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持续加强党的建设</w:t>
            </w:r>
          </w:p>
        </w:tc>
        <w:tc>
          <w:tcPr>
            <w:tcW w:w="57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1.深入学习贯彻中央和省委、州委、县委重要会议精神；2.全面加强思想政治建设；3.推进全面从严治党</w:t>
            </w:r>
          </w:p>
        </w:tc>
      </w:tr>
      <w:tr>
        <w:tblPrEx>
          <w:tblCellMar>
            <w:top w:w="0" w:type="dxa"/>
            <w:left w:w="108" w:type="dxa"/>
            <w:bottom w:w="0" w:type="dxa"/>
            <w:right w:w="108" w:type="dxa"/>
          </w:tblCellMar>
        </w:tblPrEx>
        <w:trPr>
          <w:trHeight w:val="690" w:hRule="atLeast"/>
        </w:trPr>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积极应对各类风险挑战牢牢守住不发生系统性风险底线</w:t>
            </w:r>
          </w:p>
        </w:tc>
        <w:tc>
          <w:tcPr>
            <w:tcW w:w="57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1.深化严肃财经纪律；2.切实加强财政资金运行监控；3.切实强化财会监督.</w:t>
            </w:r>
          </w:p>
        </w:tc>
      </w:tr>
      <w:tr>
        <w:tblPrEx>
          <w:tblCellMar>
            <w:top w:w="0" w:type="dxa"/>
            <w:left w:w="108" w:type="dxa"/>
            <w:bottom w:w="0" w:type="dxa"/>
            <w:right w:w="108" w:type="dxa"/>
          </w:tblCellMar>
        </w:tblPrEx>
        <w:trPr>
          <w:trHeight w:val="810" w:hRule="atLeast"/>
        </w:trPr>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发挥财政资金引导，落实提质增效，着力提升保障发展，建立财税体系</w:t>
            </w:r>
          </w:p>
        </w:tc>
        <w:tc>
          <w:tcPr>
            <w:tcW w:w="57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1.加强财政运行管理；2推动县域经济高质量发展；3.强化非税收入政</w:t>
            </w:r>
            <w:r>
              <w:rPr>
                <w:rFonts w:hint="default" w:ascii="宋体" w:hAnsi="宋体" w:eastAsia="宋体" w:cs="宋体"/>
                <w:color w:val="000000"/>
                <w:kern w:val="0"/>
                <w:sz w:val="16"/>
                <w:szCs w:val="16"/>
              </w:rPr>
              <w:t>府</w:t>
            </w:r>
            <w:bookmarkStart w:id="0" w:name="_GoBack"/>
            <w:bookmarkEnd w:id="0"/>
            <w:r>
              <w:rPr>
                <w:rFonts w:hint="eastAsia" w:ascii="宋体" w:hAnsi="宋体" w:eastAsia="宋体" w:cs="宋体"/>
                <w:color w:val="000000"/>
                <w:kern w:val="0"/>
                <w:sz w:val="16"/>
                <w:szCs w:val="16"/>
              </w:rPr>
              <w:t>管理；4全面深化财政电子票据改革</w:t>
            </w:r>
          </w:p>
        </w:tc>
      </w:tr>
      <w:tr>
        <w:tblPrEx>
          <w:tblCellMar>
            <w:top w:w="0" w:type="dxa"/>
            <w:left w:w="108" w:type="dxa"/>
            <w:bottom w:w="0" w:type="dxa"/>
            <w:right w:w="108" w:type="dxa"/>
          </w:tblCellMar>
        </w:tblPrEx>
        <w:trPr>
          <w:trHeight w:val="570" w:hRule="atLeast"/>
        </w:trPr>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2023年财政项目支出</w:t>
            </w:r>
          </w:p>
        </w:tc>
        <w:tc>
          <w:tcPr>
            <w:tcW w:w="57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1、财政局机关食堂经费25万元；2、财政局购买人员劳务经费（厨师、门卫、保洁员、办公室人员等）34.0776万元；3、公务用车购置费（机动）40万元。</w:t>
            </w:r>
          </w:p>
        </w:tc>
      </w:tr>
      <w:tr>
        <w:tblPrEx>
          <w:tblCellMar>
            <w:top w:w="0" w:type="dxa"/>
            <w:left w:w="108" w:type="dxa"/>
            <w:bottom w:w="0" w:type="dxa"/>
            <w:right w:w="108" w:type="dxa"/>
          </w:tblCellMar>
        </w:tblPrEx>
        <w:trPr>
          <w:trHeight w:val="1290" w:hRule="atLeast"/>
        </w:trPr>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2023年财政基本支出</w:t>
            </w:r>
          </w:p>
        </w:tc>
        <w:tc>
          <w:tcPr>
            <w:tcW w:w="57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基本支出724.73万元包括工资福利支出625.22万元、对个人和家庭的补助6.88万元、商品和服务支出92.63万元。2、主要为人员经费632.11万元和公用经费92.63万元；3、按照经济分类为我单位在编在职人员工资、保险、绩效、体检费、独子费、办公费、差旅费、培训费、接待费、水费、电费、邮电费、维修维护费、公车运行维护等费用。</w:t>
            </w:r>
          </w:p>
        </w:tc>
      </w:tr>
      <w:tr>
        <w:tblPrEx>
          <w:tblCellMar>
            <w:top w:w="0" w:type="dxa"/>
            <w:left w:w="108" w:type="dxa"/>
            <w:bottom w:w="0" w:type="dxa"/>
            <w:right w:w="108" w:type="dxa"/>
          </w:tblCellMar>
        </w:tblPrEx>
        <w:trPr>
          <w:trHeight w:val="675" w:hRule="atLeast"/>
        </w:trPr>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建章立制优管理</w:t>
            </w:r>
          </w:p>
        </w:tc>
        <w:tc>
          <w:tcPr>
            <w:tcW w:w="57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紧扣“制度、能力、作风”三项建设主线，紧盯“讲政治、敢担当、重实干、保本色”队伍建设目标，以创新发展增强全局职工干事创业源动力。</w:t>
            </w:r>
          </w:p>
        </w:tc>
      </w:tr>
      <w:tr>
        <w:tblPrEx>
          <w:tblCellMar>
            <w:top w:w="0" w:type="dxa"/>
            <w:left w:w="108" w:type="dxa"/>
            <w:bottom w:w="0" w:type="dxa"/>
            <w:right w:w="108" w:type="dxa"/>
          </w:tblCellMar>
        </w:tblPrEx>
        <w:trPr>
          <w:trHeight w:val="435" w:hRule="atLeast"/>
        </w:trPr>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年度绩效指标</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绩效指标</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绩效指标值</w:t>
            </w:r>
          </w:p>
        </w:tc>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绩效度量单位</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权重</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w:t>
            </w:r>
          </w:p>
        </w:tc>
      </w:tr>
      <w:tr>
        <w:tblPrEx>
          <w:tblCellMar>
            <w:top w:w="0" w:type="dxa"/>
            <w:left w:w="108" w:type="dxa"/>
            <w:bottom w:w="0" w:type="dxa"/>
            <w:right w:w="108" w:type="dxa"/>
          </w:tblCellMar>
        </w:tblPrEx>
        <w:trPr>
          <w:trHeight w:val="158"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性质</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指标值</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w:t>
            </w:r>
          </w:p>
        </w:tc>
        <w:tc>
          <w:tcPr>
            <w:tcW w:w="1120"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5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实际在职在编人员数量</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37</w:t>
            </w:r>
          </w:p>
        </w:tc>
        <w:tc>
          <w:tcPr>
            <w:tcW w:w="60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人</w:t>
            </w:r>
          </w:p>
        </w:tc>
        <w:tc>
          <w:tcPr>
            <w:tcW w:w="66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37</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财政购买劳务人员</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人</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财政购买人员劳务费用支付执行</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月</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公务用车运行维护、维修管理</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辆</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保证机构正常运转</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5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年度预算、决算公开率</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次</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5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预算执行时间</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2023</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年</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2023</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25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组织实施全年绩效评价工作完成时间</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月</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w:t>
            </w:r>
          </w:p>
        </w:tc>
        <w:tc>
          <w:tcPr>
            <w:tcW w:w="1120"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财政资金绩效管理</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定性</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0"/>
                <w:szCs w:val="10"/>
              </w:rPr>
            </w:pPr>
            <w:r>
              <w:rPr>
                <w:rFonts w:hint="eastAsia" w:ascii="宋体" w:hAnsi="宋体" w:eastAsia="宋体" w:cs="宋体"/>
                <w:color w:val="000000"/>
                <w:kern w:val="0"/>
                <w:sz w:val="10"/>
                <w:szCs w:val="10"/>
              </w:rPr>
              <w:t>优良中底</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优</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局机关食堂经费足额保障</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万元</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5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职工及家属食堂就餐服务满意度</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95</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1120"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经济成本指标</w:t>
            </w: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三公经费压减，严格一般性支出”</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定性</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减少</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元</w:t>
            </w:r>
          </w:p>
        </w:tc>
        <w:tc>
          <w:tcPr>
            <w:tcW w:w="660" w:type="dxa"/>
            <w:tcBorders>
              <w:top w:val="nil"/>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减少</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财政信息系统网络维护</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78</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个</w:t>
            </w:r>
          </w:p>
        </w:tc>
        <w:tc>
          <w:tcPr>
            <w:tcW w:w="660" w:type="dxa"/>
            <w:tcBorders>
              <w:top w:val="nil"/>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78</w:t>
            </w:r>
          </w:p>
        </w:tc>
      </w:tr>
      <w:tr>
        <w:tblPrEx>
          <w:tblCellMar>
            <w:top w:w="0" w:type="dxa"/>
            <w:left w:w="108" w:type="dxa"/>
            <w:bottom w:w="0" w:type="dxa"/>
            <w:right w:w="108" w:type="dxa"/>
          </w:tblCellMar>
        </w:tblPrEx>
        <w:trPr>
          <w:trHeight w:val="435"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120"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5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组织财务培训、制作资料等</w:t>
            </w:r>
          </w:p>
        </w:tc>
        <w:tc>
          <w:tcPr>
            <w:tcW w:w="54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60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批次</w:t>
            </w:r>
          </w:p>
        </w:tc>
        <w:tc>
          <w:tcPr>
            <w:tcW w:w="660" w:type="dxa"/>
            <w:tcBorders>
              <w:top w:val="nil"/>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7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r>
    </w:tbl>
    <w:p>
      <w:pPr>
        <w:pStyle w:val="13"/>
        <w:spacing w:after="0" w:line="560" w:lineRule="exact"/>
        <w:ind w:left="0" w:leftChars="0" w:firstLine="0" w:firstLineChars="0"/>
        <w:rPr>
          <w:rFonts w:ascii="Times New Roman" w:eastAsia="黑体"/>
          <w:sz w:val="24"/>
          <w:szCs w:val="24"/>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8"/>
                  <w:ind w:right="451" w:rightChars="14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2NzBmZGI1ODZhMDU1NjZjZmUyMmE1ODg1YTYzNjAifQ=="/>
  </w:docVars>
  <w:rsids>
    <w:rsidRoot w:val="00EC0174"/>
    <w:rsid w:val="00006E4D"/>
    <w:rsid w:val="00010ED2"/>
    <w:rsid w:val="00021652"/>
    <w:rsid w:val="00030311"/>
    <w:rsid w:val="00030782"/>
    <w:rsid w:val="00030B66"/>
    <w:rsid w:val="00044BC4"/>
    <w:rsid w:val="0006102A"/>
    <w:rsid w:val="00065B0F"/>
    <w:rsid w:val="00065E7E"/>
    <w:rsid w:val="00073F26"/>
    <w:rsid w:val="000820BB"/>
    <w:rsid w:val="0008241B"/>
    <w:rsid w:val="00086072"/>
    <w:rsid w:val="000866D2"/>
    <w:rsid w:val="00092280"/>
    <w:rsid w:val="00095AE3"/>
    <w:rsid w:val="00096F3E"/>
    <w:rsid w:val="00097FAE"/>
    <w:rsid w:val="000A177C"/>
    <w:rsid w:val="000A3233"/>
    <w:rsid w:val="000A7CE3"/>
    <w:rsid w:val="000B04D6"/>
    <w:rsid w:val="000B15CE"/>
    <w:rsid w:val="000C40C6"/>
    <w:rsid w:val="000C79C1"/>
    <w:rsid w:val="000D208A"/>
    <w:rsid w:val="000D6258"/>
    <w:rsid w:val="000E037E"/>
    <w:rsid w:val="000F3DED"/>
    <w:rsid w:val="000F659A"/>
    <w:rsid w:val="000F77B0"/>
    <w:rsid w:val="0010235D"/>
    <w:rsid w:val="00103A47"/>
    <w:rsid w:val="00106D4D"/>
    <w:rsid w:val="001119A2"/>
    <w:rsid w:val="00113AB4"/>
    <w:rsid w:val="001221D6"/>
    <w:rsid w:val="00124578"/>
    <w:rsid w:val="00124ADE"/>
    <w:rsid w:val="0012510A"/>
    <w:rsid w:val="00125F67"/>
    <w:rsid w:val="001261AE"/>
    <w:rsid w:val="00127EBB"/>
    <w:rsid w:val="001348A4"/>
    <w:rsid w:val="00137A71"/>
    <w:rsid w:val="0014117C"/>
    <w:rsid w:val="00146FE8"/>
    <w:rsid w:val="0014767B"/>
    <w:rsid w:val="00147AED"/>
    <w:rsid w:val="0015556D"/>
    <w:rsid w:val="00156831"/>
    <w:rsid w:val="00157F14"/>
    <w:rsid w:val="001766FE"/>
    <w:rsid w:val="00177AAF"/>
    <w:rsid w:val="00183850"/>
    <w:rsid w:val="00184D9F"/>
    <w:rsid w:val="001851B3"/>
    <w:rsid w:val="00196147"/>
    <w:rsid w:val="001A4749"/>
    <w:rsid w:val="001A4842"/>
    <w:rsid w:val="001A5833"/>
    <w:rsid w:val="001B2B3F"/>
    <w:rsid w:val="001C2158"/>
    <w:rsid w:val="001C365A"/>
    <w:rsid w:val="001C4DE9"/>
    <w:rsid w:val="001C51F2"/>
    <w:rsid w:val="001C52C6"/>
    <w:rsid w:val="001C73AB"/>
    <w:rsid w:val="001D2EA4"/>
    <w:rsid w:val="001E4E8D"/>
    <w:rsid w:val="001F47CE"/>
    <w:rsid w:val="001F5776"/>
    <w:rsid w:val="0020620D"/>
    <w:rsid w:val="002069BC"/>
    <w:rsid w:val="002069EB"/>
    <w:rsid w:val="00213619"/>
    <w:rsid w:val="00215E0C"/>
    <w:rsid w:val="002167ED"/>
    <w:rsid w:val="002201B0"/>
    <w:rsid w:val="00220900"/>
    <w:rsid w:val="0022307E"/>
    <w:rsid w:val="00224D05"/>
    <w:rsid w:val="00225BDA"/>
    <w:rsid w:val="00226669"/>
    <w:rsid w:val="002323A3"/>
    <w:rsid w:val="00234D87"/>
    <w:rsid w:val="00235E19"/>
    <w:rsid w:val="00236EF7"/>
    <w:rsid w:val="0024058A"/>
    <w:rsid w:val="002410C0"/>
    <w:rsid w:val="00241BDB"/>
    <w:rsid w:val="002471B1"/>
    <w:rsid w:val="00252894"/>
    <w:rsid w:val="00253FA6"/>
    <w:rsid w:val="00254728"/>
    <w:rsid w:val="00254F9D"/>
    <w:rsid w:val="002550E7"/>
    <w:rsid w:val="002558D4"/>
    <w:rsid w:val="00255A00"/>
    <w:rsid w:val="002560E2"/>
    <w:rsid w:val="00264CFA"/>
    <w:rsid w:val="0026683D"/>
    <w:rsid w:val="00267005"/>
    <w:rsid w:val="00270DD7"/>
    <w:rsid w:val="00276F4A"/>
    <w:rsid w:val="00280BFB"/>
    <w:rsid w:val="00280C88"/>
    <w:rsid w:val="00281D60"/>
    <w:rsid w:val="002973A4"/>
    <w:rsid w:val="002A0195"/>
    <w:rsid w:val="002B5B34"/>
    <w:rsid w:val="002B6906"/>
    <w:rsid w:val="002B7215"/>
    <w:rsid w:val="002C0AFD"/>
    <w:rsid w:val="002C59D0"/>
    <w:rsid w:val="002D1A18"/>
    <w:rsid w:val="002D6C79"/>
    <w:rsid w:val="002E1104"/>
    <w:rsid w:val="002E3FDD"/>
    <w:rsid w:val="00300EF4"/>
    <w:rsid w:val="00301353"/>
    <w:rsid w:val="0030148D"/>
    <w:rsid w:val="00305FF6"/>
    <w:rsid w:val="00307568"/>
    <w:rsid w:val="00311506"/>
    <w:rsid w:val="003137A8"/>
    <w:rsid w:val="00316ADB"/>
    <w:rsid w:val="00317623"/>
    <w:rsid w:val="003216A7"/>
    <w:rsid w:val="00322FAF"/>
    <w:rsid w:val="003260D0"/>
    <w:rsid w:val="00330130"/>
    <w:rsid w:val="00333613"/>
    <w:rsid w:val="00335F67"/>
    <w:rsid w:val="003361E9"/>
    <w:rsid w:val="00350A65"/>
    <w:rsid w:val="00351A0F"/>
    <w:rsid w:val="00361C85"/>
    <w:rsid w:val="00371352"/>
    <w:rsid w:val="00376753"/>
    <w:rsid w:val="003805E0"/>
    <w:rsid w:val="00382223"/>
    <w:rsid w:val="0038541D"/>
    <w:rsid w:val="003867F1"/>
    <w:rsid w:val="00387818"/>
    <w:rsid w:val="00391A13"/>
    <w:rsid w:val="00391FD0"/>
    <w:rsid w:val="003A44FC"/>
    <w:rsid w:val="003B3299"/>
    <w:rsid w:val="003D10A2"/>
    <w:rsid w:val="003D33B8"/>
    <w:rsid w:val="003D433C"/>
    <w:rsid w:val="003D588F"/>
    <w:rsid w:val="003D624D"/>
    <w:rsid w:val="003D719A"/>
    <w:rsid w:val="003E41D4"/>
    <w:rsid w:val="003F5EB7"/>
    <w:rsid w:val="003F7FE2"/>
    <w:rsid w:val="004004E7"/>
    <w:rsid w:val="0040205A"/>
    <w:rsid w:val="00416E1A"/>
    <w:rsid w:val="00426A3F"/>
    <w:rsid w:val="004277D4"/>
    <w:rsid w:val="00442FD1"/>
    <w:rsid w:val="00452790"/>
    <w:rsid w:val="00461638"/>
    <w:rsid w:val="00462F82"/>
    <w:rsid w:val="0046583F"/>
    <w:rsid w:val="004706FA"/>
    <w:rsid w:val="00474D8D"/>
    <w:rsid w:val="00475CCD"/>
    <w:rsid w:val="00476C0A"/>
    <w:rsid w:val="00477266"/>
    <w:rsid w:val="004811BC"/>
    <w:rsid w:val="004838F2"/>
    <w:rsid w:val="00486492"/>
    <w:rsid w:val="00492CF6"/>
    <w:rsid w:val="004A4C9D"/>
    <w:rsid w:val="004A6ED8"/>
    <w:rsid w:val="004C2078"/>
    <w:rsid w:val="004C228F"/>
    <w:rsid w:val="004C3CD0"/>
    <w:rsid w:val="004C50FC"/>
    <w:rsid w:val="004E0951"/>
    <w:rsid w:val="004E407F"/>
    <w:rsid w:val="004E752F"/>
    <w:rsid w:val="004F046D"/>
    <w:rsid w:val="004F1E37"/>
    <w:rsid w:val="004F5B5A"/>
    <w:rsid w:val="00502ECA"/>
    <w:rsid w:val="00503E1E"/>
    <w:rsid w:val="00514B38"/>
    <w:rsid w:val="00515198"/>
    <w:rsid w:val="00521C44"/>
    <w:rsid w:val="005266AA"/>
    <w:rsid w:val="005274E1"/>
    <w:rsid w:val="00531DDF"/>
    <w:rsid w:val="00535F07"/>
    <w:rsid w:val="00535FA6"/>
    <w:rsid w:val="0053698E"/>
    <w:rsid w:val="00542AB7"/>
    <w:rsid w:val="0055358D"/>
    <w:rsid w:val="005540C8"/>
    <w:rsid w:val="00555809"/>
    <w:rsid w:val="00562165"/>
    <w:rsid w:val="00571B46"/>
    <w:rsid w:val="005756AF"/>
    <w:rsid w:val="00575A4A"/>
    <w:rsid w:val="00590886"/>
    <w:rsid w:val="00591B6F"/>
    <w:rsid w:val="005A1DAF"/>
    <w:rsid w:val="005B0680"/>
    <w:rsid w:val="005C0B9B"/>
    <w:rsid w:val="005C17C8"/>
    <w:rsid w:val="005C2098"/>
    <w:rsid w:val="005C2E6C"/>
    <w:rsid w:val="005D018D"/>
    <w:rsid w:val="005D0CCF"/>
    <w:rsid w:val="005D1C01"/>
    <w:rsid w:val="005E297D"/>
    <w:rsid w:val="005E3F12"/>
    <w:rsid w:val="005E7091"/>
    <w:rsid w:val="005F627E"/>
    <w:rsid w:val="00603B7F"/>
    <w:rsid w:val="0061652E"/>
    <w:rsid w:val="006205E9"/>
    <w:rsid w:val="00622D0B"/>
    <w:rsid w:val="006235EE"/>
    <w:rsid w:val="006270DA"/>
    <w:rsid w:val="00627DA2"/>
    <w:rsid w:val="00630B75"/>
    <w:rsid w:val="006340C5"/>
    <w:rsid w:val="006341E0"/>
    <w:rsid w:val="00634DFF"/>
    <w:rsid w:val="00635337"/>
    <w:rsid w:val="006422CF"/>
    <w:rsid w:val="0064239F"/>
    <w:rsid w:val="0064265B"/>
    <w:rsid w:val="0064519C"/>
    <w:rsid w:val="00650248"/>
    <w:rsid w:val="0065082E"/>
    <w:rsid w:val="006512D0"/>
    <w:rsid w:val="00652663"/>
    <w:rsid w:val="006535B3"/>
    <w:rsid w:val="006560A3"/>
    <w:rsid w:val="00656301"/>
    <w:rsid w:val="006600C9"/>
    <w:rsid w:val="006701CC"/>
    <w:rsid w:val="00671423"/>
    <w:rsid w:val="00671F58"/>
    <w:rsid w:val="006762A4"/>
    <w:rsid w:val="006900E7"/>
    <w:rsid w:val="006A00A8"/>
    <w:rsid w:val="006A37DD"/>
    <w:rsid w:val="006A482D"/>
    <w:rsid w:val="006B0C28"/>
    <w:rsid w:val="006B11E0"/>
    <w:rsid w:val="006B181E"/>
    <w:rsid w:val="006B386A"/>
    <w:rsid w:val="006B7CB4"/>
    <w:rsid w:val="006C0A61"/>
    <w:rsid w:val="006C24D3"/>
    <w:rsid w:val="006C7917"/>
    <w:rsid w:val="006D2C9D"/>
    <w:rsid w:val="006D6071"/>
    <w:rsid w:val="006E51AE"/>
    <w:rsid w:val="006F29E1"/>
    <w:rsid w:val="0070081F"/>
    <w:rsid w:val="007018F5"/>
    <w:rsid w:val="007029D9"/>
    <w:rsid w:val="00702D14"/>
    <w:rsid w:val="00710897"/>
    <w:rsid w:val="00712F45"/>
    <w:rsid w:val="00716567"/>
    <w:rsid w:val="00720A2F"/>
    <w:rsid w:val="00734305"/>
    <w:rsid w:val="007370E1"/>
    <w:rsid w:val="00771383"/>
    <w:rsid w:val="007732A1"/>
    <w:rsid w:val="00774C4A"/>
    <w:rsid w:val="00782BBB"/>
    <w:rsid w:val="007A0690"/>
    <w:rsid w:val="007A078F"/>
    <w:rsid w:val="007B34D4"/>
    <w:rsid w:val="007C0633"/>
    <w:rsid w:val="007D086C"/>
    <w:rsid w:val="007F1BE1"/>
    <w:rsid w:val="007F6878"/>
    <w:rsid w:val="007F707F"/>
    <w:rsid w:val="007F794C"/>
    <w:rsid w:val="007F7AC9"/>
    <w:rsid w:val="007F7BD9"/>
    <w:rsid w:val="00801C1C"/>
    <w:rsid w:val="00803B42"/>
    <w:rsid w:val="008073EF"/>
    <w:rsid w:val="0081095C"/>
    <w:rsid w:val="00810C41"/>
    <w:rsid w:val="00814740"/>
    <w:rsid w:val="00814DB6"/>
    <w:rsid w:val="008212FF"/>
    <w:rsid w:val="00824524"/>
    <w:rsid w:val="0082593B"/>
    <w:rsid w:val="00827537"/>
    <w:rsid w:val="0083478A"/>
    <w:rsid w:val="00845B78"/>
    <w:rsid w:val="008468EA"/>
    <w:rsid w:val="00846EE3"/>
    <w:rsid w:val="008477B6"/>
    <w:rsid w:val="00855D38"/>
    <w:rsid w:val="00867140"/>
    <w:rsid w:val="00881134"/>
    <w:rsid w:val="00884926"/>
    <w:rsid w:val="008903FA"/>
    <w:rsid w:val="008904F0"/>
    <w:rsid w:val="00894931"/>
    <w:rsid w:val="008A6039"/>
    <w:rsid w:val="008B072A"/>
    <w:rsid w:val="008B2D01"/>
    <w:rsid w:val="008B2F27"/>
    <w:rsid w:val="008B4A72"/>
    <w:rsid w:val="008B585E"/>
    <w:rsid w:val="008B6673"/>
    <w:rsid w:val="008B7FC7"/>
    <w:rsid w:val="008C42F4"/>
    <w:rsid w:val="008C49C4"/>
    <w:rsid w:val="008C68B8"/>
    <w:rsid w:val="008D028C"/>
    <w:rsid w:val="008D2C8A"/>
    <w:rsid w:val="008E6C0C"/>
    <w:rsid w:val="008F1E63"/>
    <w:rsid w:val="008F3052"/>
    <w:rsid w:val="008F4D81"/>
    <w:rsid w:val="00901E19"/>
    <w:rsid w:val="0090209D"/>
    <w:rsid w:val="009043D5"/>
    <w:rsid w:val="0091367F"/>
    <w:rsid w:val="009214F7"/>
    <w:rsid w:val="00921CD7"/>
    <w:rsid w:val="00932A58"/>
    <w:rsid w:val="00940EB6"/>
    <w:rsid w:val="00944771"/>
    <w:rsid w:val="009601FC"/>
    <w:rsid w:val="00965426"/>
    <w:rsid w:val="0096654A"/>
    <w:rsid w:val="009711E4"/>
    <w:rsid w:val="00971572"/>
    <w:rsid w:val="00971963"/>
    <w:rsid w:val="00981E55"/>
    <w:rsid w:val="00986C32"/>
    <w:rsid w:val="00986CEF"/>
    <w:rsid w:val="00987212"/>
    <w:rsid w:val="009926FC"/>
    <w:rsid w:val="009A0E5F"/>
    <w:rsid w:val="009A675F"/>
    <w:rsid w:val="009D6E02"/>
    <w:rsid w:val="009E3A1D"/>
    <w:rsid w:val="009F115B"/>
    <w:rsid w:val="009F1AF3"/>
    <w:rsid w:val="009F233E"/>
    <w:rsid w:val="009F4E88"/>
    <w:rsid w:val="00A01050"/>
    <w:rsid w:val="00A024AB"/>
    <w:rsid w:val="00A050A5"/>
    <w:rsid w:val="00A05B8B"/>
    <w:rsid w:val="00A1372F"/>
    <w:rsid w:val="00A170EC"/>
    <w:rsid w:val="00A217B3"/>
    <w:rsid w:val="00A23D04"/>
    <w:rsid w:val="00A277D9"/>
    <w:rsid w:val="00A30CEB"/>
    <w:rsid w:val="00A31318"/>
    <w:rsid w:val="00A37BB8"/>
    <w:rsid w:val="00A5432A"/>
    <w:rsid w:val="00A55F8A"/>
    <w:rsid w:val="00A64A26"/>
    <w:rsid w:val="00A73455"/>
    <w:rsid w:val="00A9670E"/>
    <w:rsid w:val="00AA1423"/>
    <w:rsid w:val="00AB3B0C"/>
    <w:rsid w:val="00AB7996"/>
    <w:rsid w:val="00AC0F39"/>
    <w:rsid w:val="00AC43C3"/>
    <w:rsid w:val="00AC6CC9"/>
    <w:rsid w:val="00AD05F3"/>
    <w:rsid w:val="00AE2EAD"/>
    <w:rsid w:val="00AF77BE"/>
    <w:rsid w:val="00B11CEE"/>
    <w:rsid w:val="00B15F33"/>
    <w:rsid w:val="00B1710C"/>
    <w:rsid w:val="00B20C23"/>
    <w:rsid w:val="00B20F0A"/>
    <w:rsid w:val="00B23428"/>
    <w:rsid w:val="00B264BF"/>
    <w:rsid w:val="00B26968"/>
    <w:rsid w:val="00B401BA"/>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95763"/>
    <w:rsid w:val="00BA13C4"/>
    <w:rsid w:val="00BA3B51"/>
    <w:rsid w:val="00BB0E59"/>
    <w:rsid w:val="00BB2ACC"/>
    <w:rsid w:val="00BB3C84"/>
    <w:rsid w:val="00BB4E38"/>
    <w:rsid w:val="00BB583B"/>
    <w:rsid w:val="00BB6171"/>
    <w:rsid w:val="00BB61E2"/>
    <w:rsid w:val="00BC30EF"/>
    <w:rsid w:val="00BC368E"/>
    <w:rsid w:val="00BC3879"/>
    <w:rsid w:val="00BD0E0D"/>
    <w:rsid w:val="00BD41BC"/>
    <w:rsid w:val="00BD55AD"/>
    <w:rsid w:val="00BD68D2"/>
    <w:rsid w:val="00BE0305"/>
    <w:rsid w:val="00BF15F0"/>
    <w:rsid w:val="00BF240E"/>
    <w:rsid w:val="00BF7DF9"/>
    <w:rsid w:val="00C02292"/>
    <w:rsid w:val="00C03559"/>
    <w:rsid w:val="00C05395"/>
    <w:rsid w:val="00C22AD7"/>
    <w:rsid w:val="00C26D8C"/>
    <w:rsid w:val="00C272C1"/>
    <w:rsid w:val="00C27423"/>
    <w:rsid w:val="00C32A68"/>
    <w:rsid w:val="00C34282"/>
    <w:rsid w:val="00C35350"/>
    <w:rsid w:val="00C3564B"/>
    <w:rsid w:val="00C4483A"/>
    <w:rsid w:val="00C47F39"/>
    <w:rsid w:val="00C53721"/>
    <w:rsid w:val="00C64150"/>
    <w:rsid w:val="00C64D2E"/>
    <w:rsid w:val="00C70D9B"/>
    <w:rsid w:val="00C70F97"/>
    <w:rsid w:val="00C7497C"/>
    <w:rsid w:val="00C757A2"/>
    <w:rsid w:val="00C75966"/>
    <w:rsid w:val="00C76577"/>
    <w:rsid w:val="00C80225"/>
    <w:rsid w:val="00C81349"/>
    <w:rsid w:val="00C855B5"/>
    <w:rsid w:val="00C93139"/>
    <w:rsid w:val="00CA07BB"/>
    <w:rsid w:val="00CA08A0"/>
    <w:rsid w:val="00CA32D2"/>
    <w:rsid w:val="00CA4E07"/>
    <w:rsid w:val="00CA737D"/>
    <w:rsid w:val="00CB0AEA"/>
    <w:rsid w:val="00CB1EF5"/>
    <w:rsid w:val="00CC05D4"/>
    <w:rsid w:val="00CC3827"/>
    <w:rsid w:val="00CC4C0E"/>
    <w:rsid w:val="00CC7166"/>
    <w:rsid w:val="00CD4303"/>
    <w:rsid w:val="00CF2B1B"/>
    <w:rsid w:val="00CF3B5B"/>
    <w:rsid w:val="00CF5275"/>
    <w:rsid w:val="00CF6136"/>
    <w:rsid w:val="00D0023D"/>
    <w:rsid w:val="00D006C6"/>
    <w:rsid w:val="00D1161A"/>
    <w:rsid w:val="00D14A65"/>
    <w:rsid w:val="00D162B9"/>
    <w:rsid w:val="00D17E12"/>
    <w:rsid w:val="00D249D4"/>
    <w:rsid w:val="00D251E2"/>
    <w:rsid w:val="00D254F4"/>
    <w:rsid w:val="00D263A7"/>
    <w:rsid w:val="00D26A30"/>
    <w:rsid w:val="00D26B5D"/>
    <w:rsid w:val="00D319C3"/>
    <w:rsid w:val="00D33159"/>
    <w:rsid w:val="00D33A19"/>
    <w:rsid w:val="00D34AEA"/>
    <w:rsid w:val="00D355B5"/>
    <w:rsid w:val="00D35782"/>
    <w:rsid w:val="00D43DC3"/>
    <w:rsid w:val="00D4783A"/>
    <w:rsid w:val="00D51791"/>
    <w:rsid w:val="00D5281E"/>
    <w:rsid w:val="00D573AE"/>
    <w:rsid w:val="00D60560"/>
    <w:rsid w:val="00D615B3"/>
    <w:rsid w:val="00D6531B"/>
    <w:rsid w:val="00D6612D"/>
    <w:rsid w:val="00D70B88"/>
    <w:rsid w:val="00D71AD9"/>
    <w:rsid w:val="00D73C02"/>
    <w:rsid w:val="00D85AF4"/>
    <w:rsid w:val="00D872ED"/>
    <w:rsid w:val="00D91100"/>
    <w:rsid w:val="00D913C6"/>
    <w:rsid w:val="00D958BB"/>
    <w:rsid w:val="00D968A5"/>
    <w:rsid w:val="00DA0236"/>
    <w:rsid w:val="00DA5D51"/>
    <w:rsid w:val="00DA5E29"/>
    <w:rsid w:val="00DA61CA"/>
    <w:rsid w:val="00DB42BC"/>
    <w:rsid w:val="00DB66BB"/>
    <w:rsid w:val="00DB73AF"/>
    <w:rsid w:val="00DB76AC"/>
    <w:rsid w:val="00DC2865"/>
    <w:rsid w:val="00DC6B18"/>
    <w:rsid w:val="00DD0894"/>
    <w:rsid w:val="00DD3CF3"/>
    <w:rsid w:val="00DE1888"/>
    <w:rsid w:val="00DE7B6C"/>
    <w:rsid w:val="00DF1250"/>
    <w:rsid w:val="00DF3584"/>
    <w:rsid w:val="00DF5BA6"/>
    <w:rsid w:val="00DF6EF7"/>
    <w:rsid w:val="00E01594"/>
    <w:rsid w:val="00E05454"/>
    <w:rsid w:val="00E074C3"/>
    <w:rsid w:val="00E127FF"/>
    <w:rsid w:val="00E16EE2"/>
    <w:rsid w:val="00E23329"/>
    <w:rsid w:val="00E24D6D"/>
    <w:rsid w:val="00E30EC7"/>
    <w:rsid w:val="00E3415D"/>
    <w:rsid w:val="00E341B2"/>
    <w:rsid w:val="00E42633"/>
    <w:rsid w:val="00E543E6"/>
    <w:rsid w:val="00E5699E"/>
    <w:rsid w:val="00E570E1"/>
    <w:rsid w:val="00E60ADC"/>
    <w:rsid w:val="00E72773"/>
    <w:rsid w:val="00E73D70"/>
    <w:rsid w:val="00E76739"/>
    <w:rsid w:val="00E81946"/>
    <w:rsid w:val="00E82BB7"/>
    <w:rsid w:val="00E84ED8"/>
    <w:rsid w:val="00E86D13"/>
    <w:rsid w:val="00E8778E"/>
    <w:rsid w:val="00E91BCA"/>
    <w:rsid w:val="00E936C2"/>
    <w:rsid w:val="00E95346"/>
    <w:rsid w:val="00EA0CEF"/>
    <w:rsid w:val="00EA2748"/>
    <w:rsid w:val="00EA2E2A"/>
    <w:rsid w:val="00EB207A"/>
    <w:rsid w:val="00EB2438"/>
    <w:rsid w:val="00EB785C"/>
    <w:rsid w:val="00EB79D2"/>
    <w:rsid w:val="00EC0174"/>
    <w:rsid w:val="00EC763B"/>
    <w:rsid w:val="00ED3EEB"/>
    <w:rsid w:val="00ED5749"/>
    <w:rsid w:val="00ED5FA3"/>
    <w:rsid w:val="00ED68C4"/>
    <w:rsid w:val="00ED6A4E"/>
    <w:rsid w:val="00ED72EA"/>
    <w:rsid w:val="00EE3A4F"/>
    <w:rsid w:val="00EE7F05"/>
    <w:rsid w:val="00EF10C3"/>
    <w:rsid w:val="00EF3BD2"/>
    <w:rsid w:val="00F112AE"/>
    <w:rsid w:val="00F16BCE"/>
    <w:rsid w:val="00F45DA1"/>
    <w:rsid w:val="00F5267B"/>
    <w:rsid w:val="00F52860"/>
    <w:rsid w:val="00F53E8B"/>
    <w:rsid w:val="00F663FD"/>
    <w:rsid w:val="00F70120"/>
    <w:rsid w:val="00F743B0"/>
    <w:rsid w:val="00F77D4E"/>
    <w:rsid w:val="00F82409"/>
    <w:rsid w:val="00F8264F"/>
    <w:rsid w:val="00F82D3F"/>
    <w:rsid w:val="00F833E9"/>
    <w:rsid w:val="00F84580"/>
    <w:rsid w:val="00F873DA"/>
    <w:rsid w:val="00F87D0D"/>
    <w:rsid w:val="00F95982"/>
    <w:rsid w:val="00FA006C"/>
    <w:rsid w:val="00FA190E"/>
    <w:rsid w:val="00FA288B"/>
    <w:rsid w:val="00FA2997"/>
    <w:rsid w:val="00FA2C71"/>
    <w:rsid w:val="00FA46FD"/>
    <w:rsid w:val="00FB1C17"/>
    <w:rsid w:val="00FB3345"/>
    <w:rsid w:val="00FC5F37"/>
    <w:rsid w:val="00FD0228"/>
    <w:rsid w:val="00FD3BB7"/>
    <w:rsid w:val="00FD7BC3"/>
    <w:rsid w:val="00FE0D93"/>
    <w:rsid w:val="00FF2572"/>
    <w:rsid w:val="00FF32AD"/>
    <w:rsid w:val="00FF714E"/>
    <w:rsid w:val="0DC31556"/>
    <w:rsid w:val="1A3D6143"/>
    <w:rsid w:val="1C013801"/>
    <w:rsid w:val="1DFD8D3B"/>
    <w:rsid w:val="1FB79DC9"/>
    <w:rsid w:val="1FBFC3F2"/>
    <w:rsid w:val="1FFFE033"/>
    <w:rsid w:val="27F352A6"/>
    <w:rsid w:val="2D527252"/>
    <w:rsid w:val="2DDC1740"/>
    <w:rsid w:val="2EAE55F2"/>
    <w:rsid w:val="2EDF4302"/>
    <w:rsid w:val="2EFE1A04"/>
    <w:rsid w:val="2F5565E4"/>
    <w:rsid w:val="35BBF80F"/>
    <w:rsid w:val="378B2DA5"/>
    <w:rsid w:val="3B736F08"/>
    <w:rsid w:val="3BE3D531"/>
    <w:rsid w:val="3BE6578A"/>
    <w:rsid w:val="3D431A40"/>
    <w:rsid w:val="3EFF42CA"/>
    <w:rsid w:val="3F6FCA38"/>
    <w:rsid w:val="3FD5AF3D"/>
    <w:rsid w:val="3FEDA629"/>
    <w:rsid w:val="3FFED8BE"/>
    <w:rsid w:val="3FFF43BB"/>
    <w:rsid w:val="433DCF8E"/>
    <w:rsid w:val="45FF973D"/>
    <w:rsid w:val="47550EBA"/>
    <w:rsid w:val="4BF7E09D"/>
    <w:rsid w:val="4FFFFC3E"/>
    <w:rsid w:val="53BB74FC"/>
    <w:rsid w:val="55FDDF92"/>
    <w:rsid w:val="55FFBC03"/>
    <w:rsid w:val="56CDA72E"/>
    <w:rsid w:val="576F5916"/>
    <w:rsid w:val="577FDAE2"/>
    <w:rsid w:val="57FBE2C7"/>
    <w:rsid w:val="5B335734"/>
    <w:rsid w:val="5B7F322F"/>
    <w:rsid w:val="5BCAB023"/>
    <w:rsid w:val="5DDA9B94"/>
    <w:rsid w:val="5EAB810D"/>
    <w:rsid w:val="5EFF9DA6"/>
    <w:rsid w:val="5F7751B9"/>
    <w:rsid w:val="5F9F7232"/>
    <w:rsid w:val="5F9F9588"/>
    <w:rsid w:val="5FBD32D2"/>
    <w:rsid w:val="5FD450B0"/>
    <w:rsid w:val="5FEF60CD"/>
    <w:rsid w:val="5FFB203D"/>
    <w:rsid w:val="5FFB8CF9"/>
    <w:rsid w:val="63DBAF21"/>
    <w:rsid w:val="6636451A"/>
    <w:rsid w:val="67DE80AA"/>
    <w:rsid w:val="697E3B47"/>
    <w:rsid w:val="69BF132E"/>
    <w:rsid w:val="6BFEE5F3"/>
    <w:rsid w:val="6CAFF34E"/>
    <w:rsid w:val="6CFFCF4F"/>
    <w:rsid w:val="6DFFF8B6"/>
    <w:rsid w:val="6E9FE641"/>
    <w:rsid w:val="6EEDE807"/>
    <w:rsid w:val="6EEE4BE4"/>
    <w:rsid w:val="6EF65E9C"/>
    <w:rsid w:val="6F3D9197"/>
    <w:rsid w:val="6FAB3EC4"/>
    <w:rsid w:val="6FB6AF41"/>
    <w:rsid w:val="6FD894C8"/>
    <w:rsid w:val="6FE36A9E"/>
    <w:rsid w:val="6FEFB2D1"/>
    <w:rsid w:val="6FFF97E6"/>
    <w:rsid w:val="71397E03"/>
    <w:rsid w:val="71FB5B08"/>
    <w:rsid w:val="73FB87D9"/>
    <w:rsid w:val="75EF0FBA"/>
    <w:rsid w:val="7607C293"/>
    <w:rsid w:val="76DFA4E8"/>
    <w:rsid w:val="778720BD"/>
    <w:rsid w:val="77A7D615"/>
    <w:rsid w:val="77F65727"/>
    <w:rsid w:val="77FF366A"/>
    <w:rsid w:val="77FF8C96"/>
    <w:rsid w:val="77FFA8F9"/>
    <w:rsid w:val="7976604B"/>
    <w:rsid w:val="79F3BC78"/>
    <w:rsid w:val="7A5B6CAA"/>
    <w:rsid w:val="7A9314AC"/>
    <w:rsid w:val="7B4F6850"/>
    <w:rsid w:val="7BABD5C4"/>
    <w:rsid w:val="7BB12055"/>
    <w:rsid w:val="7BBFADBA"/>
    <w:rsid w:val="7BFF492D"/>
    <w:rsid w:val="7C631402"/>
    <w:rsid w:val="7C978C63"/>
    <w:rsid w:val="7CA35AD0"/>
    <w:rsid w:val="7CDF8BC3"/>
    <w:rsid w:val="7CEB72A5"/>
    <w:rsid w:val="7D18750B"/>
    <w:rsid w:val="7D7E556B"/>
    <w:rsid w:val="7DDFDC39"/>
    <w:rsid w:val="7E140770"/>
    <w:rsid w:val="7E5D92FB"/>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ED8E5A"/>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ED1CD4"/>
    <w:rsid w:val="DBFBB328"/>
    <w:rsid w:val="DDD7453A"/>
    <w:rsid w:val="DE3E1FD7"/>
    <w:rsid w:val="DFBE1B79"/>
    <w:rsid w:val="DFCF1FEC"/>
    <w:rsid w:val="DFDF4DDA"/>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5FFBA41"/>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Normal Indent"/>
    <w:basedOn w:val="1"/>
    <w:next w:val="1"/>
    <w:qFormat/>
    <w:uiPriority w:val="0"/>
    <w:pPr>
      <w:spacing w:beforeLines="50" w:line="360" w:lineRule="auto"/>
      <w:ind w:firstLine="480" w:firstLineChars="200"/>
    </w:pPr>
    <w:rPr>
      <w:rFonts w:eastAsia="仿宋"/>
      <w:sz w:val="24"/>
      <w:szCs w:val="23"/>
      <w:lang w:eastAsia="ar-SA"/>
    </w:rPr>
  </w:style>
  <w:style w:type="paragraph" w:styleId="4">
    <w:name w:val="Document Map"/>
    <w:basedOn w:val="1"/>
    <w:link w:val="20"/>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200" w:leftChars="200"/>
    </w:pPr>
    <w:rPr>
      <w:rFonts w:ascii="仿宋_GB2312"/>
      <w:szCs w:val="32"/>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rFonts w:eastAsia="宋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toc 1"/>
    <w:basedOn w:val="1"/>
    <w:next w:val="1"/>
    <w:qFormat/>
    <w:uiPriority w:val="0"/>
  </w:style>
  <w:style w:type="paragraph" w:styleId="11">
    <w:name w:val="HTML Preformatted"/>
    <w:basedOn w:val="1"/>
    <w:link w:val="29"/>
    <w:qFormat/>
    <w:uiPriority w:val="0"/>
    <w:rPr>
      <w:rFonts w:ascii="Courier New" w:hAnsi="Courier New" w:cs="Courier New"/>
      <w:sz w:val="20"/>
      <w:szCs w:val="20"/>
    </w:rPr>
  </w:style>
  <w:style w:type="paragraph" w:styleId="12">
    <w:name w:val="Normal (Web)"/>
    <w:basedOn w:val="1"/>
    <w:qFormat/>
    <w:uiPriority w:val="0"/>
    <w:pPr>
      <w:spacing w:before="100" w:beforeAutospacing="1" w:after="100" w:afterAutospacing="1"/>
      <w:jc w:val="left"/>
    </w:pPr>
    <w:rPr>
      <w:rFonts w:eastAsia="宋体"/>
      <w:kern w:val="0"/>
      <w:sz w:val="24"/>
    </w:rPr>
  </w:style>
  <w:style w:type="paragraph" w:styleId="13">
    <w:name w:val="Body Text First Indent 2"/>
    <w:basedOn w:val="6"/>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四号正文"/>
    <w:basedOn w:val="1"/>
    <w:link w:val="19"/>
    <w:qFormat/>
    <w:uiPriority w:val="0"/>
    <w:pPr>
      <w:spacing w:line="360" w:lineRule="auto"/>
    </w:pPr>
    <w:rPr>
      <w:rFonts w:ascii="??" w:hAnsi="??" w:eastAsia="宋体" w:cs="宋体"/>
      <w:color w:val="000000"/>
      <w:kern w:val="0"/>
      <w:sz w:val="28"/>
      <w:szCs w:val="21"/>
    </w:rPr>
  </w:style>
  <w:style w:type="character" w:customStyle="1" w:styleId="19">
    <w:name w:val="四号正文 Char"/>
    <w:basedOn w:val="16"/>
    <w:link w:val="18"/>
    <w:qFormat/>
    <w:uiPriority w:val="0"/>
    <w:rPr>
      <w:rFonts w:ascii="??" w:hAnsi="??" w:eastAsia="宋体" w:cs="宋体"/>
      <w:color w:val="000000"/>
      <w:sz w:val="28"/>
      <w:szCs w:val="21"/>
      <w:lang w:val="en-US" w:eastAsia="zh-CN" w:bidi="ar-SA"/>
    </w:rPr>
  </w:style>
  <w:style w:type="character" w:customStyle="1" w:styleId="20">
    <w:name w:val="文档结构图 Char"/>
    <w:basedOn w:val="16"/>
    <w:link w:val="4"/>
    <w:qFormat/>
    <w:uiPriority w:val="0"/>
    <w:rPr>
      <w:rFonts w:ascii="宋体"/>
      <w:kern w:val="2"/>
      <w:sz w:val="18"/>
      <w:szCs w:val="18"/>
    </w:rPr>
  </w:style>
  <w:style w:type="paragraph" w:customStyle="1" w:styleId="21">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页脚 Char"/>
    <w:basedOn w:val="16"/>
    <w:link w:val="8"/>
    <w:qFormat/>
    <w:uiPriority w:val="99"/>
    <w:rPr>
      <w:kern w:val="2"/>
      <w:sz w:val="18"/>
      <w:szCs w:val="18"/>
    </w:rPr>
  </w:style>
  <w:style w:type="character" w:customStyle="1" w:styleId="23">
    <w:name w:val="font31"/>
    <w:basedOn w:val="16"/>
    <w:qFormat/>
    <w:uiPriority w:val="0"/>
    <w:rPr>
      <w:rFonts w:hint="eastAsia" w:ascii="宋体" w:hAnsi="宋体" w:eastAsia="宋体" w:cs="宋体"/>
      <w:color w:val="000000"/>
      <w:sz w:val="24"/>
      <w:szCs w:val="24"/>
      <w:u w:val="none"/>
    </w:rPr>
  </w:style>
  <w:style w:type="character" w:customStyle="1" w:styleId="24">
    <w:name w:val="font51"/>
    <w:basedOn w:val="16"/>
    <w:qFormat/>
    <w:uiPriority w:val="0"/>
    <w:rPr>
      <w:rFonts w:hint="default" w:ascii="Wingdings 2" w:hAnsi="Wingdings 2" w:eastAsia="Wingdings 2" w:cs="Wingdings 2"/>
      <w:color w:val="000000"/>
      <w:sz w:val="18"/>
      <w:szCs w:val="18"/>
      <w:u w:val="none"/>
    </w:rPr>
  </w:style>
  <w:style w:type="character" w:customStyle="1" w:styleId="25">
    <w:name w:val="font01"/>
    <w:basedOn w:val="16"/>
    <w:qFormat/>
    <w:uiPriority w:val="0"/>
    <w:rPr>
      <w:rFonts w:ascii="宋体" w:hAnsi="宋体" w:eastAsia="宋体" w:cs="宋体"/>
      <w:color w:val="000000"/>
      <w:sz w:val="18"/>
      <w:szCs w:val="18"/>
      <w:u w:val="none"/>
    </w:rPr>
  </w:style>
  <w:style w:type="character" w:customStyle="1" w:styleId="26">
    <w:name w:val="font41"/>
    <w:basedOn w:val="16"/>
    <w:qFormat/>
    <w:uiPriority w:val="0"/>
    <w:rPr>
      <w:rFonts w:ascii="宋体" w:hAnsi="宋体" w:eastAsia="宋体" w:cs="宋体"/>
      <w:color w:val="000000"/>
      <w:sz w:val="18"/>
      <w:szCs w:val="18"/>
      <w:u w:val="none"/>
    </w:rPr>
  </w:style>
  <w:style w:type="character" w:customStyle="1" w:styleId="27">
    <w:name w:val="NormalCharacter"/>
    <w:semiHidden/>
    <w:qFormat/>
    <w:uiPriority w:val="0"/>
  </w:style>
  <w:style w:type="paragraph" w:styleId="28">
    <w:name w:val="List Paragraph"/>
    <w:basedOn w:val="1"/>
    <w:unhideWhenUsed/>
    <w:qFormat/>
    <w:uiPriority w:val="99"/>
    <w:pPr>
      <w:ind w:firstLine="420" w:firstLineChars="200"/>
    </w:pPr>
  </w:style>
  <w:style w:type="character" w:customStyle="1" w:styleId="29">
    <w:name w:val="HTML 预设格式 Char"/>
    <w:basedOn w:val="16"/>
    <w:link w:val="11"/>
    <w:qFormat/>
    <w:uiPriority w:val="0"/>
    <w:rPr>
      <w:rFonts w:ascii="Courier New" w:hAnsi="Courier New" w:eastAsia="仿宋_GB2312" w:cs="Courier New"/>
      <w:kern w:val="2"/>
    </w:rPr>
  </w:style>
  <w:style w:type="character" w:customStyle="1" w:styleId="30">
    <w:name w:val="val_textcolor000000"/>
    <w:basedOn w:val="16"/>
    <w:qFormat/>
    <w:uiPriority w:val="0"/>
  </w:style>
  <w:style w:type="character" w:customStyle="1" w:styleId="31">
    <w:name w:val="linkspan"/>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18</Pages>
  <Words>1467</Words>
  <Characters>8368</Characters>
  <Lines>69</Lines>
  <Paragraphs>19</Paragraphs>
  <TotalTime>1</TotalTime>
  <ScaleCrop>false</ScaleCrop>
  <LinksUpToDate>false</LinksUpToDate>
  <CharactersWithSpaces>9816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2019-05-29T03:06:00Z</dcterms:created>
  <dc:creator>陈萍</dc:creator>
  <cp:lastModifiedBy>user</cp:lastModifiedBy>
  <cp:lastPrinted>2016-02-15T16:25:00Z</cp:lastPrinted>
  <dcterms:modified xsi:type="dcterms:W3CDTF">2025-01-21T16:00:12Z</dcterms:modified>
  <dc:title>区域性就业培训基地建设项目</dc:title>
  <cp:revision>557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A51A36801428E9B041879466C62AECE8</vt:lpwstr>
  </property>
</Properties>
</file>