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textAlignment w:val="baseline"/>
        <w:rPr>
          <w:rFonts w:ascii="方正小标宋_GBK" w:hAnsi="方正小标宋_GBK" w:eastAsia="方正小标宋_GBK" w:cs="方正小标宋_GBK"/>
          <w:szCs w:val="32"/>
        </w:rPr>
      </w:pPr>
      <w:r>
        <w:rPr>
          <w:rFonts w:hint="eastAsia" w:ascii="方正小标宋_GBK" w:hAnsi="方正小标宋_GBK" w:eastAsia="方正小标宋_GBK" w:cs="方正小标宋_GBK"/>
          <w:szCs w:val="32"/>
        </w:rPr>
        <w:drawing>
          <wp:anchor distT="0" distB="0" distL="114300" distR="114300" simplePos="0" relativeHeight="251660288" behindDoc="0" locked="0" layoutInCell="1" allowOverlap="1">
            <wp:simplePos x="0" y="0"/>
            <wp:positionH relativeFrom="column">
              <wp:posOffset>41275</wp:posOffset>
            </wp:positionH>
            <wp:positionV relativeFrom="paragraph">
              <wp:posOffset>71120</wp:posOffset>
            </wp:positionV>
            <wp:extent cx="5615940" cy="1407160"/>
            <wp:effectExtent l="19050" t="0" r="3810" b="0"/>
            <wp:wrapTopAndBottom/>
            <wp:docPr id="2" name="图片 2" descr="局文件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局文件红头"/>
                    <pic:cNvPicPr>
                      <a:picLocks noChangeAspect="1" noChangeArrowheads="1"/>
                    </pic:cNvPicPr>
                  </pic:nvPicPr>
                  <pic:blipFill>
                    <a:blip r:embed="rId6" cstate="print"/>
                    <a:srcRect/>
                    <a:stretch>
                      <a:fillRect/>
                    </a:stretch>
                  </pic:blipFill>
                  <pic:spPr>
                    <a:xfrm>
                      <a:off x="0" y="0"/>
                      <a:ext cx="5615940" cy="1407160"/>
                    </a:xfrm>
                    <a:prstGeom prst="rect">
                      <a:avLst/>
                    </a:prstGeom>
                    <a:noFill/>
                    <a:ln w="9525">
                      <a:noFill/>
                      <a:miter lim="800000"/>
                      <a:headEnd/>
                      <a:tailEnd/>
                    </a:ln>
                  </pic:spPr>
                </pic:pic>
              </a:graphicData>
            </a:graphic>
          </wp:anchor>
        </w:drawing>
      </w:r>
    </w:p>
    <w:p>
      <w:pPr>
        <w:spacing w:line="560" w:lineRule="exact"/>
        <w:rPr>
          <w:rFonts w:ascii="方正小标宋_GBK" w:eastAsia="方正小标宋_GBK" w:cs="方正小标宋_GBK"/>
          <w:sz w:val="44"/>
          <w:szCs w:val="44"/>
        </w:rPr>
      </w:pPr>
      <w:r>
        <w:rPr>
          <w:rFonts w:ascii="仿宋_GB2312"/>
          <w:w w:val="95"/>
          <w:sz w:val="66"/>
          <w:szCs w:val="72"/>
        </w:rPr>
        <w:pict>
          <v:line id="直接连接符 3" o:spid="_x0000_s2051" o:spt="20" style="position:absolute;left:0pt;margin-left:8.35pt;margin-top:15.45pt;height:0.95pt;width:435.85pt;z-index:251661312;mso-width-relative:page;mso-height-relative:page;" stroked="t" coordsize="21600,21600" o:gfxdata="UEsFBgAAAAAAAAAAAAAAAAAAAAAAAFBLAwQKAAAAAACHTuJAAAAAAAAAAAAAAAAABAAAAGRycy9Q&#10;SwMEFAAAAAgAh07iQKpJQr3VAAAABwEAAA8AAABkcnMvZG93bnJldi54bWxNjk1PwzAQRO9I/Adr&#10;kbi1doJAIcSpAMENCRE+enXjJY4ar6PYTdN/z3KC4+iNZl61WfwgZpxiH0hDtlYgkNpge+o0fLw/&#10;rwoQMRmyZgiEGk4YYVOfn1WmtOFIbzg3qRM8QrE0GlxKYyllbB16E9dhRGL2HSZvEsepk3YyRx73&#10;g8yVupHe9MQPzoz46LDdNwevYfkq7t32JT08hc9Xt1+2jZ/zk9aXF5m6A5FwSX9l+NVndajZaRcO&#10;ZKMYNKxyxeqJQQ6CeXGtbkHsNFxlIOtK/vevfwBQSwMEFAAAAAgAh07iQCSnGVsIAgAAAwQAAA4A&#10;AABkcnMvZTJvRG9jLnhtbK1TTY7TMBTeI3EHy3uatFVKGzWdxZSyQVAJOIBrO4kl/8nPbdpLcAEk&#10;drBiyZ7bMByD5yQMw7DpgiycZ7/Pn9/3+Xl9czaanGQA5WxFp5OcEmm5E8o2FX3/bvdsSQlEZgXT&#10;zsqKXiTQm83TJ+vOl3LmWqeFDARJLJSdr2gboy+zDHgrDYOJ89JisnbBsIjT0GQisA7Zjc5meb7I&#10;OheED45LAFzdDkk6MoZrCF1dKy63jh+NtHFgDVKziJKgVR7opq+2riWPb+oaZCS6oqg09iMegvEh&#10;jdlmzcomMN8qPpbArinhkSbDlMVD76m2LDJyDOofKqN4cODqOOHOZIOQ3hFUMc0fefO2ZV72WtBq&#10;8Pemw/+j5a9P+0CUqOicEssMXvjdx28/Pnz++f0Tjndfv5B5MqnzUCL21u7DOAO/D0nxuQ4m/VEL&#10;OWND5YuimKO9F6RcLlaL1WiyPEfCEYDZYrYqKOGImM4QnvizP0Q+QHwpnSEpqKhWNnnASnZ6BXGA&#10;/oakZW1JV9HZsnieOBl2ZI2dgKHxqAps028Gp5XYKa3TFgjN4VYHcmLYFbtdjt9Yw1+wdMqWQTvg&#10;+lSCsbKVTLywgsSLR78sPhOaajBSUKIlvqoU9cjIlL4GifK1TdSy79lRaDJ9sDlFBycueFdHH1TT&#10;ojHTvuaUwd7oHRz7ODXfwznGD9/u5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BQAAAAIAIdO&#10;4kCKFGY80QAAAJQBAAALAAAAAAAAAAEAIAAAAJIDAABfcmVscy8ucmVsc1BLAQIUAAoAAAAAAIdO&#10;4kAAAAAAAAAAAAAAAAAGAAAAAAAAAAAAEAAAAG4DAABfcmVscy9QSwECFAAKAAAAAACHTuJAAAAA&#10;AAAAAAAAAAAABAAAAAAAAAAAABAAAAAWAAAAZHJzL1BLAQIUABQAAAAIAIdO4kAkpxlbCAIAAAME&#10;AAAOAAAAAAAAAAEAIAAAADoBAABkcnMvZTJvRG9jLnhtbFBLAQIUABQAAAAIAIdO4kCqSUK91QAA&#10;AAcBAAAPAAAAAAAAAAEAIAAAADgAAABkcnMvZG93bnJldi54bWxQSwUGAAAAAAYABgBZAQAAtAUA&#10;AAAA&#10;">
            <v:path arrowok="t"/>
            <v:fill focussize="0,0"/>
            <v:stroke weight="2.25pt" color="#FF0000"/>
            <v:imagedata o:title=""/>
            <o:lock v:ext="edit"/>
          </v:line>
        </w:pict>
      </w:r>
      <w:r>
        <w:rPr>
          <w:rFonts w:hint="eastAsia" w:ascii="仿宋_GB2312" w:hAnsi="仿宋_GB2312" w:cs="仿宋_GB2312"/>
          <w:szCs w:val="32"/>
        </w:rPr>
        <w:t xml:space="preserve">                     </w:t>
      </w:r>
    </w:p>
    <w:p>
      <w:pPr>
        <w:spacing w:line="460" w:lineRule="exact"/>
        <w:jc w:val="center"/>
        <w:rPr>
          <w:rFonts w:ascii="方正小标宋_GBK" w:eastAsia="方正小标宋_GBK" w:cs="方正小标宋_GBK"/>
          <w:sz w:val="44"/>
          <w:szCs w:val="44"/>
        </w:rPr>
      </w:pPr>
    </w:p>
    <w:p>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黑水县财政局</w:t>
      </w:r>
    </w:p>
    <w:p>
      <w:pPr>
        <w:spacing w:line="560" w:lineRule="exact"/>
        <w:jc w:val="center"/>
        <w:textAlignment w:val="baseline"/>
        <w:rPr>
          <w:rStyle w:val="27"/>
          <w:rFonts w:ascii="方正小标宋_GBK" w:hAnsi="方正小标宋_GBK" w:eastAsia="方正小标宋_GBK" w:cs="方正小标宋_GBK"/>
          <w:w w:val="95"/>
          <w:sz w:val="44"/>
          <w:szCs w:val="44"/>
        </w:rPr>
      </w:pPr>
      <w:r>
        <w:rPr>
          <w:rStyle w:val="27"/>
          <w:rFonts w:hint="eastAsia" w:ascii="方正小标宋_GBK" w:hAnsi="方正小标宋_GBK" w:eastAsia="方正小标宋_GBK" w:cs="方正小标宋_GBK"/>
          <w:w w:val="95"/>
          <w:sz w:val="44"/>
          <w:szCs w:val="44"/>
        </w:rPr>
        <w:t>2024年部门预算绩效整体支出自评报告</w:t>
      </w:r>
    </w:p>
    <w:p>
      <w:pPr>
        <w:pStyle w:val="17"/>
        <w:spacing w:before="0" w:after="0" w:line="560" w:lineRule="exact"/>
        <w:rPr>
          <w:rFonts w:ascii="仿宋_GB2312" w:hAnsi="仿宋_GB2312" w:eastAsia="仿宋_GB2312" w:cs="仿宋_GB2312"/>
          <w:b w:val="0"/>
          <w:color w:val="333333"/>
          <w:sz w:val="32"/>
          <w:szCs w:val="32"/>
        </w:rPr>
      </w:pP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仿宋_GB2312" w:cs="仿宋_GB2312"/>
          <w:color w:val="333333"/>
          <w:szCs w:val="32"/>
          <w:lang w:val="zh-CN"/>
        </w:rPr>
        <w:t>为强化预算绩效管理，提高财政资金使用效益，根据《黑水县财政局关于开展2025年县级部门绩效自评工作的通知》（黑财〔2025〕30号）文件要求，我局高度重视，对2024年度单位整体支出的管理、使用及绩效目标实现情况等内容开展绩效自评工作。现将评价情况报告以下：</w:t>
      </w: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eastAsia="黑体"/>
          <w:color w:val="000000"/>
          <w:kern w:val="0"/>
          <w:szCs w:val="32"/>
          <w:shd w:val="clear" w:color="auto" w:fill="FFFFFF"/>
          <w:lang w:val="zh-CN"/>
        </w:rPr>
        <w:t>一、部门基本情况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财政局属行政机构独立核算一级预算单位，局机关内设办公室等11个股室，分别为：办公室、综合股（行政审批股）、预算股、国库股、资产管理和政府采购监督管理股、经济建设股、行政政法及教育文化股、社会保障股、农业农村股（基层财政股）、自然资源与生态环境股、财政监督与绩效管理股。事业机构4个(参公机构1个)分别为：国库集中支付中心、财政投资评审中心、乡镇财政管理中心、国有资产经营管理中心）。</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（二）机构职能</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根据黑编办发〔2019〕38号文件规定，本部门的主要职责是：</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w:t>
      </w:r>
      <w:r>
        <w:rPr>
          <w:rFonts w:hint="eastAsia" w:ascii="仿宋_GB2312" w:hAnsi="仿宋_GB2312" w:cs="仿宋_GB2312"/>
          <w:color w:val="333333"/>
          <w:szCs w:val="32"/>
          <w:lang w:val="zh-CN"/>
        </w:rPr>
        <w:t xml:space="preserve">拟订全县财税发展战略、规划、政策和改革方案并组织实施。分析预测宏观经济形势，参与制定宏观经济政策，提出运用财税政策实施宏观调控和综合平衡社会财力的建议。拟定国家与企业的分配政策，完善鼓励公益事业发展的财税政策。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2.</w:t>
      </w:r>
      <w:r>
        <w:rPr>
          <w:rFonts w:hint="eastAsia" w:ascii="仿宋_GB2312" w:hAnsi="仿宋_GB2312" w:cs="仿宋_GB2312"/>
          <w:color w:val="333333"/>
          <w:szCs w:val="32"/>
          <w:lang w:val="zh-CN"/>
        </w:rPr>
        <w:t xml:space="preserve">贯彻执行财政、税收、财务、会计管理的法律法规和规章。按照管理权限管理全县税政事项。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3.</w:t>
      </w:r>
      <w:r>
        <w:rPr>
          <w:rFonts w:hint="eastAsia" w:ascii="仿宋_GB2312" w:hAnsi="仿宋_GB2312" w:cs="仿宋_GB2312"/>
          <w:color w:val="333333"/>
          <w:szCs w:val="32"/>
          <w:lang w:val="zh-CN"/>
        </w:rPr>
        <w:t xml:space="preserve">负责管理各项财政收支。编制年度县级预决算草案并组织执行。组织制定经费开支标准、定额，审核批复部门（单位）年度预决算。受县政府委托，向县人大及其常委会报告财政预算、执行和决算等情况。负责政府投资基金县级财政出资的资产管理。负责县级预决算公开。负责全面实施预算绩效管理。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4.</w:t>
      </w:r>
      <w:r>
        <w:rPr>
          <w:rFonts w:hint="eastAsia" w:ascii="仿宋_GB2312" w:hAnsi="仿宋_GB2312" w:cs="仿宋_GB2312"/>
          <w:color w:val="333333"/>
          <w:szCs w:val="32"/>
          <w:lang w:val="zh-CN"/>
        </w:rPr>
        <w:t xml:space="preserve">按分工负责政府非税收入管理。负责政府性基金管理，按规定管理行政事业性收费等其他非税收入。管理财政票据。制定彩票管理政策和有关办法，监管彩票市场，按规定管理彩票资金。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5.</w:t>
      </w:r>
      <w:r>
        <w:rPr>
          <w:rFonts w:hint="eastAsia" w:ascii="仿宋_GB2312" w:hAnsi="仿宋_GB2312" w:cs="仿宋_GB2312"/>
          <w:color w:val="333333"/>
          <w:szCs w:val="32"/>
          <w:lang w:val="zh-CN"/>
        </w:rPr>
        <w:t xml:space="preserve">组织制定全县国库管理制度、国库集中收付制度，指导和监督国库业务，开展国库现金管理工作。贯彻执行政府财务报告编制办法并组织实施。负责制定政府采购制度并监督管理。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6.</w:t>
      </w:r>
      <w:r>
        <w:rPr>
          <w:rFonts w:hint="eastAsia" w:ascii="仿宋_GB2312" w:hAnsi="仿宋_GB2312" w:cs="仿宋_GB2312"/>
          <w:color w:val="333333"/>
          <w:szCs w:val="32"/>
          <w:lang w:val="zh-CN"/>
        </w:rPr>
        <w:t xml:space="preserve">贯彻执行地方政府债务管理制度和政策，制定具体管理办法，编制地方政府债余额限额计划，统一管理政府外债，防范财政风险。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7.</w:t>
      </w:r>
      <w:r>
        <w:rPr>
          <w:rFonts w:hint="eastAsia" w:ascii="仿宋_GB2312" w:hAnsi="仿宋_GB2312" w:cs="仿宋_GB2312"/>
          <w:color w:val="333333"/>
          <w:szCs w:val="32"/>
          <w:lang w:val="zh-CN"/>
        </w:rPr>
        <w:t xml:space="preserve">牵头编制全县国有资产管理情况报告。根据县政府授权，集中统一履行县级国有金融资本出资人职责。制定县级国有金融资本管理制度。拟订全县行政事业单位国有资产管理制度并组织实施。制定需要全县统一规定的开支标准和支出政策。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8.</w:t>
      </w:r>
      <w:r>
        <w:rPr>
          <w:rFonts w:hint="eastAsia" w:ascii="仿宋_GB2312" w:hAnsi="仿宋_GB2312" w:cs="仿宋_GB2312"/>
          <w:color w:val="333333"/>
          <w:szCs w:val="32"/>
          <w:lang w:val="zh-CN"/>
        </w:rPr>
        <w:t>负责审核并汇总编制全县国有资本经营预决算草案。制定国有资本经营预算制度和办法，收取县本级企业国有资本收益。组织实施企业财务制度，负责财政预算内行政事业单位和社会团体的非贸易外汇和财政预算内的国际收支管理。</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9.</w:t>
      </w:r>
      <w:r>
        <w:rPr>
          <w:rFonts w:hint="eastAsia" w:ascii="仿宋_GB2312" w:hAnsi="仿宋_GB2312" w:cs="仿宋_GB2312"/>
          <w:color w:val="333333"/>
          <w:szCs w:val="32"/>
          <w:lang w:val="zh-CN"/>
        </w:rPr>
        <w:t xml:space="preserve">负责审核并汇总编制全县社会保险基金预决算草案，会同有关部门拟订有关资金（基金）财务管理制度，承担社会保险基金财政监管工作。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10.</w:t>
      </w:r>
      <w:r>
        <w:rPr>
          <w:rFonts w:hint="eastAsia" w:ascii="仿宋_GB2312" w:hAnsi="仿宋_GB2312" w:cs="仿宋_GB2312"/>
          <w:color w:val="333333"/>
          <w:szCs w:val="32"/>
          <w:lang w:val="zh-CN"/>
        </w:rPr>
        <w:t xml:space="preserve">负责办理和监督县级财政的经济发展支出、县级政府性投资项目的财政拨款，负责投资评审管理工作，参与拟订县级基建投资有关政策，制定基建财务管理制度。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11.</w:t>
      </w:r>
      <w:r>
        <w:rPr>
          <w:rFonts w:hint="eastAsia" w:ascii="仿宋_GB2312" w:hAnsi="仿宋_GB2312" w:cs="仿宋_GB2312"/>
          <w:color w:val="333333"/>
          <w:szCs w:val="32"/>
          <w:lang w:val="zh-CN"/>
        </w:rPr>
        <w:t xml:space="preserve">管理外国政府和国际金融机构贷（赠）款项目的有关业务，参与财经领域的国际交流与合作。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12.</w:t>
      </w:r>
      <w:r>
        <w:rPr>
          <w:rFonts w:hint="eastAsia" w:ascii="仿宋_GB2312" w:hAnsi="仿宋_GB2312" w:cs="仿宋_GB2312"/>
          <w:color w:val="333333"/>
          <w:szCs w:val="32"/>
          <w:lang w:val="zh-CN"/>
        </w:rPr>
        <w:t xml:space="preserve">负责管理全县会计工作，监督和规范会计行为， 组织实施国家统一的会计制度，指导和监督注册会计师和会 计师事务所的业务，指导和管理社会审计。依法管理资产评估有关工作。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13.</w:t>
      </w:r>
      <w:r>
        <w:rPr>
          <w:rFonts w:hint="eastAsia" w:ascii="仿宋_GB2312" w:hAnsi="仿宋_GB2312" w:cs="仿宋_GB2312"/>
          <w:color w:val="333333"/>
          <w:szCs w:val="32"/>
          <w:lang w:val="zh-CN"/>
        </w:rPr>
        <w:t xml:space="preserve">负责职责范围内的安全生产和职业健康、生态环境保护、审批服务便民化等工作。 </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14.</w:t>
      </w:r>
      <w:r>
        <w:rPr>
          <w:rFonts w:hint="eastAsia" w:ascii="仿宋_GB2312" w:hAnsi="仿宋_GB2312" w:cs="仿宋_GB2312"/>
          <w:color w:val="333333"/>
          <w:szCs w:val="32"/>
          <w:lang w:val="zh-CN"/>
        </w:rPr>
        <w:t>完成县委、县政府和州财政局交办的其他任务。</w:t>
      </w:r>
    </w:p>
    <w:p>
      <w:pPr>
        <w:adjustRightInd w:val="0"/>
        <w:snapToGrid w:val="0"/>
        <w:spacing w:line="560" w:lineRule="exact"/>
        <w:ind w:firstLine="642" w:firstLineChars="200"/>
        <w:contextualSpacing/>
        <w:jc w:val="left"/>
        <w:rPr>
          <w:rFonts w:ascii="仿宋_GB2312" w:hAnsi="仿宋_GB2312" w:cs="仿宋_GB2312"/>
          <w:color w:val="333333"/>
          <w:szCs w:val="32"/>
          <w:lang w:val="zh-CN"/>
        </w:rPr>
      </w:pPr>
      <w:r>
        <w:rPr>
          <w:rFonts w:hint="eastAsia" w:ascii="仿宋_GB2312" w:hAnsi="仿宋_GB2312" w:cs="仿宋_GB2312"/>
          <w:b/>
          <w:bCs/>
          <w:color w:val="333333"/>
          <w:szCs w:val="32"/>
          <w:lang w:val="zh-CN"/>
        </w:rPr>
        <w:t>15.</w:t>
      </w:r>
      <w:r>
        <w:rPr>
          <w:rFonts w:hint="eastAsia" w:ascii="仿宋_GB2312" w:hAnsi="仿宋_GB2312" w:cs="仿宋_GB2312"/>
          <w:color w:val="333333"/>
          <w:szCs w:val="32"/>
          <w:lang w:val="zh-CN"/>
        </w:rPr>
        <w:t>职能转变。</w:t>
      </w:r>
      <w:r>
        <w:rPr>
          <w:rFonts w:hint="eastAsia" w:ascii="仿宋_GB2312" w:hAnsi="仿宋_GB2312" w:cs="仿宋_GB2312"/>
          <w:b/>
          <w:bCs/>
          <w:color w:val="333333"/>
          <w:szCs w:val="32"/>
          <w:lang w:val="zh-CN"/>
        </w:rPr>
        <w:t>一是</w:t>
      </w:r>
      <w:r>
        <w:rPr>
          <w:rFonts w:hint="eastAsia" w:ascii="仿宋_GB2312" w:hAnsi="仿宋_GB2312" w:cs="仿宋_GB2312"/>
          <w:color w:val="333333"/>
          <w:szCs w:val="32"/>
          <w:lang w:val="zh-CN"/>
        </w:rPr>
        <w:t>完善宏观调控体系。</w:t>
      </w:r>
      <w:r>
        <w:rPr>
          <w:rFonts w:hint="eastAsia" w:ascii="仿宋_GB2312" w:hAnsi="仿宋_GB2312" w:cs="仿宋_GB2312"/>
          <w:b/>
          <w:bCs/>
          <w:color w:val="333333"/>
          <w:szCs w:val="32"/>
          <w:lang w:val="zh-CN"/>
        </w:rPr>
        <w:t>二是</w:t>
      </w:r>
      <w:r>
        <w:rPr>
          <w:rFonts w:hint="eastAsia" w:ascii="仿宋_GB2312" w:hAnsi="仿宋_GB2312" w:cs="仿宋_GB2312"/>
          <w:color w:val="333333"/>
          <w:szCs w:val="32"/>
          <w:lang w:val="zh-CN"/>
        </w:rPr>
        <w:t>深化财税体制改革。</w:t>
      </w:r>
      <w:r>
        <w:rPr>
          <w:rFonts w:hint="eastAsia" w:ascii="仿宋_GB2312" w:hAnsi="仿宋_GB2312" w:cs="仿宋_GB2312"/>
          <w:b/>
          <w:bCs/>
          <w:color w:val="333333"/>
          <w:szCs w:val="32"/>
          <w:lang w:val="zh-CN"/>
        </w:rPr>
        <w:t>三是</w:t>
      </w:r>
      <w:r>
        <w:rPr>
          <w:rFonts w:hint="eastAsia" w:ascii="仿宋_GB2312" w:hAnsi="仿宋_GB2312" w:cs="仿宋_GB2312"/>
          <w:color w:val="333333"/>
          <w:szCs w:val="32"/>
          <w:lang w:val="zh-CN"/>
        </w:rPr>
        <w:t>防范化解地方政府债务风险。</w:t>
      </w:r>
    </w:p>
    <w:p>
      <w:pPr>
        <w:spacing w:line="560" w:lineRule="exact"/>
        <w:ind w:firstLine="642"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截至2024年末，黑水县财政局属行政机构一级预算单位。总编制4</w:t>
      </w:r>
      <w:r>
        <w:rPr>
          <w:rFonts w:hint="eastAsia" w:ascii="仿宋_GB2312" w:hAnsi="仿宋_GB2312" w:cs="仿宋_GB2312"/>
          <w:color w:val="333333"/>
          <w:szCs w:val="32"/>
        </w:rPr>
        <w:t>4</w:t>
      </w:r>
      <w:r>
        <w:rPr>
          <w:rFonts w:hint="eastAsia" w:ascii="仿宋_GB2312" w:hAnsi="仿宋_GB2312" w:cs="仿宋_GB2312"/>
          <w:color w:val="333333"/>
          <w:szCs w:val="32"/>
          <w:lang w:val="zh-CN"/>
        </w:rPr>
        <w:t>名，其中：行政编制15名，参公编制1</w:t>
      </w:r>
      <w:r>
        <w:rPr>
          <w:rFonts w:hint="eastAsia" w:ascii="仿宋_GB2312" w:hAnsi="仿宋_GB2312" w:cs="仿宋_GB2312"/>
          <w:color w:val="333333"/>
          <w:szCs w:val="32"/>
        </w:rPr>
        <w:t>5</w:t>
      </w:r>
      <w:r>
        <w:rPr>
          <w:rFonts w:hint="eastAsia" w:ascii="仿宋_GB2312" w:hAnsi="仿宋_GB2312" w:cs="仿宋_GB2312"/>
          <w:color w:val="333333"/>
          <w:szCs w:val="32"/>
          <w:lang w:val="zh-CN"/>
        </w:rPr>
        <w:t>人，行政工勤4名；事业编制10名。在职人员总数32人，其中：行政人员9人、参公人员10人、行政工勤3人、事业人员10人。</w:t>
      </w:r>
    </w:p>
    <w:p>
      <w:pPr>
        <w:spacing w:line="560" w:lineRule="exact"/>
        <w:ind w:firstLine="640" w:firstLineChars="20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根据《黑水县财政局关于批复2024年度部门预算的通知》（黑财〔2024〕2号），我局2024年初预算收入931.21万元，全部为一般公共预算财政拨款收入，占总预算100%。</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黑水县财政局2024年决算报表收入1144.27万元，全部为一般公共预算财政拨款收入。</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3.追加预算安排情况。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黑水县财政局2023年追加预算安排213.06万元。主要是年度考核奖、年度考核奖和基础性绩效奖、财政委托业务经费项目等。</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支出情况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根据《黑水县财政局关于批复2024年度部门预算的通知》（黑财〔2024〕2号）文件，我局2024年年初预算支出931.21万元。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基本支出818.38万元，占总预算的87.88%；项目支出112.83万元，占总预算的12.12%。</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rPr>
        <w:t>591.17万元, 占总预算的72.18%；</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rPr>
        <w:t>136.03万元, 占总预算的14.61%；</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rPr>
        <w:t>54.99万元, 占总预算的5.91%；</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rPr>
        <w:t>68.02万元, 占总预算的7.3%。</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黑水县财政局2024年决算报表支出1144.27万元。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基本支出892.9万元，占总支出的78.03%；项目支出251.37万元，占总支出的21.97%。</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hint="eastAsia" w:ascii="仿宋_GB2312" w:hAnsi="仿宋_GB2312" w:cs="仿宋_GB2312"/>
          <w:color w:val="000000"/>
          <w:kern w:val="0"/>
          <w:szCs w:val="32"/>
        </w:rPr>
        <w:t>一般公共服务支出764.16万元，占总支出的66.78%；社会保障和就业支出118.07万元，占总支出的10.32%；卫生健康支出50.08万元，占总支出的4.38%；</w:t>
      </w:r>
      <w:r>
        <w:rPr>
          <w:rFonts w:hint="eastAsia" w:ascii="仿宋_GB2312" w:hAnsi="仿宋_GB2312" w:cs="仿宋_GB2312"/>
        </w:rPr>
        <w:t>农林水支</w:t>
      </w:r>
      <w:r>
        <w:rPr>
          <w:rFonts w:hint="eastAsia" w:ascii="仿宋_GB2312" w:hAnsi="仿宋_GB2312" w:cs="仿宋_GB2312"/>
          <w:color w:val="000000"/>
          <w:kern w:val="0"/>
          <w:szCs w:val="32"/>
        </w:rPr>
        <w:t>出149.09万</w:t>
      </w:r>
      <w:r>
        <w:rPr>
          <w:rFonts w:hint="eastAsia" w:ascii="仿宋_GB2312" w:hAnsi="仿宋_GB2312" w:cs="仿宋_GB2312"/>
        </w:rPr>
        <w:t>元，</w:t>
      </w:r>
      <w:r>
        <w:rPr>
          <w:rFonts w:hint="eastAsia" w:ascii="仿宋_GB2312" w:hAnsi="仿宋_GB2312" w:cs="仿宋_GB2312"/>
          <w:color w:val="000000"/>
          <w:kern w:val="0"/>
          <w:szCs w:val="32"/>
        </w:rPr>
        <w:t>占总支出的13.03%；住房保障支出62.86万元，占总支出的5.49%。</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按支出经济分：</w:t>
      </w:r>
      <w:r>
        <w:rPr>
          <w:rFonts w:hint="eastAsia" w:ascii="仿宋_GB2312" w:hAnsi="仿宋_GB2312" w:cs="仿宋_GB2312"/>
          <w:color w:val="000000"/>
          <w:kern w:val="0"/>
          <w:szCs w:val="32"/>
        </w:rPr>
        <w:t>工资福利支出793.03万元，占总支出的69.31%；</w:t>
      </w:r>
      <w:r>
        <w:rPr>
          <w:rFonts w:hint="eastAsia" w:ascii="仿宋_GB2312" w:hAnsi="仿宋_GB2312" w:cs="仿宋_GB2312"/>
        </w:rPr>
        <w:t>商品和服务支出325.7万元，</w:t>
      </w:r>
      <w:r>
        <w:rPr>
          <w:rFonts w:hint="eastAsia" w:ascii="仿宋_GB2312" w:hAnsi="仿宋_GB2312" w:cs="仿宋_GB2312"/>
          <w:color w:val="000000"/>
          <w:kern w:val="0"/>
          <w:szCs w:val="32"/>
        </w:rPr>
        <w:t>占总支出的28.46%；</w:t>
      </w:r>
      <w:r>
        <w:rPr>
          <w:rFonts w:hint="eastAsia" w:ascii="仿宋_GB2312" w:hAnsi="仿宋_GB2312" w:cs="仿宋_GB2312"/>
        </w:rPr>
        <w:t>对个人和家庭的补助24.41万元，</w:t>
      </w:r>
      <w:r>
        <w:rPr>
          <w:rFonts w:hint="eastAsia" w:ascii="仿宋_GB2312" w:hAnsi="仿宋_GB2312" w:cs="仿宋_GB2312"/>
          <w:color w:val="000000"/>
          <w:kern w:val="0"/>
          <w:szCs w:val="32"/>
        </w:rPr>
        <w:t>占总支出的2.13%；</w:t>
      </w:r>
      <w:r>
        <w:rPr>
          <w:rFonts w:hint="eastAsia" w:ascii="仿宋_GB2312" w:hAnsi="仿宋_GB2312" w:cs="仿宋_GB2312"/>
        </w:rPr>
        <w:t>资本性支出1.12万元，</w:t>
      </w:r>
      <w:r>
        <w:rPr>
          <w:rFonts w:hint="eastAsia" w:ascii="仿宋_GB2312" w:hAnsi="仿宋_GB2312" w:cs="仿宋_GB2312"/>
          <w:color w:val="000000"/>
          <w:kern w:val="0"/>
          <w:szCs w:val="32"/>
        </w:rPr>
        <w:t>占总支出的0.1%</w:t>
      </w:r>
      <w:r>
        <w:rPr>
          <w:rFonts w:hint="eastAsia" w:ascii="仿宋_GB2312" w:hAnsi="仿宋_GB2312" w:cs="仿宋_GB2312"/>
        </w:rPr>
        <w:t>。</w:t>
      </w:r>
    </w:p>
    <w:p>
      <w:pPr>
        <w:adjustRightInd w:val="0"/>
        <w:snapToGrid w:val="0"/>
        <w:spacing w:line="560" w:lineRule="exact"/>
        <w:ind w:firstLine="803" w:firstLineChars="25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lang w:val="zh-CN"/>
        </w:rPr>
        <w:t>3.追加预算安排支出情况。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黑水县财政局2024年追加预算安排213.06万元。安排基本支出追加63.97万元，项目支出追加149.09万元</w:t>
      </w:r>
      <w:r>
        <w:rPr>
          <w:rFonts w:hint="eastAsia" w:ascii="仿宋_GB2312" w:hAnsi="仿宋_GB2312" w:cs="仿宋_GB2312"/>
        </w:rPr>
        <w:t>。</w:t>
      </w:r>
    </w:p>
    <w:p>
      <w:pPr>
        <w:adjustRightInd w:val="0"/>
        <w:snapToGrid w:val="0"/>
        <w:spacing w:line="560" w:lineRule="exact"/>
        <w:ind w:firstLine="642" w:firstLineChars="200"/>
        <w:contextualSpacing/>
        <w:jc w:val="left"/>
        <w:rPr>
          <w:rFonts w:eastAsia="楷体_GB2312"/>
          <w:b/>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lang w:val="zh-CN"/>
        </w:rPr>
      </w:pPr>
      <w:r>
        <w:rPr>
          <w:rFonts w:hint="eastAsia" w:ascii="仿宋_GB2312" w:hAnsi="仿宋_GB2312" w:cs="仿宋_GB2312"/>
          <w:color w:val="000000"/>
          <w:kern w:val="0"/>
          <w:szCs w:val="32"/>
        </w:rPr>
        <w:t>黑水县财政局2024年决算报表无结转结余情况。</w:t>
      </w:r>
    </w:p>
    <w:p>
      <w:pPr>
        <w:adjustRightInd w:val="0"/>
        <w:snapToGrid w:val="0"/>
        <w:spacing w:line="560"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（一）部门预算总体绩效分析（分值65分，自评得分58分）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根据2024年财政工作要点和职能职责，结合单位实际，</w:t>
      </w:r>
      <w:r>
        <w:rPr>
          <w:rFonts w:hint="eastAsia" w:ascii="仿宋_GB2312" w:hAnsi="仿宋_GB2312" w:cs="仿宋_GB2312"/>
          <w:color w:val="000000"/>
          <w:kern w:val="0"/>
          <w:szCs w:val="32"/>
          <w:shd w:val="clear" w:color="auto" w:fill="FFFFFF"/>
          <w:lang w:val="zh-CN"/>
        </w:rPr>
        <w:t>部门预算绩效目标紧紧围绕履职效能、预算管理、财务管理、资产管理、采购管理方面设定全面绩效目标。</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履职效能。(分值15分，自评得分15分)</w:t>
      </w:r>
    </w:p>
    <w:p>
      <w:pPr>
        <w:spacing w:line="560" w:lineRule="exact"/>
        <w:ind w:firstLine="642" w:firstLineChars="200"/>
        <w:jc w:val="left"/>
        <w:rPr>
          <w:rFonts w:ascii="仿宋_GB2312" w:hAnsi="仿宋_GB2312" w:cs="仿宋_GB2312"/>
          <w:szCs w:val="32"/>
        </w:rPr>
      </w:pPr>
      <w:r>
        <w:rPr>
          <w:rFonts w:hint="eastAsia" w:ascii="仿宋_GB2312" w:hAnsi="仿宋_GB2312" w:cs="仿宋_GB2312"/>
          <w:b/>
          <w:szCs w:val="32"/>
        </w:rPr>
        <w:t>一是</w:t>
      </w:r>
      <w:r>
        <w:rPr>
          <w:rFonts w:hint="eastAsia" w:ascii="仿宋_GB2312" w:hAnsi="仿宋_GB2312" w:cs="仿宋_GB2312"/>
          <w:szCs w:val="32"/>
        </w:rPr>
        <w:t>预算执行管理不断加强。通过建立执行数据动态监控机制、提高财政资金拨付效率、加快预算执行进度，提高预算执行效率。</w:t>
      </w:r>
      <w:r>
        <w:rPr>
          <w:rFonts w:hint="eastAsia" w:ascii="仿宋_GB2312" w:hAnsi="仿宋_GB2312" w:cs="仿宋_GB2312"/>
          <w:b/>
          <w:szCs w:val="32"/>
        </w:rPr>
        <w:t>二是</w:t>
      </w:r>
      <w:r>
        <w:rPr>
          <w:rFonts w:hint="eastAsia" w:ascii="仿宋_GB2312" w:hAnsi="仿宋_GB2312" w:cs="仿宋_GB2312"/>
          <w:szCs w:val="32"/>
        </w:rPr>
        <w:t>持续提升财政管理服务水平，规范全口径预算管理、国库管理，会计信息质量监督管理等全过程动态监管机制不断健全。</w:t>
      </w:r>
      <w:r>
        <w:rPr>
          <w:rFonts w:hint="eastAsia" w:ascii="仿宋_GB2312" w:hAnsi="仿宋_GB2312" w:cs="仿宋_GB2312"/>
          <w:b/>
          <w:szCs w:val="32"/>
        </w:rPr>
        <w:t>三是</w:t>
      </w:r>
      <w:r>
        <w:rPr>
          <w:rFonts w:hint="eastAsia" w:ascii="仿宋_GB2312" w:hAnsi="仿宋_GB2312" w:cs="仿宋_GB2312"/>
          <w:szCs w:val="32"/>
        </w:rPr>
        <w:t>强化监督检查，确保各项财政政策的实施和财政资金安全、规范、有效运行。</w:t>
      </w:r>
      <w:r>
        <w:rPr>
          <w:rFonts w:hint="eastAsia" w:ascii="仿宋_GB2312" w:hAnsi="仿宋_GB2312" w:cs="仿宋_GB2312"/>
          <w:b/>
          <w:szCs w:val="32"/>
        </w:rPr>
        <w:t>四是</w:t>
      </w:r>
      <w:r>
        <w:rPr>
          <w:rFonts w:hint="eastAsia" w:ascii="仿宋_GB2312" w:hAnsi="仿宋_GB2312" w:cs="仿宋_GB2312"/>
          <w:szCs w:val="32"/>
        </w:rPr>
        <w:t>严格执行中央八项规定精神和党政机关厉行节约反对浪费条例，认真执行会议费、培训费、差旅费管理办法等有关规定，严格控制“三公”经费和一般性公用经费支出。</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w:t>
      </w:r>
      <w:r>
        <w:rPr>
          <w:rFonts w:hint="eastAsia" w:ascii="仿宋_GB2312" w:hAnsi="仿宋_GB2312" w:cs="仿宋_GB2312"/>
          <w:b/>
          <w:bCs/>
          <w:color w:val="000000"/>
          <w:kern w:val="0"/>
          <w:szCs w:val="32"/>
          <w:shd w:val="clear" w:color="auto" w:fill="FFFFFF"/>
          <w:lang w:val="zh-CN"/>
        </w:rPr>
        <w:t>预算管理。（分值25分，自评得分19分）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（1）预算编制质量。（分值8分，自评得分6分）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rPr>
        <w:t>黑水县财政局</w:t>
      </w:r>
      <w:r>
        <w:rPr>
          <w:rFonts w:hint="eastAsia" w:ascii="仿宋_GB2312" w:hAnsi="仿宋_GB2312" w:cs="仿宋_GB2312"/>
          <w:szCs w:val="32"/>
        </w:rPr>
        <w:t>年度预算与中期规划和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信息运维服务、财政委托业务、其他财政事务等重点项目任务完成目标。</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（2）单位收入统筹。（分值4分，自评得分4分）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rPr>
        <w:t>黑水县财政局的收入全部为</w:t>
      </w:r>
      <w:r>
        <w:rPr>
          <w:rFonts w:hint="eastAsia" w:ascii="仿宋_GB2312" w:hAnsi="仿宋_GB2312" w:cs="仿宋_GB2312"/>
          <w:color w:val="000000"/>
          <w:kern w:val="0"/>
          <w:szCs w:val="32"/>
        </w:rPr>
        <w:t>一般公共预算财政拨款</w:t>
      </w:r>
      <w:r>
        <w:rPr>
          <w:rFonts w:hint="eastAsia" w:ascii="仿宋_GB2312" w:hAnsi="仿宋_GB2312" w:cs="仿宋_GB2312"/>
        </w:rPr>
        <w:t>收入和其他收入，收入来源合规。</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（3）支出执行进度。（分值6分，自评得分2分）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黑水县财政局在执行过程中，截止6月30日完成预算执行进度42.64%，未达到50%；截止10月31日完成预算执行进度70.42%，未达到83.33%；12月完成预算进度达到100%。</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（4）预算年终结余。（分值2分，自评得分2分）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黑水县财政局在2024年决算报表无部门预算年终结余资金。</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（5）严控一般性支出。（分值5分，自评得分5分）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严格执行批复的各项支出预算，不擅自扩大支出范围、提高开支标准，严格按照预算批复的支出用途使用资金。一般性支出财政拨款年初预算数36.35万元（“三公”经费12.35万元、会议费0万元、培训费4万元、差旅费20万元）较上年40.35万元（“三公”经费12.5万元、会议费0万元、培训费4万元、差旅费25万元）实现压减11%；一般性支出财政拨款预算执行21.29万元（“三公”经费6.45万元、会议费0万元、培训费2.39万元、差旅费12.45万元）较上年23.67万元（“三公”经费6.57万元、会议费0万元、培训费4.41万元、差旅费12.69万元）实现压减11.18%。</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财务管理。（分值10分，自评得分10分）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（1）财务管理制度。（分值4分，自评得分4分）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执行《预算法》《政府会计制度》《黑水县财政局机关内部控制制度汇编》、《黑水县财政局机关内部控制手册》、《黑水县党政机关国内公务接待管理实施细则》、《黑水县行政事业单位会议费管理办法》、《黑水县行政事业单位差旅费管理办法》及相关财务管理规定的要求执行。</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（2）财务岗位设置。（分值2分，自评得分2分）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单位财务由局党组书记、局长和分管财务的领导负责，设会计、出纳各一名。</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（3）资金使用规范。（分值4分，自评得分4分）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按照财务制度，对财务支出严格把关，确保经费使用合理规范，各项支出符合国家财经法规和财务管理制度规定；资金支付具有完整的审批程序和手续，符合部门预算批复的用途，不存在截留、挤占、挪用、虚列支出等情况。</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4.</w:t>
      </w:r>
      <w:r>
        <w:rPr>
          <w:rFonts w:hint="eastAsia" w:ascii="仿宋_GB2312" w:hAnsi="仿宋_GB2312" w:cs="仿宋_GB2312"/>
          <w:b/>
          <w:bCs/>
          <w:color w:val="000000"/>
          <w:kern w:val="0"/>
          <w:szCs w:val="32"/>
          <w:shd w:val="clear" w:color="auto" w:fill="FFFFFF"/>
          <w:lang w:val="zh-CN"/>
        </w:rPr>
        <w:t>资产管理。（分值9分，自评得8分）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（1）人均资产变化率。（分值3分，自评得分2分）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黑水县财政局2024年资产852.21万元，32人， 2023年资产933.84万元，38人，我单位人均资产通过资产占有情况和人口数量相比，资产得到有效利用。</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（2）人均资产利用率。（分值3分，自评得分3分）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严格执行《行政事业单位国有资产管理暂行办法》（财政部令35号）《行政事业性国有资产管理条例》（国务院令738号）《四川省行政事业性国有资产管理办法》《四川省省直行政事业单位国有资产管理办法》（川办发〔2023〕20号）《阿坝州州直行政事业单位国有资产管理办法》（阿府办发〔2024〕9号）等有关规定，加强资产管理，建立资产管理制度，将各类资产录入到国有资产管理系统，实行资产动态管理。同时</w:t>
      </w:r>
      <w:r>
        <w:rPr>
          <w:rFonts w:hint="eastAsia" w:ascii="仿宋_GB2312" w:hAnsi="仿宋_GB2312" w:cs="仿宋_GB2312"/>
          <w:szCs w:val="32"/>
          <w:lang w:eastAsia="zh-CN"/>
        </w:rPr>
        <w:t>对</w:t>
      </w:r>
      <w:r>
        <w:rPr>
          <w:rFonts w:hint="eastAsia" w:ascii="仿宋_GB2312" w:hAnsi="仿宋_GB2312" w:cs="仿宋_GB2312"/>
          <w:szCs w:val="32"/>
        </w:rPr>
        <w:t>单位资产实行“谁使用、谁负责”的管理原则，及时进行资产清查盘点，资产保存完整、使用合规、配置合理。资产账务管理合规，账实相符。2024年度资产处置规范。无闲置资产，固定资产利用率为100%。</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（3）资产盘活率。（分值3分，自评得分3分）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黑水县财政局2024年无闲置一年以上的资产。</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5.</w:t>
      </w:r>
      <w:r>
        <w:rPr>
          <w:rFonts w:hint="eastAsia" w:ascii="仿宋_GB2312" w:hAnsi="仿宋_GB2312" w:cs="仿宋_GB2312"/>
          <w:b/>
          <w:bCs/>
          <w:color w:val="000000"/>
          <w:kern w:val="0"/>
          <w:szCs w:val="32"/>
          <w:shd w:val="clear" w:color="auto" w:fill="FFFFFF"/>
          <w:lang w:val="zh-CN"/>
        </w:rPr>
        <w:t>采购管理。（分值6分，自评得分6分）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（1）支持中小企业发展。（分值3分，自评得分3分）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遵守《中华人民共和国政府采购实施条例》《中华人民共和国政府采购法》等政府采购相关法律法规，严格执行单位政府采购管理制度，对纳入政府采购的项目必须实行政府采购，严格按照政府采购组织形式与方式加强政府采购内部监督管理，严格履行政府采购审批程序。</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（2）采购执行率。（分值3分，自评得分3分）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黑水县财政局2024年有政府采购服务项目3个，其中采购</w:t>
      </w:r>
      <w:r>
        <w:rPr>
          <w:rFonts w:hint="eastAsia" w:ascii="仿宋_GB2312" w:hAnsi="仿宋_GB2312" w:cs="仿宋_GB2312"/>
        </w:rPr>
        <w:t>A3专用复印纸10件70克50包0.233万元；采购A4专用复印纸10件70克50包0.113万元；采购A4复印纸20件75克160包0.336万元，共计支付0.68万元</w:t>
      </w:r>
      <w:r>
        <w:rPr>
          <w:rFonts w:hint="eastAsia" w:ascii="仿宋_GB2312" w:hAnsi="仿宋_GB2312" w:cs="仿宋_GB2312"/>
          <w:szCs w:val="32"/>
        </w:rPr>
        <w:t>，采购执行率100%，不存在政府采购项目资金未支付情况。</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（二）部门预算项目绩效分析（分值35分，自评得分35分）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常年项目绩效分析。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3</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 xml:space="preserve">   230.83</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阶段（一次性）项目绩效分析。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20.54</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项目决策。(分值12分，自评得分12分)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（1）决策程序。（分值4分，自评得分4分）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黑水县财政局的部门预算项目总数4个，其中常年项目3个，分别为：财政信息化运维服务项目（含</w:t>
      </w:r>
      <w:r>
        <w:rPr>
          <w:rFonts w:hint="eastAsia" w:ascii="仿宋_GB2312" w:hAnsi="仿宋_GB2312" w:cs="仿宋_GB2312"/>
        </w:rPr>
        <w:t>资产管理系统、预算一体化、政府综合财务报告、金财网运维、财政债务咨询等服务费</w:t>
      </w:r>
      <w:r>
        <w:rPr>
          <w:rFonts w:hint="eastAsia" w:ascii="仿宋_GB2312" w:hAnsi="仿宋_GB2312" w:cs="仿宋_GB2312"/>
          <w:szCs w:val="32"/>
        </w:rPr>
        <w:t>）、财政委托业务经费项目、财政一般行政管理事务经费项目（财政购买人员劳务派遣、财政局机关食堂）。阶段（一次性）项目1个，为：</w:t>
      </w:r>
      <w:r>
        <w:rPr>
          <w:rFonts w:hint="eastAsia" w:ascii="仿宋_GB2312" w:hAnsi="仿宋_GB2312" w:cs="仿宋_GB2312"/>
        </w:rPr>
        <w:t>会议室云端系统提升改造</w:t>
      </w:r>
      <w:r>
        <w:rPr>
          <w:rFonts w:hint="eastAsia" w:ascii="仿宋_GB2312" w:hAnsi="仿宋_GB2312" w:cs="仿宋_GB2312"/>
          <w:szCs w:val="32"/>
        </w:rPr>
        <w:t>。本单位的4个项目召开党组会通过，申报程序合理，按规定开展事前评估论证、与部门“三定”方案确定的职责和部门中长期发展规划相匹配，符合部门年度工作任务。</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（2）目标设置。（分值4分，自评得分4分）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在设置部门预算绩效目标时，根据2023年度工作总结及2024年度工作计划、部门职能职责、重点工作安排部署等资料设定部门预算绩效目标，绩效目标设置科学合理，规范完整，量化细化，与预算匹配。并分解为30条绩效指标，其中：数量指标14条、质量指标5条、时效指标3条，可持续影响指标4条，服务对象满意度指标1条、满意度指标3条。具体情况见下表：</w:t>
      </w:r>
    </w:p>
    <w:tbl>
      <w:tblPr>
        <w:tblStyle w:val="13"/>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全年执行情况</w:t>
            </w:r>
          </w:p>
        </w:tc>
      </w:tr>
      <w:tr>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开展互联网+精准扶贫代理记账系统维护量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≥16个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16个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数据中心机房设备维护量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≥5套</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5套</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债务管理及监测平台系统维护单位数量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会议视频系统升级改造</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≥1套</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1套</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开展项目评审出具的评审报告</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≥150个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150个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绩效管理部门工作指导部门数量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rPr>
                <w:rFonts w:ascii="宋体" w:hAnsi="宋体" w:eastAsia="宋体" w:cs="宋体"/>
                <w:color w:val="000000"/>
                <w:kern w:val="0"/>
                <w:sz w:val="21"/>
                <w:szCs w:val="21"/>
              </w:rPr>
            </w:pPr>
            <w:r>
              <w:rPr>
                <w:rFonts w:hint="eastAsia" w:ascii="宋体" w:hAnsi="宋体" w:eastAsia="宋体" w:cs="宋体"/>
                <w:color w:val="000000"/>
                <w:spacing w:val="-17"/>
                <w:kern w:val="0"/>
                <w:sz w:val="21"/>
                <w:szCs w:val="21"/>
              </w:rPr>
              <w:t>开展部门整体支出绩效评价数量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开展政策和项目支出绩效评价数量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30个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部门项目财务核算数量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8个</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食堂工作日卫生每天保洁次数</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3次</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食堂工作日每天出餐次数</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3次</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劳务人员发放工资及时性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等于12月</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12月</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劳务派遣人数</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等于5人</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5人</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干部职工用餐完成及时率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运维服务响应时间</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≦5分钟</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5分钟</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确保财政业务系统平稳运行</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项目评审报告合格率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食品质量安全保障率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等于100%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项目评审审减率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w:t>
            </w:r>
          </w:p>
        </w:tc>
      </w:tr>
      <w:tr>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pPr>
            <w:r>
              <w:rPr>
                <w:rFonts w:hint="eastAsia" w:ascii="宋体" w:hAnsi="宋体" w:eastAsia="宋体" w:cs="宋体"/>
                <w:color w:val="000000"/>
                <w:kern w:val="0"/>
                <w:sz w:val="21"/>
                <w:szCs w:val="21"/>
              </w:rPr>
              <w:t>可持续影响指标</w:t>
            </w:r>
          </w:p>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用餐环境健康保障率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财政业务系统应用持续性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等于5套</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5套</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r>
      <w:tr>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被评价部门的满意度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r>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被指导部门的满意度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bl>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（3）项目入库。（分值4分，自评得分4分）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黑水县财政局部门预算项目在年初预算安排党组会通过时，将项目在规定期限内入库。</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2.项目执行</w:t>
      </w:r>
      <w:r>
        <w:rPr>
          <w:rFonts w:hint="eastAsia" w:ascii="仿宋_GB2312" w:hAnsi="仿宋_GB2312" w:cs="仿宋_GB2312"/>
          <w:b/>
          <w:bCs/>
          <w:color w:val="000000"/>
          <w:kern w:val="0"/>
          <w:szCs w:val="32"/>
          <w:shd w:val="clear" w:color="auto" w:fill="FFFFFF"/>
          <w:lang w:val="zh-CN"/>
        </w:rPr>
        <w:t>。（分值12分，自评得分12分）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（1）执行同向。</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黑水县财政局部门预算项目列支内容与绩效目标设置方向相符，</w:t>
      </w:r>
      <w:r>
        <w:rPr>
          <w:rFonts w:hint="eastAsia" w:ascii="仿宋_GB2312" w:hAnsi="仿宋_GB2312" w:cs="仿宋_GB2312"/>
          <w:szCs w:val="32"/>
        </w:rPr>
        <w:t>重点项目明确实施主体责任，制定具体的、可行的、操作性强的方案</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（2）项目调整。</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黑水县财政局除落实国家政策、发生不可抗力、上级部门或县委县政府临时交办而必须调整预算外，严格按照批复执行预算，同时“三公”经费节支增效。</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lang w:val="zh-CN"/>
        </w:rPr>
        <w:t>（3）执行结果。</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黑水县财政局部门预算执行完成，执行率100%。</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目标实现。（分值11分，自评得分11分）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（1）目标完成。</w:t>
      </w:r>
      <w:r>
        <w:rPr>
          <w:rFonts w:hint="eastAsia" w:ascii="仿宋_GB2312" w:hAnsi="仿宋_GB2312" w:cs="仿宋_GB2312"/>
          <w:szCs w:val="32"/>
        </w:rPr>
        <w:t>（分值4分，自评得分4分）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黑水县财政局紧紧围绕年初制定的各项工作计划，切实加强组织领导，落实工作责任，全面完成了各项目标任务，为实现全县财政运行平稳，全面履行了财政职责职能。</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（2）目标偏离。</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黑水县财政局部门预算项目绩效目标数量指标实现程度不存在与预期目标偏离。</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（3）实现效果。</w:t>
      </w:r>
      <w:r>
        <w:rPr>
          <w:rFonts w:hint="eastAsia" w:ascii="仿宋_GB2312" w:hAnsi="仿宋_GB2312" w:cs="仿宋_GB2312"/>
          <w:szCs w:val="32"/>
        </w:rPr>
        <w:t>（分值4分，自评得分4分）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部门立足本职，围绕中心，服务大局，部门支出保障工作正常运转，部门预算执行有效，充分发挥了资金使用效益。充分发挥财政职能，为促进我县经济社会发展，取得了一定经济、社会效益。</w:t>
      </w:r>
    </w:p>
    <w:p>
      <w:pPr>
        <w:snapToGrid w:val="0"/>
        <w:spacing w:line="560" w:lineRule="exact"/>
        <w:ind w:firstLine="642" w:firstLineChars="200"/>
        <w:rPr>
          <w:rFonts w:eastAsia="楷体_GB2312"/>
          <w:b/>
          <w:bCs/>
          <w:szCs w:val="32"/>
          <w:lang w:val="zh-CN"/>
        </w:rPr>
      </w:pPr>
      <w:r>
        <w:rPr>
          <w:rFonts w:eastAsia="楷体_GB2312"/>
          <w:b/>
          <w:bCs/>
          <w:szCs w:val="32"/>
          <w:lang w:val="zh-CN"/>
        </w:rPr>
        <w:t>（</w:t>
      </w:r>
      <w:r>
        <w:rPr>
          <w:rFonts w:hint="eastAsia" w:eastAsia="楷体_GB2312"/>
          <w:b/>
          <w:bCs/>
          <w:szCs w:val="32"/>
          <w:lang w:val="zh-CN"/>
        </w:rPr>
        <w:t>三</w:t>
      </w:r>
      <w:r>
        <w:rPr>
          <w:rFonts w:eastAsia="楷体_GB2312"/>
          <w:b/>
          <w:bCs/>
          <w:szCs w:val="32"/>
          <w:lang w:val="zh-CN"/>
        </w:rPr>
        <w:t>）重点领域绩效分析</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rPr>
      </w:pPr>
      <w:r>
        <w:rPr>
          <w:rFonts w:hint="eastAsia" w:ascii="仿宋_GB2312" w:hAnsi="仿宋_GB2312" w:cs="仿宋_GB2312"/>
          <w:b/>
          <w:bCs/>
          <w:color w:val="000000"/>
          <w:kern w:val="0"/>
          <w:szCs w:val="32"/>
          <w:shd w:val="clear" w:color="auto" w:fill="FFFFFF"/>
        </w:rPr>
        <w:t>1.行政事业性国有资产。</w:t>
      </w:r>
    </w:p>
    <w:p>
      <w:pPr>
        <w:adjustRightInd w:val="0"/>
        <w:snapToGrid w:val="0"/>
        <w:spacing w:line="560" w:lineRule="exact"/>
        <w:ind w:firstLine="640" w:firstLineChars="200"/>
        <w:contextualSpacing/>
        <w:jc w:val="left"/>
        <w:rPr>
          <w:rStyle w:val="30"/>
          <w:rFonts w:ascii="仿宋_GB2312" w:hAnsi="仿宋_GB2312" w:cs="仿宋_GB2312"/>
        </w:rPr>
      </w:pPr>
      <w:r>
        <w:rPr>
          <w:rFonts w:hint="eastAsia" w:ascii="仿宋_GB2312" w:hAnsi="仿宋_GB2312" w:cs="仿宋_GB2312"/>
          <w:szCs w:val="32"/>
        </w:rPr>
        <w:t>截止2024年12月31日，黑水县财政局2024年资产原值852.21万元，固定资产累计折旧435.37万元，固定资产净值416.84万元。从资产总体情况分析，资产总计434.24万元较上年416.22万元增加18.02万元，其中流动资产17.41万元，占比4.01%，非流动资产416.84万元，占比95.99%；负债总计15.95万元，较上年27.63万元减少11.68万元，其中流动负债15.95万元，占比100%，非流动负债0万元，占比0%；从资产类别分析，</w:t>
      </w:r>
      <w:r>
        <w:rPr>
          <w:rStyle w:val="30"/>
          <w:rFonts w:hint="eastAsia" w:ascii="仿宋_GB2312" w:hAnsi="仿宋_GB2312" w:cs="仿宋_GB2312"/>
        </w:rPr>
        <w:t>房屋和构筑物587.37万元，占比68.92%；设备228.63万元，占比26.83%；家具和用具、</w:t>
      </w:r>
      <w:r>
        <w:rPr>
          <w:rStyle w:val="31"/>
          <w:rFonts w:hint="eastAsia" w:ascii="仿宋_GB2312" w:hAnsi="仿宋_GB2312" w:cs="仿宋_GB2312"/>
        </w:rPr>
        <w:t>装具及动植物36.21</w:t>
      </w:r>
      <w:r>
        <w:rPr>
          <w:rStyle w:val="30"/>
          <w:rFonts w:hint="eastAsia" w:ascii="仿宋_GB2312" w:hAnsi="仿宋_GB2312" w:cs="仿宋_GB2312"/>
        </w:rPr>
        <w:t>万元，占比4.25%。</w:t>
      </w:r>
    </w:p>
    <w:p>
      <w:pPr>
        <w:adjustRightInd w:val="0"/>
        <w:snapToGrid w:val="0"/>
        <w:spacing w:line="560" w:lineRule="exact"/>
        <w:ind w:firstLine="642" w:firstLineChars="200"/>
        <w:contextualSpacing/>
        <w:jc w:val="left"/>
        <w:rPr>
          <w:rFonts w:ascii="仿宋_GB2312" w:hAnsi="仿宋_GB2312" w:cs="仿宋_GB2312"/>
          <w:highlight w:val="yellow"/>
        </w:rPr>
      </w:pPr>
      <w:r>
        <w:rPr>
          <w:rFonts w:hint="eastAsia" w:ascii="仿宋_GB2312" w:hAnsi="仿宋_GB2312" w:cs="仿宋_GB2312"/>
          <w:b/>
          <w:bCs/>
          <w:color w:val="000000"/>
          <w:kern w:val="0"/>
          <w:szCs w:val="32"/>
          <w:shd w:val="clear" w:color="auto" w:fill="FFFFFF"/>
        </w:rPr>
        <w:t>2.政府采购。</w:t>
      </w:r>
      <w:r>
        <w:rPr>
          <w:rFonts w:hint="eastAsia" w:ascii="仿宋_GB2312" w:hAnsi="仿宋_GB2312" w:cs="仿宋_GB2312"/>
          <w:szCs w:val="32"/>
        </w:rPr>
        <w:t>截止2024年12月31日，黑水县财政局有政府采购服务项目3个，其中采购</w:t>
      </w:r>
      <w:r>
        <w:rPr>
          <w:rFonts w:hint="eastAsia" w:ascii="仿宋_GB2312" w:hAnsi="仿宋_GB2312" w:cs="仿宋_GB2312"/>
        </w:rPr>
        <w:t>A3专用复印纸10件70克50包0.233万元；采购A4专用复印纸10件70克50包0.113万元；采购A4复印纸20件75克160包0.336万元</w:t>
      </w:r>
      <w:r>
        <w:rPr>
          <w:rFonts w:hint="eastAsia" w:ascii="仿宋_GB2312" w:hAnsi="仿宋_GB2312" w:cs="仿宋_GB2312"/>
          <w:szCs w:val="32"/>
        </w:rPr>
        <w:t>。</w:t>
      </w:r>
    </w:p>
    <w:p>
      <w:pPr>
        <w:snapToGrid w:val="0"/>
        <w:spacing w:line="560" w:lineRule="exact"/>
        <w:ind w:firstLine="642" w:firstLineChars="200"/>
        <w:rPr>
          <w:rFonts w:eastAsia="楷体_GB2312"/>
          <w:b/>
          <w:bCs/>
          <w:szCs w:val="32"/>
          <w:highlight w:val="yellow"/>
          <w:lang w:val="zh-CN"/>
        </w:rPr>
      </w:pPr>
      <w:r>
        <w:rPr>
          <w:rFonts w:eastAsia="楷体_GB2312"/>
          <w:b/>
          <w:bCs/>
          <w:szCs w:val="32"/>
          <w:lang w:val="zh-CN"/>
        </w:rPr>
        <w:t>（四）绩效结果应用情况</w:t>
      </w:r>
    </w:p>
    <w:p>
      <w:pPr>
        <w:spacing w:line="560" w:lineRule="exact"/>
        <w:ind w:firstLine="642" w:firstLineChars="200"/>
        <w:rPr>
          <w:rFonts w:ascii="仿宋_GB2312" w:hAnsi="仿宋_GB2312" w:cs="仿宋_GB2312"/>
          <w:color w:val="333333"/>
          <w:kern w:val="0"/>
          <w:szCs w:val="32"/>
          <w:shd w:val="clear" w:color="auto" w:fill="FFFFFF"/>
        </w:rPr>
      </w:pPr>
      <w:r>
        <w:rPr>
          <w:rFonts w:hint="eastAsia" w:ascii="仿宋_GB2312" w:hAnsi="仿宋_GB2312" w:cs="仿宋_GB2312"/>
          <w:b/>
          <w:bCs/>
          <w:szCs w:val="32"/>
        </w:rPr>
        <w:t>1.围绕内部应用情况。</w:t>
      </w:r>
      <w:r>
        <w:rPr>
          <w:rFonts w:hint="eastAsia" w:ascii="仿宋_GB2312" w:hAnsi="仿宋_GB2312" w:cs="仿宋_GB2312"/>
          <w:b/>
          <w:szCs w:val="32"/>
        </w:rPr>
        <w:t>一是</w:t>
      </w:r>
      <w:r>
        <w:rPr>
          <w:rFonts w:hint="eastAsia" w:ascii="仿宋_GB2312" w:hAnsi="仿宋_GB2312" w:cs="仿宋_GB2312"/>
          <w:szCs w:val="32"/>
        </w:rPr>
        <w:t>黑水县财政局</w:t>
      </w:r>
      <w:r>
        <w:rPr>
          <w:rFonts w:hint="eastAsia" w:ascii="仿宋_GB2312" w:hAnsi="仿宋_GB2312" w:cs="仿宋_GB2312"/>
          <w:color w:val="333333"/>
          <w:kern w:val="0"/>
          <w:szCs w:val="32"/>
          <w:shd w:val="clear" w:color="auto" w:fill="FFFFFF"/>
        </w:rPr>
        <w:t>部门预算编制规范、准确，确保了部门正常运转和专项工作的顺利开展，较好完成年初绩效目标任务。</w:t>
      </w:r>
      <w:r>
        <w:rPr>
          <w:rFonts w:hint="eastAsia" w:ascii="仿宋_GB2312" w:hAnsi="仿宋_GB2312" w:cs="仿宋_GB2312"/>
          <w:b/>
          <w:color w:val="333333"/>
          <w:kern w:val="0"/>
          <w:szCs w:val="32"/>
          <w:shd w:val="clear" w:color="auto" w:fill="FFFFFF"/>
        </w:rPr>
        <w:t>二是</w:t>
      </w:r>
      <w:r>
        <w:rPr>
          <w:rFonts w:hint="eastAsia" w:ascii="仿宋_GB2312" w:hAnsi="仿宋_GB2312" w:cs="仿宋_GB2312"/>
          <w:color w:val="333333"/>
          <w:kern w:val="0"/>
          <w:szCs w:val="32"/>
          <w:shd w:val="clear" w:color="auto" w:fill="FFFFFF"/>
        </w:rPr>
        <w:t>部门决算按照县财政和上级财政要求进行编制，准确、详实、真实地反映了本单位财政收支情况。结合本单位实际情况按财经要求建立健全了财务管理制度、约束机制及监督机制，依法、有效地利用财政资金，提高财政资金使用效率，合理分配人、财、物，完成了部门职能目标，实现了较高的工作效率和支出绩效。</w:t>
      </w:r>
      <w:r>
        <w:rPr>
          <w:rFonts w:hint="eastAsia" w:ascii="仿宋_GB2312" w:hAnsi="仿宋_GB2312" w:cs="仿宋_GB2312"/>
          <w:b/>
          <w:color w:val="333333"/>
          <w:kern w:val="0"/>
          <w:szCs w:val="32"/>
          <w:shd w:val="clear" w:color="auto" w:fill="FFFFFF"/>
        </w:rPr>
        <w:t>三是</w:t>
      </w:r>
      <w:r>
        <w:rPr>
          <w:rFonts w:hint="eastAsia" w:ascii="仿宋_GB2312" w:hAnsi="仿宋_GB2312" w:cs="仿宋_GB2312"/>
          <w:color w:val="333333"/>
          <w:kern w:val="0"/>
          <w:szCs w:val="32"/>
          <w:shd w:val="clear" w:color="auto" w:fill="FFFFFF"/>
        </w:rPr>
        <w:t>作为全过程预算绩效管理的落脚点，我局高度重视部门的自评结果，及时整理、汇总、分析、反馈绩效自评结果，并将其作为改进预算管理和以后年度预算安排的重要依据。本绩效报告将向县财政局报送，拟公开于黑水财政局门户网站，并自愿接受社会各界人民群众的监督。</w:t>
      </w:r>
    </w:p>
    <w:p>
      <w:pPr>
        <w:snapToGrid w:val="0"/>
        <w:spacing w:line="560" w:lineRule="exact"/>
        <w:ind w:firstLine="642" w:firstLineChars="200"/>
        <w:rPr>
          <w:rFonts w:ascii="仿宋_GB2312" w:hAnsi="仿宋_GB2312" w:cs="仿宋_GB2312"/>
          <w:szCs w:val="32"/>
        </w:rPr>
      </w:pPr>
      <w:r>
        <w:rPr>
          <w:rFonts w:hint="eastAsia" w:ascii="仿宋_GB2312" w:hAnsi="仿宋_GB2312" w:cs="仿宋_GB2312"/>
          <w:b/>
          <w:bCs/>
          <w:szCs w:val="32"/>
        </w:rPr>
        <w:t>2.信息公开情况。</w:t>
      </w:r>
      <w:r>
        <w:rPr>
          <w:rFonts w:hint="eastAsia" w:ascii="仿宋_GB2312" w:hAnsi="仿宋_GB2312" w:cs="仿宋_GB2312"/>
          <w:szCs w:val="32"/>
        </w:rPr>
        <w:t>黑水县财政局按照上级要求，在政府网站上进行预算、决算公开。</w:t>
      </w:r>
    </w:p>
    <w:p>
      <w:pPr>
        <w:snapToGrid w:val="0"/>
        <w:spacing w:line="560" w:lineRule="exact"/>
        <w:ind w:firstLine="642" w:firstLineChars="200"/>
        <w:rPr>
          <w:szCs w:val="32"/>
        </w:rPr>
      </w:pPr>
      <w:r>
        <w:rPr>
          <w:rFonts w:hint="eastAsia" w:ascii="仿宋_GB2312" w:hAnsi="仿宋_GB2312" w:cs="仿宋_GB2312"/>
          <w:b/>
          <w:bCs/>
          <w:szCs w:val="32"/>
        </w:rPr>
        <w:t>3.整改反馈情况。</w:t>
      </w:r>
      <w:r>
        <w:rPr>
          <w:rFonts w:hint="eastAsia" w:ascii="仿宋_GB2312" w:hAnsi="仿宋_GB2312" w:cs="仿宋_GB2312"/>
          <w:szCs w:val="32"/>
        </w:rPr>
        <w:t>近三年内人大、纪检监察、审计、财政等部门各项检查、绩效评价等发现的问题进行整改。</w:t>
      </w:r>
    </w:p>
    <w:p>
      <w:pPr>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根据部门预算绩效评价指标体系，2024年自评得分为93分，评价等级为“优”。2024年，我局的预算编制全面、科学、合理，部门整体绩效目标与部门职责职能、部门年度重点工作任务相匹配，为部门履职尽责明确了方向，预算执行到位，预算管理规范，履职效益明显，重点工作任务资金安排得到有效保障，部门预算配置较为合理，部门各项经费支出合法合规，不存在挤占、挪用、截留等违规现象。严格执行各项财经法规和会计制度，财务管理和会计基础工作进一步规范，有效提升了部门整体支出管理水平。</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pPr>
        <w:spacing w:line="560" w:lineRule="exact"/>
        <w:ind w:firstLine="642" w:firstLineChars="200"/>
        <w:jc w:val="left"/>
        <w:rPr>
          <w:rFonts w:ascii="仿宋_GB2312" w:hAnsi="宋体"/>
          <w:szCs w:val="32"/>
        </w:rPr>
      </w:pPr>
      <w:r>
        <w:rPr>
          <w:rFonts w:hint="eastAsia" w:ascii="仿宋_GB2312" w:hAnsi="宋体"/>
          <w:b/>
          <w:bCs/>
          <w:szCs w:val="32"/>
        </w:rPr>
        <w:t>一是</w:t>
      </w:r>
      <w:r>
        <w:rPr>
          <w:rFonts w:hint="eastAsia" w:ascii="仿宋_GB2312" w:hAnsi="宋体"/>
          <w:szCs w:val="32"/>
        </w:rPr>
        <w:t>对预算绩效评价工作的重要性认识有待进一步提高，绩效评价制度建设和规范化管理还有待加强；</w:t>
      </w:r>
      <w:r>
        <w:rPr>
          <w:rFonts w:hint="eastAsia" w:ascii="仿宋_GB2312" w:hAnsi="宋体"/>
          <w:b/>
          <w:bCs/>
          <w:szCs w:val="32"/>
        </w:rPr>
        <w:t>二是</w:t>
      </w:r>
      <w:r>
        <w:rPr>
          <w:rFonts w:hint="eastAsia" w:ascii="仿宋_GB2312" w:hAnsi="宋体"/>
          <w:szCs w:val="32"/>
        </w:rPr>
        <w:t>项目支出绩效评价指标体系不完善，绩效目标设立不够明确、细化和量化；</w:t>
      </w:r>
      <w:r>
        <w:rPr>
          <w:rFonts w:hint="eastAsia" w:ascii="仿宋_GB2312" w:hAnsi="宋体"/>
          <w:b/>
          <w:bCs/>
          <w:szCs w:val="32"/>
        </w:rPr>
        <w:t>三是</w:t>
      </w:r>
      <w:r>
        <w:rPr>
          <w:rFonts w:hint="eastAsia" w:ascii="仿宋_GB2312" w:hAnsi="仿宋_GB2312" w:cs="仿宋_GB2312"/>
          <w:szCs w:val="32"/>
        </w:rPr>
        <w:t>个别支出支付进度安排不够合理。</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pPr>
        <w:adjustRightInd w:val="0"/>
        <w:snapToGrid w:val="0"/>
        <w:spacing w:line="560" w:lineRule="exact"/>
        <w:ind w:firstLine="642" w:firstLineChars="200"/>
        <w:contextualSpacing/>
        <w:jc w:val="left"/>
        <w:rPr>
          <w:rFonts w:ascii="仿宋_GB2312" w:hAnsi="仿宋_GB2312" w:cs="仿宋_GB2312"/>
          <w:kern w:val="0"/>
          <w:szCs w:val="32"/>
        </w:rPr>
      </w:pPr>
      <w:r>
        <w:rPr>
          <w:rFonts w:hint="eastAsia" w:ascii="仿宋_GB2312" w:hAnsi="宋体"/>
          <w:b/>
          <w:bCs/>
          <w:szCs w:val="32"/>
        </w:rPr>
        <w:t>一是</w:t>
      </w:r>
      <w:r>
        <w:rPr>
          <w:rFonts w:hint="eastAsia" w:ascii="仿宋_GB2312" w:hAnsi="宋体"/>
          <w:szCs w:val="32"/>
        </w:rPr>
        <w:t>及时调整和优化本部门后续项目和以后年度预算支出的方向和结构，合理配置资源。</w:t>
      </w:r>
      <w:r>
        <w:rPr>
          <w:rFonts w:hint="eastAsia" w:ascii="仿宋_GB2312" w:hAnsi="宋体"/>
          <w:b/>
          <w:bCs/>
          <w:szCs w:val="32"/>
        </w:rPr>
        <w:t>二是</w:t>
      </w:r>
      <w:r>
        <w:rPr>
          <w:rFonts w:hint="eastAsia" w:ascii="仿宋_GB2312" w:hAnsi="宋体"/>
          <w:szCs w:val="32"/>
        </w:rPr>
        <w:t>强化评价结果在项目申报和预算编制中的有效应用。</w:t>
      </w:r>
      <w:r>
        <w:rPr>
          <w:rFonts w:hint="eastAsia" w:ascii="仿宋_GB2312" w:hAnsi="宋体"/>
          <w:b/>
          <w:bCs/>
          <w:szCs w:val="32"/>
        </w:rPr>
        <w:t>三是</w:t>
      </w:r>
      <w:r>
        <w:rPr>
          <w:rFonts w:hint="eastAsia" w:ascii="仿宋_GB2312" w:hAnsi="宋体"/>
          <w:szCs w:val="32"/>
        </w:rPr>
        <w:t>促进单位规范使用资金。</w:t>
      </w:r>
    </w:p>
    <w:p>
      <w:pPr>
        <w:spacing w:line="560" w:lineRule="exact"/>
        <w:contextualSpacing/>
        <w:rPr>
          <w:rFonts w:eastAsia="黑体"/>
          <w:szCs w:val="32"/>
        </w:rPr>
      </w:pPr>
    </w:p>
    <w:p>
      <w:pPr>
        <w:spacing w:line="578" w:lineRule="exact"/>
        <w:ind w:firstLine="640" w:firstLineChars="200"/>
        <w:rPr>
          <w:rFonts w:ascii="仿宋_GB2312" w:hAnsi="仿宋_GB2312" w:cs="仿宋_GB2312"/>
          <w:szCs w:val="32"/>
        </w:rPr>
      </w:pPr>
      <w:r>
        <w:rPr>
          <w:rFonts w:hint="eastAsia"/>
          <w:color w:val="000000"/>
          <w:kern w:val="0"/>
          <w:szCs w:val="32"/>
          <w:shd w:val="clear" w:color="auto" w:fill="FFFFFF"/>
        </w:rPr>
        <w:t>附件：</w:t>
      </w:r>
      <w:r>
        <w:rPr>
          <w:rFonts w:hint="eastAsia" w:ascii="仿宋_GB2312" w:hAnsi="仿宋_GB2312" w:cs="仿宋_GB2312"/>
          <w:color w:val="000000"/>
          <w:kern w:val="0"/>
          <w:szCs w:val="32"/>
          <w:shd w:val="clear" w:color="auto" w:fill="FFFFFF"/>
        </w:rPr>
        <w:t>1.</w:t>
      </w:r>
      <w:r>
        <w:rPr>
          <w:rFonts w:hint="eastAsia" w:ascii="仿宋_GB2312" w:hAnsi="仿宋_GB2312" w:cs="仿宋_GB2312"/>
          <w:szCs w:val="32"/>
        </w:rPr>
        <w:t>部门预算绩效自评打分表</w:t>
      </w:r>
    </w:p>
    <w:p>
      <w:pPr>
        <w:spacing w:line="578" w:lineRule="exact"/>
        <w:ind w:firstLine="1600" w:firstLineChars="500"/>
        <w:rPr>
          <w:rFonts w:ascii="仿宋_GB2312" w:hAnsi="仿宋_GB2312" w:cs="仿宋_GB2312"/>
          <w:color w:val="000000"/>
          <w:kern w:val="0"/>
          <w:szCs w:val="32"/>
          <w:shd w:val="clear" w:color="auto" w:fill="FFFFFF"/>
        </w:rPr>
      </w:pPr>
      <w:r>
        <w:rPr>
          <w:rFonts w:hint="eastAsia" w:ascii="仿宋_GB2312" w:hAnsi="仿宋_GB2312" w:cs="仿宋_GB2312"/>
          <w:szCs w:val="32"/>
        </w:rPr>
        <w:t>2.</w:t>
      </w:r>
      <w:r>
        <w:rPr>
          <w:rFonts w:hint="eastAsia" w:ascii="仿宋_GB2312" w:hAnsi="仿宋_GB2312" w:cs="仿宋_GB2312"/>
          <w:color w:val="000000"/>
          <w:kern w:val="0"/>
          <w:szCs w:val="32"/>
          <w:shd w:val="clear" w:color="auto" w:fill="FFFFFF"/>
        </w:rPr>
        <w:t>部门整体绩效目标完成情况自评表</w:t>
      </w:r>
    </w:p>
    <w:p>
      <w:pPr>
        <w:spacing w:line="578" w:lineRule="exact"/>
        <w:ind w:firstLine="1600" w:firstLineChars="500"/>
        <w:rPr>
          <w:rFonts w:ascii="仿宋_GB2312" w:hAnsi="仿宋_GB2312" w:cs="仿宋_GB2312"/>
          <w:szCs w:val="32"/>
        </w:rPr>
      </w:pPr>
      <w:r>
        <w:rPr>
          <w:rFonts w:hint="eastAsia" w:ascii="仿宋_GB2312" w:hAnsi="仿宋_GB2312" w:cs="仿宋_GB2312"/>
          <w:color w:val="000000"/>
          <w:kern w:val="0"/>
          <w:szCs w:val="32"/>
          <w:shd w:val="clear" w:color="auto" w:fill="FFFFFF"/>
        </w:rPr>
        <w:t>3.</w:t>
      </w:r>
      <w:r>
        <w:rPr>
          <w:rFonts w:hint="eastAsia" w:ascii="仿宋_GB2312" w:hAnsi="仿宋_GB2312" w:cs="仿宋_GB2312"/>
          <w:szCs w:val="32"/>
        </w:rPr>
        <w:t>部门预算项目支出绩效自评表（2024年度）</w:t>
      </w:r>
    </w:p>
    <w:p>
      <w:pPr>
        <w:spacing w:line="560" w:lineRule="exact"/>
        <w:rPr>
          <w:color w:val="000000"/>
          <w:kern w:val="0"/>
          <w:szCs w:val="32"/>
          <w:shd w:val="clear" w:color="auto" w:fill="FFFFFF"/>
        </w:rPr>
      </w:pPr>
      <w:r>
        <w:rPr>
          <w:color w:val="000000"/>
          <w:kern w:val="0"/>
          <w:szCs w:val="32"/>
          <w:shd w:val="clear" w:color="auto" w:fill="FFFFFF"/>
        </w:rPr>
        <w:br w:type="page"/>
      </w:r>
    </w:p>
    <w:p>
      <w:pPr>
        <w:spacing w:line="578" w:lineRule="exact"/>
        <w:jc w:val="left"/>
        <w:rPr>
          <w:rFonts w:eastAsia="黑体"/>
        </w:rPr>
      </w:pP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3"/>
        <w:tblW w:w="0" w:type="auto"/>
        <w:jc w:val="center"/>
        <w:tblLayout w:type="autofit"/>
        <w:tblCellMar>
          <w:top w:w="0" w:type="dxa"/>
          <w:left w:w="108" w:type="dxa"/>
          <w:bottom w:w="0" w:type="dxa"/>
          <w:right w:w="108" w:type="dxa"/>
        </w:tblCellMar>
      </w:tblPr>
      <w:tblGrid>
        <w:gridCol w:w="802"/>
        <w:gridCol w:w="803"/>
        <w:gridCol w:w="1551"/>
        <w:gridCol w:w="523"/>
        <w:gridCol w:w="4203"/>
        <w:gridCol w:w="656"/>
        <w:gridCol w:w="523"/>
      </w:tblGrid>
      <w:tr>
        <w:tblPrEx>
          <w:tblCellMar>
            <w:top w:w="0" w:type="dxa"/>
            <w:left w:w="108" w:type="dxa"/>
            <w:bottom w:w="0" w:type="dxa"/>
            <w:right w:w="108" w:type="dxa"/>
          </w:tblCellMar>
        </w:tblPrEx>
        <w:trPr>
          <w:trHeight w:val="513"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rPr>
          <w:trHeight w:val="23" w:hRule="atLeast"/>
          <w:jc w:val="center"/>
        </w:trPr>
        <w:tc>
          <w:tcPr>
            <w:tcW w:w="0" w:type="auto"/>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履职效能</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预算执行管理</w:t>
            </w:r>
          </w:p>
        </w:tc>
        <w:tc>
          <w:tcPr>
            <w:tcW w:w="0" w:type="auto"/>
            <w:vMerge w:val="restart"/>
            <w:tcBorders>
              <w:top w:val="nil"/>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部门整体绩效目标中选定3-5个核心职能目标，反映该项职能目标完成效果情况</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持续提升财政管理服务水平</w:t>
            </w: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强化监督检查</w:t>
            </w: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执行中央八项规定精神和党政机关厉行节约</w:t>
            </w: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7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预算管理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（25分）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预算编制质量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部门是否严格按要求编制年初部门预算，年初预算编制的科学性和准确性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6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单位收入统筹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部门统筹自有收入程度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支出执行进度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部门1至6月、1至10月预算执行情况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预算年终结余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部门整体年终预算结余情况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严控一般性支出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部门严控“三公”经费、会议、培训、差旅、办节办展、办公设备购置、信息网络及软件购置更新、课题经费等8项一般性支出情况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财务管理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财务管理制度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部门财务管理制度建立情况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财务岗位设置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部门财务岗位设置是否符合相关财务管理制度要求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资金使用规范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部门资金使用是否符合相关财务管理制度规定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人均资产变化率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部门人均资产变化情况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35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部门资产超最低使用年限情况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82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资产盘活率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部门闲置一年以上的资产盘活情况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采购管理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支持中小企业发展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部门是否严格执行政府采购促进中小企业发展相关管理办法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采购执行率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部门政府采购项目资金支付比例情况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（35分）</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项目决策</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部门预算项目设立是否按规定履行评估论证、申报程序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部门预算项目绩效目标与计划期内的任务量、预算安排的资金量匹配情况，绩效目标设置是否科学合理、规范完整、量化细化、预算匹配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部门预算项目是否在规定时间完成项目入库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项目执行</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执行同向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部门预算项目实际列支内容是否与绩效目标设置方向相符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部门预算项目是否采取对应调整措施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执行结果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目标实现</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（11分）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目标偏离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部门预算项目绩效目标数量指标实现程度与预期目标的偏离情况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实现效果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部门预算项目绩效目标效益指标实施效果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扣分项</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bl>
    <w:p>
      <w:pPr>
        <w:spacing w:line="560" w:lineRule="exact"/>
        <w:rPr>
          <w:color w:val="000000"/>
          <w:kern w:val="0"/>
          <w:szCs w:val="32"/>
          <w:shd w:val="clear" w:color="auto" w:fill="FFFFFF"/>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rPr>
          <w:rFonts w:ascii="黑体" w:hAnsi="黑体" w:eastAsia="黑体" w:cs="黑体"/>
        </w:rPr>
      </w:pPr>
    </w:p>
    <w:p>
      <w:pPr>
        <w:spacing w:line="560" w:lineRule="exact"/>
      </w:pPr>
      <w:r>
        <w:rPr>
          <w:rFonts w:hint="eastAsia" w:ascii="黑体" w:hAnsi="黑体" w:eastAsia="黑体" w:cs="黑体"/>
        </w:rPr>
        <w:t>附表2</w:t>
      </w:r>
    </w:p>
    <w:tbl>
      <w:tblPr>
        <w:tblStyle w:val="13"/>
        <w:tblW w:w="0" w:type="auto"/>
        <w:tblInd w:w="-444" w:type="dxa"/>
        <w:tblLayout w:type="autofit"/>
        <w:tblCellMar>
          <w:top w:w="0" w:type="dxa"/>
          <w:left w:w="108" w:type="dxa"/>
          <w:bottom w:w="0" w:type="dxa"/>
          <w:right w:w="108" w:type="dxa"/>
        </w:tblCellMar>
      </w:tblPr>
      <w:tblGrid>
        <w:gridCol w:w="1288"/>
        <w:gridCol w:w="755"/>
        <w:gridCol w:w="888"/>
        <w:gridCol w:w="3618"/>
        <w:gridCol w:w="796"/>
        <w:gridCol w:w="820"/>
        <w:gridCol w:w="796"/>
        <w:gridCol w:w="544"/>
      </w:tblGrid>
      <w:tr>
        <w:tblPrEx>
          <w:tblCellMar>
            <w:top w:w="0" w:type="dxa"/>
            <w:left w:w="108" w:type="dxa"/>
            <w:bottom w:w="0" w:type="dxa"/>
            <w:right w:w="108" w:type="dxa"/>
          </w:tblCellMar>
        </w:tblPrEx>
        <w:trPr>
          <w:trHeight w:val="904" w:hRule="atLeast"/>
        </w:trPr>
        <w:tc>
          <w:tcPr>
            <w:tcW w:w="9505" w:type="dxa"/>
            <w:gridSpan w:val="8"/>
            <w:tcBorders>
              <w:top w:val="nil"/>
              <w:left w:val="nil"/>
              <w:bottom w:val="nil"/>
              <w:right w:val="nil"/>
            </w:tcBorders>
            <w:shd w:val="clear" w:color="auto" w:fill="auto"/>
            <w:vAlign w:val="center"/>
          </w:tcPr>
          <w:p>
            <w:pPr>
              <w:widowControl/>
              <w:jc w:val="center"/>
              <w:rPr>
                <w:rFonts w:ascii="黑体" w:hAnsi="黑体" w:eastAsia="黑体" w:cs="宋体"/>
                <w:color w:val="000000"/>
                <w:kern w:val="0"/>
                <w:sz w:val="30"/>
                <w:szCs w:val="30"/>
              </w:rPr>
            </w:pPr>
            <w:r>
              <w:rPr>
                <w:rFonts w:hint="eastAsia" w:ascii="方正小标宋_GBK" w:hAnsi="方正小标宋_GBK" w:eastAsia="方正小标宋_GBK" w:cs="方正小标宋_GBK"/>
                <w:color w:val="000000"/>
                <w:kern w:val="0"/>
                <w:sz w:val="44"/>
                <w:szCs w:val="44"/>
              </w:rPr>
              <w:t>部门整体支出绩效目标完成情况自评表</w:t>
            </w:r>
          </w:p>
        </w:tc>
      </w:tr>
      <w:tr>
        <w:tblPrEx>
          <w:tblCellMar>
            <w:top w:w="0" w:type="dxa"/>
            <w:left w:w="108" w:type="dxa"/>
            <w:bottom w:w="0" w:type="dxa"/>
            <w:right w:w="108" w:type="dxa"/>
          </w:tblCellMar>
        </w:tblPrEx>
        <w:trPr>
          <w:trHeight w:val="285" w:hRule="atLeast"/>
        </w:trPr>
        <w:tc>
          <w:tcPr>
            <w:tcW w:w="9505" w:type="dxa"/>
            <w:gridSpan w:val="8"/>
            <w:tcBorders>
              <w:top w:val="nil"/>
              <w:left w:val="nil"/>
              <w:bottom w:val="nil"/>
              <w:right w:val="nil"/>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21"/>
                <w:szCs w:val="21"/>
              </w:rPr>
              <w:t>（2024年度）</w:t>
            </w:r>
          </w:p>
        </w:tc>
      </w:tr>
      <w:tr>
        <w:tblPrEx>
          <w:tblCellMar>
            <w:top w:w="0" w:type="dxa"/>
            <w:left w:w="108" w:type="dxa"/>
            <w:bottom w:w="0" w:type="dxa"/>
            <w:right w:w="108" w:type="dxa"/>
          </w:tblCellMar>
        </w:tblPrEx>
        <w:trPr>
          <w:trHeight w:val="570" w:hRule="atLeast"/>
        </w:trPr>
        <w:tc>
          <w:tcPr>
            <w:tcW w:w="29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部门名称</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黑水县财政局</w:t>
            </w:r>
          </w:p>
        </w:tc>
      </w:tr>
      <w:tr>
        <w:tblPrEx>
          <w:tblCellMar>
            <w:top w:w="0" w:type="dxa"/>
            <w:left w:w="108" w:type="dxa"/>
            <w:bottom w:w="0" w:type="dxa"/>
            <w:right w:w="108" w:type="dxa"/>
          </w:tblCellMar>
        </w:tblPrEx>
        <w:trPr>
          <w:trHeight w:val="398" w:hRule="atLeast"/>
        </w:trPr>
        <w:tc>
          <w:tcPr>
            <w:tcW w:w="12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年度部门整体支出预算</w:t>
            </w: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资金总额</w:t>
            </w:r>
          </w:p>
        </w:tc>
        <w:tc>
          <w:tcPr>
            <w:tcW w:w="4414"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财政拨款</w:t>
            </w:r>
          </w:p>
        </w:tc>
        <w:tc>
          <w:tcPr>
            <w:tcW w:w="216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其他资金</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939.21</w:t>
            </w:r>
          </w:p>
        </w:tc>
        <w:tc>
          <w:tcPr>
            <w:tcW w:w="4414"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939.21</w:t>
            </w:r>
          </w:p>
        </w:tc>
        <w:tc>
          <w:tcPr>
            <w:tcW w:w="216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tblPrEx>
          <w:tblCellMar>
            <w:top w:w="0" w:type="dxa"/>
            <w:left w:w="108" w:type="dxa"/>
            <w:bottom w:w="0" w:type="dxa"/>
            <w:right w:w="108" w:type="dxa"/>
          </w:tblCellMar>
        </w:tblPrEx>
        <w:trPr>
          <w:trHeight w:val="1144" w:hRule="atLeast"/>
        </w:trPr>
        <w:tc>
          <w:tcPr>
            <w:tcW w:w="1288" w:type="dxa"/>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年度总体目标</w:t>
            </w:r>
          </w:p>
        </w:tc>
        <w:tc>
          <w:tcPr>
            <w:tcW w:w="8217" w:type="dxa"/>
            <w:gridSpan w:val="7"/>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坚持以习近平新时代中国特色社会主义思想为指导，</w:t>
            </w:r>
            <w:r>
              <w:rPr>
                <w:rFonts w:hint="eastAsia" w:ascii="宋体" w:hAnsi="宋体" w:eastAsia="宋体" w:cs="宋体"/>
                <w:color w:val="000000"/>
                <w:kern w:val="0"/>
                <w:sz w:val="21"/>
                <w:szCs w:val="21"/>
                <w:lang w:eastAsia="zh-CN"/>
              </w:rPr>
              <w:t>学习贯彻</w:t>
            </w:r>
            <w:r>
              <w:rPr>
                <w:rFonts w:hint="eastAsia" w:ascii="宋体" w:hAnsi="宋体" w:eastAsia="宋体" w:cs="宋体"/>
                <w:color w:val="000000"/>
                <w:kern w:val="0"/>
                <w:sz w:val="21"/>
                <w:szCs w:val="21"/>
              </w:rPr>
              <w:t>习近平新时代中国特色社会主义思想主题教育</w:t>
            </w:r>
            <w:bookmarkStart w:id="0" w:name="_GoBack"/>
            <w:bookmarkEnd w:id="0"/>
            <w:r>
              <w:rPr>
                <w:rFonts w:hint="eastAsia" w:ascii="宋体" w:hAnsi="宋体" w:eastAsia="宋体" w:cs="宋体"/>
                <w:color w:val="000000"/>
                <w:kern w:val="0"/>
                <w:sz w:val="21"/>
                <w:szCs w:val="21"/>
              </w:rPr>
              <w:t>为契机，深入学习贯彻党的二十大精神、习近平总书记来川视察重要指示精神、习近平总书记关于财政工作的重要论述，紧扣全省财政“支撑更加有力、绩效更加凸显、运行更加稳健”三大目标，锚定“一地三县六区”战略目标，秉持“小财政”办“大民生”理念，聚焦“拼经济、搞建设”，全力以赴在服务全县高质量发展大局中展现财政担当。</w:t>
            </w:r>
          </w:p>
        </w:tc>
      </w:tr>
      <w:tr>
        <w:trPr>
          <w:trHeight w:val="570" w:hRule="atLeast"/>
        </w:trPr>
        <w:tc>
          <w:tcPr>
            <w:tcW w:w="12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年度主要任务</w:t>
            </w: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任务名称</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主要内容</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强化财政评审，科学压减支出。</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以服务于全县财政投资项目建设为切入点，积极协调各项目单位，及时组织咨询服务机构高质、高效</w:t>
            </w:r>
            <w:r>
              <w:rPr>
                <w:rFonts w:hint="eastAsia" w:ascii="宋体" w:hAnsi="宋体" w:eastAsia="宋体" w:cs="宋体"/>
                <w:color w:val="000000"/>
                <w:kern w:val="0"/>
                <w:sz w:val="21"/>
                <w:szCs w:val="21"/>
                <w:lang w:eastAsia="zh-CN"/>
              </w:rPr>
              <w:t>地</w:t>
            </w:r>
            <w:r>
              <w:rPr>
                <w:rFonts w:hint="eastAsia" w:ascii="宋体" w:hAnsi="宋体" w:eastAsia="宋体" w:cs="宋体"/>
                <w:color w:val="000000"/>
                <w:kern w:val="0"/>
                <w:sz w:val="21"/>
                <w:szCs w:val="21"/>
              </w:rPr>
              <w:t>完成财评工作任务。</w:t>
            </w:r>
          </w:p>
        </w:tc>
      </w:tr>
      <w:tr>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聚焦“关键点”，用好“连环招”，扎实做好绩效管理。</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建成“全方位、全过程、全覆盖”预算绩效管理体系，将预算绩效作为财政管理的“底线”，不断夯实工作机制，推进工作落实。</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加强国库库款管理，规范集中支付。</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准确研判预算执行动态监控系统预警信息，不定期通报违规办理资金支付情况和直达资金监控工作，增强动态监控结果应用效果。</w:t>
            </w:r>
          </w:p>
        </w:tc>
      </w:tr>
      <w:tr>
        <w:trPr>
          <w:trHeight w:val="1065"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加强业务培训，夯实财会基础。</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 xml:space="preserve">围绕财政体制改革、国库集中收付改革、会计知识、社会保障、政府采购、专项资金监管等业务，组织专业培训，在加强对政府会计制度宣传培训基础上，针对会计人员在实务操作中遇到的问题，及时沟通解决，积极推进政府会计准则的全面有效实施，提升财会人员业务水平。 </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挖掘增收潜力，实现增长目标</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按照目标任务，强化目标指引，压实主体责任，强化协作配合打好财税部门“组合拳”，确保税收收入应收尽收。</w:t>
            </w:r>
          </w:p>
        </w:tc>
      </w:tr>
      <w:tr>
        <w:trPr>
          <w:trHeight w:val="945"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抓好队伍建设，提升服务效能。</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持续深入“制度、能力、作风”三项建设，大力发扬“三牛”精神，严格落实首问负责制、AB岗工作制、限时办结制、服务承诺制等制度，用制度规范干部职工行为，用制度促进工作高效落实，全力打造一支“讲政治、敢担当、善作为、保本色”的财政干部队伍。</w:t>
            </w:r>
          </w:p>
        </w:tc>
      </w:tr>
      <w:tr>
        <w:tblPrEx>
          <w:tblCellMar>
            <w:top w:w="0" w:type="dxa"/>
            <w:left w:w="108" w:type="dxa"/>
            <w:bottom w:w="0" w:type="dxa"/>
            <w:right w:w="108" w:type="dxa"/>
          </w:tblCellMar>
        </w:tblPrEx>
        <w:trPr>
          <w:trHeight w:val="1603"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强化资金保障，管好政府“钱袋子”</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深入推进预算管理一体化建设，促进预算管理“精算、精管、精准、精细”，强化财政监督检查，建立健全覆盖所有财政资金和财政运行全过程的监督机制，加大对重点单位、重点项目特别是民生资金的监督检查力度，确保各类资金安全规范运行。</w:t>
            </w:r>
          </w:p>
        </w:tc>
      </w:tr>
      <w:tr>
        <w:trPr>
          <w:trHeight w:val="679"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优化支出结构，提升资金质效。</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严格落实“三项清理”制度，坚决兜牢“三保”底线，全力支持重大项目建设、重点民生实事、乡村振兴等重点工作，在收支“紧平衡”的常态下，持续加大财政支农投入力度，推动三农工作高质高效。</w:t>
            </w:r>
          </w:p>
        </w:tc>
      </w:tr>
      <w:tr>
        <w:tblPrEx>
          <w:tblCellMar>
            <w:top w:w="0" w:type="dxa"/>
            <w:left w:w="108" w:type="dxa"/>
            <w:bottom w:w="0" w:type="dxa"/>
            <w:right w:w="108" w:type="dxa"/>
          </w:tblCellMar>
        </w:tblPrEx>
        <w:trPr>
          <w:trHeight w:val="675"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强化制度执行，筑牢廉洁“防火墙”</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抓实“党建+清廉机关”建设，坚持把纪律和规矩挺在前面，不断深化“2+2+1”决策机制，坚持用制度管权管事管人，积极构建“清风养正气、廉洁促发展”的清廉财政机关。</w:t>
            </w:r>
          </w:p>
        </w:tc>
      </w:tr>
      <w:tr>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兜牢兜实“三保”底线,发挥财政“压舱石”作用。</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继续实施“有保有压”的财政措施，按照“保民生、保工资、保运转、优结构、防风险”的序列合理安排预算支出。</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强抓“促监管”，推进“规范化”，促进寺庙标准规范。</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开展寺庙财税监管专项行动，督促指导8座藏传佛教寺庙建立健全财务管理制度并上墙。启动宗教财务系统，促进寺庙财税工作更加规范。</w:t>
            </w:r>
          </w:p>
        </w:tc>
      </w:tr>
      <w:tr>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统筹“建机制”，管理“保平安”，做好县属国企监管</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提高企业经营管理水平,建立健全现代企业制度,完善县国投公司法人结构，促进县国投公司效益增长</w:t>
            </w:r>
          </w:p>
        </w:tc>
      </w:tr>
      <w:tr>
        <w:tblPrEx>
          <w:tblCellMar>
            <w:top w:w="0" w:type="dxa"/>
            <w:left w:w="108" w:type="dxa"/>
            <w:bottom w:w="0" w:type="dxa"/>
            <w:right w:w="108" w:type="dxa"/>
          </w:tblCellMar>
        </w:tblPrEx>
        <w:trPr>
          <w:trHeight w:val="825" w:hRule="atLeast"/>
        </w:trPr>
        <w:tc>
          <w:tcPr>
            <w:tcW w:w="1288" w:type="dxa"/>
            <w:vMerge w:val="continue"/>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color w:val="000000"/>
                <w:kern w:val="0"/>
                <w:sz w:val="21"/>
                <w:szCs w:val="21"/>
              </w:rPr>
            </w:pPr>
          </w:p>
        </w:tc>
        <w:tc>
          <w:tcPr>
            <w:tcW w:w="1643" w:type="dxa"/>
            <w:gridSpan w:val="2"/>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坚持党建引领，助推财政事业发展</w:t>
            </w:r>
          </w:p>
        </w:tc>
        <w:tc>
          <w:tcPr>
            <w:tcW w:w="6574" w:type="dxa"/>
            <w:gridSpan w:val="5"/>
            <w:tcBorders>
              <w:top w:val="single" w:color="000000" w:sz="4" w:space="0"/>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坚持以习近平新时代中国特色社会主义思想为指导，全面贯彻落实新时代党的建设总要求，坚持“以政领财、以财辅政”，持续推进机关党建与财政工作深度融合、互促共进，有力推进黑水财政事业高质量发展。</w:t>
            </w:r>
          </w:p>
        </w:tc>
      </w:tr>
      <w:tr>
        <w:trPr>
          <w:trHeight w:val="570" w:hRule="atLeast"/>
        </w:trPr>
        <w:tc>
          <w:tcPr>
            <w:tcW w:w="12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年度绩效指标</w:t>
            </w:r>
          </w:p>
        </w:tc>
        <w:tc>
          <w:tcPr>
            <w:tcW w:w="755"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绩效指标性质</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绩效指标值</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绩效度量单位</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权重</w:t>
            </w:r>
          </w:p>
        </w:tc>
      </w:tr>
      <w:tr>
        <w:tblPrEx>
          <w:tblCellMar>
            <w:top w:w="0" w:type="dxa"/>
            <w:left w:w="108" w:type="dxa"/>
            <w:bottom w:w="0" w:type="dxa"/>
            <w:right w:w="108" w:type="dxa"/>
          </w:tblCellMar>
        </w:tblPrEx>
        <w:trPr>
          <w:trHeight w:val="679"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保障财政业务系统维护数量（非税、债务管理、监测平台、金财网、UK系统）</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rPr>
          <w:trHeight w:val="904"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开展财政专项整治检查行动（财税监管、会计质量监督、卫生扶贫救助、地方预决算公开、内部控制建设）等</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次</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开展绩效评价审核数量（事前、整体、政策和项目）</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58</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成果报告合格率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合同约定绩效评价审核报告完成率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所有财政业务系统正常运行平稳</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预算单位使用率</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11月30日前完成预算执行支出进度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9月30日前完成预算执行支出进度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80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经济效益指标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通过财政监督检查服务提高财政资金效益</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90</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blPrEx>
          <w:tblCellMar>
            <w:top w:w="0" w:type="dxa"/>
            <w:left w:w="108" w:type="dxa"/>
            <w:bottom w:w="0" w:type="dxa"/>
            <w:right w:w="108" w:type="dxa"/>
          </w:tblCellMar>
        </w:tblPrEx>
        <w:trPr>
          <w:trHeight w:val="570"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社会效益指标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各预算单位对财政预算管理的认识</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定性</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有所提高</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rPr>
          <w:trHeight w:val="644"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可持续影响指标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全面推进预算编制及改革工作顺利开展</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定性</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长期有效</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r>
      <w:tr>
        <w:tblPrEx>
          <w:tblCellMar>
            <w:top w:w="0" w:type="dxa"/>
            <w:left w:w="108" w:type="dxa"/>
            <w:bottom w:w="0" w:type="dxa"/>
            <w:right w:w="108" w:type="dxa"/>
          </w:tblCellMar>
        </w:tblPrEx>
        <w:trPr>
          <w:trHeight w:val="399"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888"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绩效评价、检查服务对象等满意度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r>
        <w:trPr>
          <w:trHeight w:val="375" w:hRule="atLeast"/>
        </w:trPr>
        <w:tc>
          <w:tcPr>
            <w:tcW w:w="12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755"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888" w:type="dxa"/>
            <w:vMerge w:val="continue"/>
            <w:tcBorders>
              <w:top w:val="nil"/>
              <w:left w:val="single" w:color="000000" w:sz="4" w:space="0"/>
              <w:bottom w:val="single" w:color="000000" w:sz="4" w:space="0"/>
              <w:right w:val="single" w:color="000000" w:sz="4" w:space="0"/>
            </w:tcBorders>
            <w:vAlign w:val="center"/>
          </w:tcPr>
          <w:p>
            <w:pPr>
              <w:spacing w:line="260" w:lineRule="exact"/>
              <w:rPr>
                <w:rFonts w:ascii="宋体" w:hAnsi="宋体" w:eastAsia="宋体" w:cs="宋体"/>
                <w:color w:val="000000"/>
                <w:kern w:val="0"/>
                <w:sz w:val="21"/>
                <w:szCs w:val="21"/>
              </w:rPr>
            </w:pPr>
          </w:p>
        </w:tc>
        <w:tc>
          <w:tcPr>
            <w:tcW w:w="3618"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预算单位满意度</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820"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796"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44" w:type="dxa"/>
            <w:tcBorders>
              <w:top w:val="nil"/>
              <w:left w:val="nil"/>
              <w:bottom w:val="single" w:color="000000" w:sz="4" w:space="0"/>
              <w:right w:val="single" w:color="000000" w:sz="4" w:space="0"/>
            </w:tcBorders>
            <w:shd w:val="clear" w:color="auto" w:fill="auto"/>
            <w:vAlign w:val="center"/>
          </w:tcPr>
          <w:p>
            <w:pPr>
              <w:spacing w:line="26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r>
    </w:tbl>
    <w:p>
      <w:pPr>
        <w:spacing w:line="260" w:lineRule="exact"/>
        <w:rPr>
          <w:rFonts w:ascii="宋体" w:hAnsi="宋体" w:eastAsia="宋体" w:cs="宋体"/>
          <w:color w:val="000000"/>
          <w:kern w:val="0"/>
          <w:sz w:val="21"/>
          <w:szCs w:val="21"/>
        </w:rPr>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pPr>
    </w:p>
    <w:tbl>
      <w:tblPr>
        <w:tblStyle w:val="13"/>
        <w:tblW w:w="14620" w:type="dxa"/>
        <w:tblInd w:w="97" w:type="dxa"/>
        <w:tblLayout w:type="autofit"/>
        <w:tblCellMar>
          <w:top w:w="0" w:type="dxa"/>
          <w:left w:w="108" w:type="dxa"/>
          <w:bottom w:w="0" w:type="dxa"/>
          <w:right w:w="108" w:type="dxa"/>
        </w:tblCellMar>
      </w:tblPr>
      <w:tblGrid>
        <w:gridCol w:w="700"/>
        <w:gridCol w:w="2055"/>
        <w:gridCol w:w="1776"/>
        <w:gridCol w:w="2713"/>
        <w:gridCol w:w="520"/>
        <w:gridCol w:w="1677"/>
        <w:gridCol w:w="520"/>
        <w:gridCol w:w="1099"/>
        <w:gridCol w:w="520"/>
        <w:gridCol w:w="486"/>
        <w:gridCol w:w="2554"/>
      </w:tblGrid>
      <w:tr>
        <w:tblPrEx>
          <w:tblCellMar>
            <w:top w:w="0" w:type="dxa"/>
            <w:left w:w="108" w:type="dxa"/>
            <w:bottom w:w="0" w:type="dxa"/>
            <w:right w:w="108" w:type="dxa"/>
          </w:tblCellMar>
        </w:tblPrEx>
        <w:trPr>
          <w:trHeight w:val="904" w:hRule="atLeast"/>
        </w:trPr>
        <w:tc>
          <w:tcPr>
            <w:tcW w:w="14620" w:type="dxa"/>
            <w:gridSpan w:val="11"/>
            <w:tcBorders>
              <w:top w:val="nil"/>
              <w:left w:val="nil"/>
              <w:bottom w:val="nil"/>
              <w:right w:val="nil"/>
            </w:tcBorders>
            <w:shd w:val="clear" w:color="auto" w:fill="auto"/>
            <w:vAlign w:val="center"/>
          </w:tcPr>
          <w:p>
            <w:pPr>
              <w:widowControl/>
              <w:rPr>
                <w:rFonts w:ascii="黑体" w:hAnsi="黑体" w:eastAsia="黑体" w:cs="宋体"/>
                <w:b/>
                <w:bCs/>
                <w:color w:val="000000"/>
                <w:kern w:val="0"/>
                <w:sz w:val="30"/>
                <w:szCs w:val="30"/>
              </w:rPr>
            </w:pPr>
            <w:r>
              <w:rPr>
                <w:rFonts w:hint="eastAsia" w:ascii="黑体" w:hAnsi="黑体" w:eastAsia="黑体" w:cs="宋体"/>
                <w:b/>
                <w:bCs/>
                <w:color w:val="000000"/>
                <w:kern w:val="0"/>
                <w:sz w:val="30"/>
                <w:szCs w:val="30"/>
              </w:rPr>
              <w:t>附表3</w:t>
            </w:r>
          </w:p>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blPrEx>
          <w:tblCellMar>
            <w:top w:w="0" w:type="dxa"/>
            <w:left w:w="108" w:type="dxa"/>
            <w:bottom w:w="0" w:type="dxa"/>
            <w:right w:w="108" w:type="dxa"/>
          </w:tblCellMar>
        </w:tblPrEx>
        <w:trPr>
          <w:trHeight w:val="285" w:hRule="atLeast"/>
        </w:trPr>
        <w:tc>
          <w:tcPr>
            <w:tcW w:w="27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项目名称</w:t>
            </w:r>
          </w:p>
        </w:tc>
        <w:tc>
          <w:tcPr>
            <w:tcW w:w="11860"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51322823T000009878960-财政信息化运维服务经费项目</w:t>
            </w:r>
          </w:p>
        </w:tc>
      </w:tr>
      <w:tr>
        <w:trPr>
          <w:trHeight w:val="514" w:hRule="atLeast"/>
        </w:trPr>
        <w:tc>
          <w:tcPr>
            <w:tcW w:w="27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主管部门</w:t>
            </w:r>
          </w:p>
        </w:tc>
        <w:tc>
          <w:tcPr>
            <w:tcW w:w="7220"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c>
          <w:tcPr>
            <w:tcW w:w="1100" w:type="dxa"/>
            <w:tcBorders>
              <w:top w:val="nil"/>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实施单位 （盖章）</w:t>
            </w:r>
          </w:p>
        </w:tc>
        <w:tc>
          <w:tcPr>
            <w:tcW w:w="354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r>
      <w:tr>
        <w:trPr>
          <w:trHeight w:val="285" w:hRule="atLeast"/>
        </w:trPr>
        <w:tc>
          <w:tcPr>
            <w:tcW w:w="70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项目基本情况</w:t>
            </w:r>
          </w:p>
        </w:tc>
        <w:tc>
          <w:tcPr>
            <w:tcW w:w="20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1.项目年度目标完成情况</w:t>
            </w:r>
          </w:p>
        </w:tc>
        <w:tc>
          <w:tcPr>
            <w:tcW w:w="7220"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项目年度目标</w:t>
            </w:r>
          </w:p>
        </w:tc>
        <w:tc>
          <w:tcPr>
            <w:tcW w:w="4640"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年度目标完成情况</w:t>
            </w:r>
          </w:p>
        </w:tc>
      </w:tr>
      <w:tr>
        <w:tblPrEx>
          <w:tblCellMar>
            <w:top w:w="0" w:type="dxa"/>
            <w:left w:w="108" w:type="dxa"/>
            <w:bottom w:w="0" w:type="dxa"/>
            <w:right w:w="108" w:type="dxa"/>
          </w:tblCellMar>
        </w:tblPrEx>
        <w:trPr>
          <w:trHeight w:val="2262" w:hRule="atLeast"/>
        </w:trPr>
        <w:tc>
          <w:tcPr>
            <w:tcW w:w="7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7220"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地方政府性债务管理系统”和“监测平台”技术性较强，日常操作较频繁，解决县债务工作人员日常工作中遇到的技术难题，提高债务工作质量，及时完成上级部门的各项通知任务。2、加强专业技术人员的财政业务知识、网络安全、沟通交流等各方面能力，充分运用科学技术手段，结合财政业务实际，全方位保障财政预算一体化平台平稳运行。3、“建立全面规范透明、标准科学、约束有力的预算制度，全面实施绩效管理”。为创新预算管理机制，优化预算编制程序，改进预算编制方法，系统通过建设规范化的项目库、强化预算绩效管理、科学合理滚动编制中期财政规划、深化经济分类改革，编细编实预算、加强定额标准建设和基础信息管理等方面，构建更适应当前形势和改革方向的预算管理体系，进一步提高预算管理的完整性、科学性和规范性。</w:t>
            </w:r>
          </w:p>
        </w:tc>
        <w:tc>
          <w:tcPr>
            <w:tcW w:w="4640" w:type="dxa"/>
            <w:gridSpan w:val="4"/>
            <w:tcBorders>
              <w:top w:val="single" w:color="auto" w:sz="4" w:space="0"/>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完成我县政府综合财报、部门决算、直达资金监控、电子化支付、非税电子票据、新中大软件、财政债务、工资软件、村财软件等系统运行，各预算单位基础信息、项目库、预算编制、预算调整调剂、预算执行、政府采购、银行账户管理、单位会计核算、预算绩效、地方评价、工资管理、综合报表查询模块。</w:t>
            </w:r>
          </w:p>
        </w:tc>
      </w:tr>
      <w:tr>
        <w:tblPrEx>
          <w:tblCellMar>
            <w:top w:w="0" w:type="dxa"/>
            <w:left w:w="108" w:type="dxa"/>
            <w:bottom w:w="0" w:type="dxa"/>
            <w:right w:w="108" w:type="dxa"/>
          </w:tblCellMar>
        </w:tblPrEx>
        <w:trPr>
          <w:trHeight w:val="694" w:hRule="atLeast"/>
        </w:trPr>
        <w:tc>
          <w:tcPr>
            <w:tcW w:w="7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2.项目实施内容及过程概述</w:t>
            </w:r>
          </w:p>
        </w:tc>
        <w:tc>
          <w:tcPr>
            <w:tcW w:w="11860"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经办人员收集整理相关资料票据，填写报销单，经报销人、出纳，会计签字后，在由财务分管领导/及主要领导签字后，金额大于2万元需经会议研究。出纳编制预算一体化用款计划，会计审核，由财政局归口股室和国库审核，在由出纳进行支付，会计审核，最终推送至银行。严格按照《会计法》《预算法》等相关规定实施，未出现截留、挪用和违规违纪的现象。</w:t>
            </w:r>
          </w:p>
        </w:tc>
      </w:tr>
      <w:tr>
        <w:trPr>
          <w:trHeight w:val="360"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年初预算</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调整后预算数</w:t>
            </w:r>
          </w:p>
        </w:tc>
        <w:tc>
          <w:tcPr>
            <w:tcW w:w="2720" w:type="dxa"/>
            <w:gridSpan w:val="3"/>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预算执行数</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原因</w:t>
            </w:r>
          </w:p>
        </w:tc>
      </w:tr>
      <w:tr>
        <w:trPr>
          <w:trHeight w:val="345"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48.75</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108" w:type="dxa"/>
            <w:bottom w:w="0" w:type="dxa"/>
            <w:right w:w="108" w:type="dxa"/>
          </w:tblCellMar>
        </w:tblPrEx>
        <w:trPr>
          <w:trHeight w:val="390"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48.75</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50.61</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09"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rPr>
          <w:trHeight w:val="360"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20"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54" w:hRule="atLeast"/>
        </w:trPr>
        <w:tc>
          <w:tcPr>
            <w:tcW w:w="70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指标性质</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度量单位</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未完成原因分析</w:t>
            </w:r>
          </w:p>
        </w:tc>
      </w:tr>
      <w:tr>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债务管理及监测平台系统维护单位数量</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个</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会议视频系统升级改造</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套</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数据中心机房设备维护量</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套</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开展互联网+精准扶贫代理记账系统维护量</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个</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454"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确保财政业务系统平稳运行</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运维服务响应时间</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小时</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解决问题的及时性</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可持续影响指标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财政业务系统应用持续性</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套</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使用人员满意度</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7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27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年度维护成本控制</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48.75</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0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285" w:hRule="atLeast"/>
        </w:trPr>
        <w:tc>
          <w:tcPr>
            <w:tcW w:w="1108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blPrEx>
          <w:tblCellMar>
            <w:top w:w="0" w:type="dxa"/>
            <w:left w:w="108" w:type="dxa"/>
            <w:bottom w:w="0" w:type="dxa"/>
            <w:right w:w="108" w:type="dxa"/>
          </w:tblCellMar>
        </w:tblPrEx>
        <w:trPr>
          <w:trHeight w:val="60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评价结论</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按照国家的法律法规加强管理，对每笔支出严格把关，没有无预算或超预算支出，也没有虚列支出或套取资金、转嫁等问题；没有超标准超范围发放；并未出现违规违纪情况。</w:t>
            </w:r>
          </w:p>
        </w:tc>
      </w:tr>
      <w:tr>
        <w:tblPrEx>
          <w:tblCellMar>
            <w:top w:w="0" w:type="dxa"/>
            <w:left w:w="108" w:type="dxa"/>
            <w:bottom w:w="0" w:type="dxa"/>
            <w:right w:w="108" w:type="dxa"/>
          </w:tblCellMar>
        </w:tblPrEx>
        <w:trPr>
          <w:trHeight w:val="57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存在问题</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rPr>
          <w:trHeight w:val="634" w:hRule="atLeast"/>
        </w:trPr>
        <w:tc>
          <w:tcPr>
            <w:tcW w:w="70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改进措施</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rPr>
          <w:trHeight w:val="285" w:hRule="atLeast"/>
        </w:trPr>
        <w:tc>
          <w:tcPr>
            <w:tcW w:w="77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项目负责人：穆智慧</w:t>
            </w:r>
          </w:p>
        </w:tc>
        <w:tc>
          <w:tcPr>
            <w:tcW w:w="6840"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财务负责人：穆智慧</w:t>
            </w:r>
          </w:p>
        </w:tc>
      </w:tr>
    </w:tbl>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tbl>
      <w:tblPr>
        <w:tblStyle w:val="13"/>
        <w:tblW w:w="15469" w:type="dxa"/>
        <w:tblInd w:w="-756" w:type="dxa"/>
        <w:tblLayout w:type="autofit"/>
        <w:tblCellMar>
          <w:top w:w="0" w:type="dxa"/>
          <w:left w:w="108" w:type="dxa"/>
          <w:bottom w:w="0" w:type="dxa"/>
          <w:right w:w="108" w:type="dxa"/>
        </w:tblCellMar>
      </w:tblPr>
      <w:tblGrid>
        <w:gridCol w:w="1542"/>
        <w:gridCol w:w="2046"/>
        <w:gridCol w:w="1768"/>
        <w:gridCol w:w="2702"/>
        <w:gridCol w:w="519"/>
        <w:gridCol w:w="1669"/>
        <w:gridCol w:w="519"/>
        <w:gridCol w:w="1098"/>
        <w:gridCol w:w="531"/>
        <w:gridCol w:w="531"/>
        <w:gridCol w:w="2544"/>
      </w:tblGrid>
      <w:tr>
        <w:tblPrEx>
          <w:tblCellMar>
            <w:top w:w="0" w:type="dxa"/>
            <w:left w:w="108" w:type="dxa"/>
            <w:bottom w:w="0" w:type="dxa"/>
            <w:right w:w="108" w:type="dxa"/>
          </w:tblCellMar>
        </w:tblPrEx>
        <w:trPr>
          <w:trHeight w:val="904" w:hRule="atLeast"/>
        </w:trPr>
        <w:tc>
          <w:tcPr>
            <w:tcW w:w="15469" w:type="dxa"/>
            <w:gridSpan w:val="11"/>
            <w:tcBorders>
              <w:top w:val="nil"/>
              <w:left w:val="nil"/>
              <w:bottom w:val="nil"/>
              <w:right w:val="nil"/>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blPrEx>
          <w:tblCellMar>
            <w:top w:w="0" w:type="dxa"/>
            <w:left w:w="108" w:type="dxa"/>
            <w:bottom w:w="0" w:type="dxa"/>
            <w:right w:w="108" w:type="dxa"/>
          </w:tblCellMar>
        </w:tblPrEx>
        <w:trPr>
          <w:trHeight w:val="285" w:hRule="atLeast"/>
        </w:trPr>
        <w:tc>
          <w:tcPr>
            <w:tcW w:w="358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项目名称</w:t>
            </w:r>
          </w:p>
        </w:tc>
        <w:tc>
          <w:tcPr>
            <w:tcW w:w="11881"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51322823T000009879021-财政委托业务经费项目</w:t>
            </w:r>
          </w:p>
        </w:tc>
      </w:tr>
      <w:tr>
        <w:tblPrEx>
          <w:tblCellMar>
            <w:top w:w="0" w:type="dxa"/>
            <w:left w:w="108" w:type="dxa"/>
            <w:bottom w:w="0" w:type="dxa"/>
            <w:right w:w="108" w:type="dxa"/>
          </w:tblCellMar>
        </w:tblPrEx>
        <w:trPr>
          <w:trHeight w:val="514" w:hRule="atLeast"/>
        </w:trPr>
        <w:tc>
          <w:tcPr>
            <w:tcW w:w="358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主管部门</w:t>
            </w:r>
          </w:p>
        </w:tc>
        <w:tc>
          <w:tcPr>
            <w:tcW w:w="7177"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黑水县财政局</w:t>
            </w:r>
          </w:p>
        </w:tc>
        <w:tc>
          <w:tcPr>
            <w:tcW w:w="1098" w:type="dxa"/>
            <w:tcBorders>
              <w:top w:val="nil"/>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实施单位 （盖章）</w:t>
            </w:r>
          </w:p>
        </w:tc>
        <w:tc>
          <w:tcPr>
            <w:tcW w:w="360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黑水县财政局</w:t>
            </w:r>
          </w:p>
        </w:tc>
      </w:tr>
      <w:tr>
        <w:tblPrEx>
          <w:tblCellMar>
            <w:top w:w="0" w:type="dxa"/>
            <w:left w:w="108" w:type="dxa"/>
            <w:bottom w:w="0" w:type="dxa"/>
            <w:right w:w="108" w:type="dxa"/>
          </w:tblCellMar>
        </w:tblPrEx>
        <w:trPr>
          <w:trHeight w:val="285" w:hRule="atLeast"/>
        </w:trPr>
        <w:tc>
          <w:tcPr>
            <w:tcW w:w="154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项目基本情况</w:t>
            </w:r>
          </w:p>
        </w:tc>
        <w:tc>
          <w:tcPr>
            <w:tcW w:w="204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1.项目年度目标完成情况</w:t>
            </w:r>
          </w:p>
        </w:tc>
        <w:tc>
          <w:tcPr>
            <w:tcW w:w="7177"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项目年度目标</w:t>
            </w:r>
          </w:p>
        </w:tc>
        <w:tc>
          <w:tcPr>
            <w:tcW w:w="4704"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年度目标完成情况</w:t>
            </w:r>
          </w:p>
        </w:tc>
      </w:tr>
      <w:tr>
        <w:tblPrEx>
          <w:tblCellMar>
            <w:top w:w="0" w:type="dxa"/>
            <w:left w:w="108" w:type="dxa"/>
            <w:bottom w:w="0" w:type="dxa"/>
            <w:right w:w="108" w:type="dxa"/>
          </w:tblCellMar>
        </w:tblPrEx>
        <w:trPr>
          <w:trHeight w:val="1780" w:hRule="atLeast"/>
        </w:trPr>
        <w:tc>
          <w:tcPr>
            <w:tcW w:w="154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7177" w:type="dxa"/>
            <w:gridSpan w:val="5"/>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为进一步落实全面实施预算绩效管理有关要求，加快建成全方位、全过程、全覆盖的预算绩效管理体系，推动预算绩效管理工作高质量发展。为加强财政投资建设项目预算管理，规范财政投资评审行为，提高财政资金使用效益，黑水县基本建设财务核算管理（财务决算）和黑水县财政局财政投资评审（财评）。2.提高全县预算绩效管理水平，购买绩效评价管理服务项目，完成我县整体支出绩效评价和政策项目支出绩效评价。</w:t>
            </w:r>
          </w:p>
        </w:tc>
        <w:tc>
          <w:tcPr>
            <w:tcW w:w="4704" w:type="dxa"/>
            <w:gridSpan w:val="4"/>
            <w:tcBorders>
              <w:top w:val="single" w:color="auto" w:sz="4" w:space="0"/>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完成我县财务决算及招标控制价财政评审项目</w:t>
            </w:r>
          </w:p>
        </w:tc>
      </w:tr>
      <w:tr>
        <w:tblPrEx>
          <w:tblCellMar>
            <w:top w:w="0" w:type="dxa"/>
            <w:left w:w="108" w:type="dxa"/>
            <w:bottom w:w="0" w:type="dxa"/>
            <w:right w:w="108" w:type="dxa"/>
          </w:tblCellMar>
        </w:tblPrEx>
        <w:trPr>
          <w:trHeight w:val="1091" w:hRule="atLeast"/>
        </w:trPr>
        <w:tc>
          <w:tcPr>
            <w:tcW w:w="154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2.项目实施内容及过程概述</w:t>
            </w:r>
          </w:p>
        </w:tc>
        <w:tc>
          <w:tcPr>
            <w:tcW w:w="11881" w:type="dxa"/>
            <w:gridSpan w:val="9"/>
            <w:tcBorders>
              <w:top w:val="single" w:color="auto" w:sz="4" w:space="0"/>
              <w:left w:val="nil"/>
              <w:bottom w:val="single" w:color="auto" w:sz="4" w:space="0"/>
              <w:right w:val="single" w:color="auto"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经办人员收集整理相关资料票据，填写报销单，经报销人、出纳，会计签字后，在由财务分管领导/及主要领导签字后，金额大于2万元需经会议研究。出纳编制预算一体化用款计划，会计审核，由财政局归口股室和国库审核，在由出纳进行支付，会计审核，最终推送至银行。严格按照《会计法》《预算法》等相关规定实施，未出现截留、挪用和违规违纪的现象。</w:t>
            </w:r>
          </w:p>
        </w:tc>
      </w:tr>
      <w:tr>
        <w:tblPrEx>
          <w:tblCellMar>
            <w:top w:w="0" w:type="dxa"/>
            <w:left w:w="108" w:type="dxa"/>
            <w:bottom w:w="0" w:type="dxa"/>
            <w:right w:w="108" w:type="dxa"/>
          </w:tblCellMar>
        </w:tblPrEx>
        <w:trPr>
          <w:trHeight w:val="360" w:hRule="atLeast"/>
        </w:trPr>
        <w:tc>
          <w:tcPr>
            <w:tcW w:w="154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预算执行情况（10分）</w:t>
            </w: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年度预算数（万元）</w:t>
            </w:r>
          </w:p>
        </w:tc>
        <w:tc>
          <w:tcPr>
            <w:tcW w:w="176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年初预算</w:t>
            </w:r>
          </w:p>
        </w:tc>
        <w:tc>
          <w:tcPr>
            <w:tcW w:w="2702"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调整后预算数</w:t>
            </w:r>
          </w:p>
        </w:tc>
        <w:tc>
          <w:tcPr>
            <w:tcW w:w="2707" w:type="dxa"/>
            <w:gridSpan w:val="3"/>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预算执行数</w:t>
            </w:r>
          </w:p>
        </w:tc>
        <w:tc>
          <w:tcPr>
            <w:tcW w:w="109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预算执行率</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权重</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得分</w:t>
            </w:r>
          </w:p>
        </w:tc>
        <w:tc>
          <w:tcPr>
            <w:tcW w:w="2544"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原因</w:t>
            </w:r>
          </w:p>
        </w:tc>
      </w:tr>
      <w:tr>
        <w:tblPrEx>
          <w:tblCellMar>
            <w:top w:w="0" w:type="dxa"/>
            <w:left w:w="108" w:type="dxa"/>
            <w:bottom w:w="0" w:type="dxa"/>
            <w:right w:w="108" w:type="dxa"/>
          </w:tblCellMar>
        </w:tblPrEx>
        <w:trPr>
          <w:trHeight w:val="345"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总额</w:t>
            </w:r>
          </w:p>
        </w:tc>
        <w:tc>
          <w:tcPr>
            <w:tcW w:w="176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162.04</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162.04</w:t>
            </w:r>
          </w:p>
        </w:tc>
        <w:tc>
          <w:tcPr>
            <w:tcW w:w="1098"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21"/>
                <w:szCs w:val="21"/>
              </w:rPr>
            </w:pPr>
            <w:r>
              <w:rPr>
                <w:rFonts w:hint="eastAsia" w:ascii="宋体" w:hAnsi="宋体" w:eastAsia="宋体" w:cs="宋体"/>
                <w:color w:val="000000"/>
                <w:kern w:val="0"/>
                <w:sz w:val="21"/>
                <w:szCs w:val="21"/>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108" w:type="dxa"/>
            <w:bottom w:w="0" w:type="dxa"/>
            <w:right w:w="108" w:type="dxa"/>
          </w:tblCellMar>
        </w:tblPrEx>
        <w:trPr>
          <w:trHeight w:val="390"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其中：财政资金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149.09</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149.09</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409"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财政专户管理资金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360"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单位资金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0.00</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12.95</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12.95</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其他资金</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270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254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21"/>
                <w:szCs w:val="21"/>
              </w:rPr>
            </w:pPr>
          </w:p>
        </w:tc>
      </w:tr>
      <w:tr>
        <w:tblPrEx>
          <w:tblCellMar>
            <w:top w:w="0" w:type="dxa"/>
            <w:left w:w="108" w:type="dxa"/>
            <w:bottom w:w="0" w:type="dxa"/>
            <w:right w:w="108" w:type="dxa"/>
          </w:tblCellMar>
        </w:tblPrEx>
        <w:trPr>
          <w:trHeight w:val="454" w:hRule="atLeast"/>
        </w:trPr>
        <w:tc>
          <w:tcPr>
            <w:tcW w:w="1542"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绩效指标（90分）</w:t>
            </w: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指标性质</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指标值</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度量单位</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完成值</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权重</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得分</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未完成原因分析</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76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开展部门整体支出绩效评价数量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开展项目评审出具的评审报告</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56</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开展政策和项目支出绩效评价数量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绩效管理部门工作指导部门数量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部门项目财务核算数量</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个</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项目评审报告合格率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54"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76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可持续影响指标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定性</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提升</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338"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768"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被评价部门的满意度</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486" w:hRule="atLeast"/>
        </w:trPr>
        <w:tc>
          <w:tcPr>
            <w:tcW w:w="1542"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04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1768"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21"/>
                <w:szCs w:val="21"/>
              </w:rPr>
            </w:pPr>
          </w:p>
        </w:tc>
        <w:tc>
          <w:tcPr>
            <w:tcW w:w="2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被指导部门的满意度</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66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51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9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54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　</w:t>
            </w:r>
          </w:p>
        </w:tc>
      </w:tr>
      <w:tr>
        <w:tblPrEx>
          <w:tblCellMar>
            <w:top w:w="0" w:type="dxa"/>
            <w:left w:w="108" w:type="dxa"/>
            <w:bottom w:w="0" w:type="dxa"/>
            <w:right w:w="108" w:type="dxa"/>
          </w:tblCellMar>
        </w:tblPrEx>
        <w:trPr>
          <w:trHeight w:val="793" w:hRule="atLeast"/>
        </w:trPr>
        <w:tc>
          <w:tcPr>
            <w:tcW w:w="118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c>
          <w:tcPr>
            <w:tcW w:w="53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531"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254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tblPrEx>
          <w:tblCellMar>
            <w:top w:w="0" w:type="dxa"/>
            <w:left w:w="108" w:type="dxa"/>
            <w:bottom w:w="0" w:type="dxa"/>
            <w:right w:w="108" w:type="dxa"/>
          </w:tblCellMar>
        </w:tblPrEx>
        <w:trPr>
          <w:trHeight w:val="604" w:hRule="atLeast"/>
        </w:trPr>
        <w:tc>
          <w:tcPr>
            <w:tcW w:w="1542"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评价结论</w:t>
            </w:r>
          </w:p>
        </w:tc>
        <w:tc>
          <w:tcPr>
            <w:tcW w:w="13927"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按照国家的法律法规加强管理，对每笔支出严格把关，没有无预算或超预算支出，也没有虚列支出或套取资金、转嫁等问题；没有超标准超范围发放；并未出现违规违纪情况。</w:t>
            </w:r>
          </w:p>
        </w:tc>
      </w:tr>
      <w:tr>
        <w:tblPrEx>
          <w:tblCellMar>
            <w:top w:w="0" w:type="dxa"/>
            <w:left w:w="108" w:type="dxa"/>
            <w:bottom w:w="0" w:type="dxa"/>
            <w:right w:w="108" w:type="dxa"/>
          </w:tblCellMar>
        </w:tblPrEx>
        <w:trPr>
          <w:trHeight w:val="574" w:hRule="atLeast"/>
        </w:trPr>
        <w:tc>
          <w:tcPr>
            <w:tcW w:w="1542"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存在问题</w:t>
            </w:r>
          </w:p>
        </w:tc>
        <w:tc>
          <w:tcPr>
            <w:tcW w:w="13927"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无</w:t>
            </w:r>
          </w:p>
        </w:tc>
      </w:tr>
      <w:tr>
        <w:tblPrEx>
          <w:tblCellMar>
            <w:top w:w="0" w:type="dxa"/>
            <w:left w:w="108" w:type="dxa"/>
            <w:bottom w:w="0" w:type="dxa"/>
            <w:right w:w="108" w:type="dxa"/>
          </w:tblCellMar>
        </w:tblPrEx>
        <w:trPr>
          <w:trHeight w:val="634" w:hRule="atLeast"/>
        </w:trPr>
        <w:tc>
          <w:tcPr>
            <w:tcW w:w="1542"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改进措施</w:t>
            </w:r>
          </w:p>
        </w:tc>
        <w:tc>
          <w:tcPr>
            <w:tcW w:w="13927"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21"/>
                <w:szCs w:val="21"/>
              </w:rPr>
            </w:pPr>
            <w:r>
              <w:rPr>
                <w:rFonts w:hint="eastAsia" w:ascii="微软雅黑" w:hAnsi="微软雅黑" w:eastAsia="微软雅黑" w:cs="宋体"/>
                <w:color w:val="000000"/>
                <w:kern w:val="0"/>
                <w:sz w:val="21"/>
                <w:szCs w:val="21"/>
              </w:rPr>
              <w:t>无</w:t>
            </w:r>
          </w:p>
        </w:tc>
      </w:tr>
      <w:tr>
        <w:tblPrEx>
          <w:tblCellMar>
            <w:top w:w="0" w:type="dxa"/>
            <w:left w:w="108" w:type="dxa"/>
            <w:bottom w:w="0" w:type="dxa"/>
            <w:right w:w="108" w:type="dxa"/>
          </w:tblCellMar>
        </w:tblPrEx>
        <w:trPr>
          <w:trHeight w:val="285" w:hRule="atLeast"/>
        </w:trPr>
        <w:tc>
          <w:tcPr>
            <w:tcW w:w="85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项目负责人：穆智慧</w:t>
            </w:r>
          </w:p>
        </w:tc>
        <w:tc>
          <w:tcPr>
            <w:tcW w:w="6892"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21"/>
                <w:szCs w:val="21"/>
              </w:rPr>
            </w:pPr>
            <w:r>
              <w:rPr>
                <w:rFonts w:ascii="Courier New" w:hAnsi="Courier New" w:eastAsia="宋体" w:cs="Courier New"/>
                <w:color w:val="000000"/>
                <w:kern w:val="0"/>
                <w:sz w:val="21"/>
                <w:szCs w:val="21"/>
              </w:rPr>
              <w:t>财务负责人：穆智慧</w:t>
            </w:r>
          </w:p>
        </w:tc>
      </w:tr>
    </w:tbl>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tbl>
      <w:tblPr>
        <w:tblStyle w:val="13"/>
        <w:tblW w:w="15707" w:type="dxa"/>
        <w:tblInd w:w="-994" w:type="dxa"/>
        <w:tblLayout w:type="autofit"/>
        <w:tblCellMar>
          <w:top w:w="0" w:type="dxa"/>
          <w:left w:w="108" w:type="dxa"/>
          <w:bottom w:w="0" w:type="dxa"/>
          <w:right w:w="108" w:type="dxa"/>
        </w:tblCellMar>
      </w:tblPr>
      <w:tblGrid>
        <w:gridCol w:w="1787"/>
        <w:gridCol w:w="2055"/>
        <w:gridCol w:w="1776"/>
        <w:gridCol w:w="2713"/>
        <w:gridCol w:w="1112"/>
        <w:gridCol w:w="835"/>
        <w:gridCol w:w="770"/>
        <w:gridCol w:w="1099"/>
        <w:gridCol w:w="520"/>
        <w:gridCol w:w="486"/>
        <w:gridCol w:w="2554"/>
      </w:tblGrid>
      <w:tr>
        <w:tblPrEx>
          <w:tblCellMar>
            <w:top w:w="0" w:type="dxa"/>
            <w:left w:w="108" w:type="dxa"/>
            <w:bottom w:w="0" w:type="dxa"/>
            <w:right w:w="108" w:type="dxa"/>
          </w:tblCellMar>
        </w:tblPrEx>
        <w:trPr>
          <w:trHeight w:val="904" w:hRule="atLeast"/>
        </w:trPr>
        <w:tc>
          <w:tcPr>
            <w:tcW w:w="15707" w:type="dxa"/>
            <w:gridSpan w:val="11"/>
            <w:tcBorders>
              <w:top w:val="nil"/>
              <w:left w:val="nil"/>
              <w:bottom w:val="nil"/>
              <w:right w:val="nil"/>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rPr>
          <w:trHeight w:val="285" w:hRule="atLeast"/>
        </w:trPr>
        <w:tc>
          <w:tcPr>
            <w:tcW w:w="38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项目名称</w:t>
            </w:r>
          </w:p>
        </w:tc>
        <w:tc>
          <w:tcPr>
            <w:tcW w:w="11865"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51322824T000010135195-财政一般行政管理事务经费项目</w:t>
            </w:r>
          </w:p>
        </w:tc>
      </w:tr>
      <w:tr>
        <w:tblPrEx>
          <w:tblCellMar>
            <w:top w:w="0" w:type="dxa"/>
            <w:left w:w="108" w:type="dxa"/>
            <w:bottom w:w="0" w:type="dxa"/>
            <w:right w:w="108" w:type="dxa"/>
          </w:tblCellMar>
        </w:tblPrEx>
        <w:trPr>
          <w:trHeight w:val="514" w:hRule="atLeast"/>
        </w:trPr>
        <w:tc>
          <w:tcPr>
            <w:tcW w:w="38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主管部门</w:t>
            </w:r>
          </w:p>
        </w:tc>
        <w:tc>
          <w:tcPr>
            <w:tcW w:w="7206" w:type="dxa"/>
            <w:gridSpan w:val="5"/>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c>
          <w:tcPr>
            <w:tcW w:w="1099" w:type="dxa"/>
            <w:tcBorders>
              <w:top w:val="nil"/>
              <w:left w:val="nil"/>
              <w:bottom w:val="single" w:color="auto" w:sz="4" w:space="0"/>
              <w:right w:val="single" w:color="auto"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实施单位 （盖章）</w:t>
            </w:r>
          </w:p>
        </w:tc>
        <w:tc>
          <w:tcPr>
            <w:tcW w:w="356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r>
      <w:tr>
        <w:trPr>
          <w:trHeight w:val="285" w:hRule="atLeast"/>
        </w:trPr>
        <w:tc>
          <w:tcPr>
            <w:tcW w:w="178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项目基本情况</w:t>
            </w:r>
          </w:p>
        </w:tc>
        <w:tc>
          <w:tcPr>
            <w:tcW w:w="2055"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1.项目年度目标完成情况</w:t>
            </w:r>
          </w:p>
        </w:tc>
        <w:tc>
          <w:tcPr>
            <w:tcW w:w="7206" w:type="dxa"/>
            <w:gridSpan w:val="5"/>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项目年度目标</w:t>
            </w:r>
          </w:p>
        </w:tc>
        <w:tc>
          <w:tcPr>
            <w:tcW w:w="4659" w:type="dxa"/>
            <w:gridSpan w:val="4"/>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年度目标完成情况</w:t>
            </w:r>
          </w:p>
        </w:tc>
      </w:tr>
      <w:tr>
        <w:tblPrEx>
          <w:tblCellMar>
            <w:top w:w="0" w:type="dxa"/>
            <w:left w:w="108" w:type="dxa"/>
            <w:bottom w:w="0" w:type="dxa"/>
            <w:right w:w="108" w:type="dxa"/>
          </w:tblCellMar>
        </w:tblPrEx>
        <w:trPr>
          <w:trHeight w:val="135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7206" w:type="dxa"/>
            <w:gridSpan w:val="5"/>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为保障我局机构自身正常运转，完成2024年日常工作任务，我局2024年度拟安排财政购买人员服务费经费及机关食堂运转经费2项项目，一是为切实维护局机关食堂的正常运转，加强对食堂的监督管理，保障单位职工就餐问题，主要为日常食材购买、机关食堂维修维护、餐饮用具购置、水电燃油气费等。；二是通过第三方劳务派遣公司派遣劳务人员协助完成交办的各项工作任务，提高工作效率。</w:t>
            </w:r>
          </w:p>
        </w:tc>
        <w:tc>
          <w:tcPr>
            <w:tcW w:w="4659" w:type="dxa"/>
            <w:gridSpan w:val="4"/>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1.保障局机关食堂的正常运转，保障单位职工就餐问题。主要为日常食材购买、机关食堂维修维护、餐饮用具购置等。2.我单位劳务派遣人员，基本能完成交办的任务。</w:t>
            </w:r>
          </w:p>
        </w:tc>
      </w:tr>
      <w:tr>
        <w:trPr>
          <w:trHeight w:val="694"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2.项目实施内容及过程概述</w:t>
            </w:r>
          </w:p>
        </w:tc>
        <w:tc>
          <w:tcPr>
            <w:tcW w:w="11865" w:type="dxa"/>
            <w:gridSpan w:val="9"/>
            <w:tcBorders>
              <w:top w:val="single" w:color="000000" w:sz="4" w:space="0"/>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经办人员收集整理相关资料票据，填写报销单，经报销人、出纳，会计签字后，在由财务分管领导/及主要领导签字后，金额大于2万元需经会议研究。出纳编制预算一体化用款计划，会计审核，由财政局归口股室和国库审核，在由出纳进行支付，会计审核，最终推送至银行。严格按照《会计法》《预算法》等相关规定实施，未出现截留、挪用和违规违纪的现象。</w:t>
            </w:r>
          </w:p>
        </w:tc>
      </w:tr>
      <w:tr>
        <w:tblPrEx>
          <w:tblCellMar>
            <w:top w:w="0" w:type="dxa"/>
            <w:left w:w="108" w:type="dxa"/>
            <w:bottom w:w="0" w:type="dxa"/>
            <w:right w:w="108" w:type="dxa"/>
          </w:tblCellMar>
        </w:tblPrEx>
        <w:trPr>
          <w:trHeight w:val="360" w:hRule="atLeast"/>
        </w:trPr>
        <w:tc>
          <w:tcPr>
            <w:tcW w:w="178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预算执行情况（10分）</w:t>
            </w: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年度预算数（万元）</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年初预算</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调整后预算数</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预算执行数</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86"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54"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原因</w:t>
            </w:r>
          </w:p>
        </w:tc>
      </w:tr>
      <w:tr>
        <w:trPr>
          <w:trHeight w:val="345"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总额</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64.08</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108" w:type="dxa"/>
            <w:bottom w:w="0" w:type="dxa"/>
            <w:right w:w="108" w:type="dxa"/>
          </w:tblCellMar>
        </w:tblPrEx>
        <w:trPr>
          <w:trHeight w:val="390"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其中：财政资金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64.08</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51.66</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rPr>
          <w:trHeight w:val="409"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财政专户管理资金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360"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2717"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54"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54" w:hRule="atLeast"/>
        </w:trPr>
        <w:tc>
          <w:tcPr>
            <w:tcW w:w="1787"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绩效指标（90分）</w:t>
            </w: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指标性质</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度量单位</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未完成原因分析</w:t>
            </w:r>
          </w:p>
        </w:tc>
      </w:tr>
      <w:tr>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7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劳务派遣人数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劳务人员发放工资及时性</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月</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食堂工作日每天出餐次数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次</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454"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食堂工作日卫生每天保洁次数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次</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食品质量安全保障率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干部职工用餐完成及时率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受益人口数</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28</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人次</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可持续影响指标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用餐环境健康保障率</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76"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保障工作开展及正常运转</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98</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干部职工满意度</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98</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1787"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5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77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271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总控制劳务派遣费用</w:t>
            </w:r>
          </w:p>
        </w:tc>
        <w:tc>
          <w:tcPr>
            <w:tcW w:w="111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3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34.0776</w:t>
            </w:r>
          </w:p>
        </w:tc>
        <w:tc>
          <w:tcPr>
            <w:tcW w:w="77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8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2554"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285" w:hRule="atLeast"/>
        </w:trPr>
        <w:tc>
          <w:tcPr>
            <w:tcW w:w="121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486"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255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604" w:hRule="atLeast"/>
        </w:trPr>
        <w:tc>
          <w:tcPr>
            <w:tcW w:w="178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评价结论</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按照国家的法律法规加强管理，对每笔支出严格把关，没有无预算或超预算支出，也没有虚列支出或套取资金、转嫁等问题；没有超标准超范围发放；并未出现违规违纪情况。</w:t>
            </w:r>
          </w:p>
        </w:tc>
      </w:tr>
      <w:tr>
        <w:tblPrEx>
          <w:tblCellMar>
            <w:top w:w="0" w:type="dxa"/>
            <w:left w:w="108" w:type="dxa"/>
            <w:bottom w:w="0" w:type="dxa"/>
            <w:right w:w="108" w:type="dxa"/>
          </w:tblCellMar>
        </w:tblPrEx>
        <w:trPr>
          <w:trHeight w:val="574" w:hRule="atLeast"/>
        </w:trPr>
        <w:tc>
          <w:tcPr>
            <w:tcW w:w="178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存在问题</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rPr>
          <w:trHeight w:val="634" w:hRule="atLeast"/>
        </w:trPr>
        <w:tc>
          <w:tcPr>
            <w:tcW w:w="1787"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改进措施</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285" w:hRule="atLeast"/>
        </w:trPr>
        <w:tc>
          <w:tcPr>
            <w:tcW w:w="94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项目负责人：穆智慧</w:t>
            </w:r>
          </w:p>
        </w:tc>
        <w:tc>
          <w:tcPr>
            <w:tcW w:w="6264"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财务负责人：穆智慧</w:t>
            </w:r>
          </w:p>
        </w:tc>
      </w:tr>
    </w:tbl>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pPr>
    </w:p>
    <w:p>
      <w:pPr>
        <w:pStyle w:val="12"/>
        <w:spacing w:after="0" w:line="560" w:lineRule="exact"/>
        <w:ind w:left="0" w:leftChars="0" w:firstLine="0" w:firstLineChars="0"/>
        <w:rPr>
          <w:rFonts w:ascii="Times New Roman" w:eastAsia="黑体"/>
          <w:sz w:val="24"/>
          <w:szCs w:val="24"/>
        </w:rPr>
        <w:sectPr>
          <w:pgSz w:w="16838" w:h="11906" w:orient="landscape"/>
          <w:pgMar w:top="1474" w:right="1984" w:bottom="1587" w:left="2098" w:header="851" w:footer="992" w:gutter="0"/>
          <w:pgNumType w:fmt="numberInDash"/>
          <w:cols w:space="425" w:num="1"/>
          <w:docGrid w:type="lines" w:linePitch="435" w:charSpace="0"/>
        </w:sectPr>
      </w:pPr>
    </w:p>
    <w:tbl>
      <w:tblPr>
        <w:tblStyle w:val="13"/>
        <w:tblW w:w="15810" w:type="dxa"/>
        <w:tblInd w:w="-1097" w:type="dxa"/>
        <w:tblLayout w:type="autofit"/>
        <w:tblCellMar>
          <w:top w:w="0" w:type="dxa"/>
          <w:left w:w="108" w:type="dxa"/>
          <w:bottom w:w="0" w:type="dxa"/>
          <w:right w:w="108" w:type="dxa"/>
        </w:tblCellMar>
      </w:tblPr>
      <w:tblGrid>
        <w:gridCol w:w="1890"/>
        <w:gridCol w:w="2060"/>
        <w:gridCol w:w="1780"/>
        <w:gridCol w:w="1838"/>
        <w:gridCol w:w="1006"/>
        <w:gridCol w:w="801"/>
        <w:gridCol w:w="1637"/>
        <w:gridCol w:w="1258"/>
        <w:gridCol w:w="520"/>
        <w:gridCol w:w="460"/>
        <w:gridCol w:w="2560"/>
      </w:tblGrid>
      <w:tr>
        <w:tblPrEx>
          <w:tblCellMar>
            <w:top w:w="0" w:type="dxa"/>
            <w:left w:w="108" w:type="dxa"/>
            <w:bottom w:w="0" w:type="dxa"/>
            <w:right w:w="108" w:type="dxa"/>
          </w:tblCellMar>
        </w:tblPrEx>
        <w:trPr>
          <w:trHeight w:val="904" w:hRule="atLeast"/>
        </w:trPr>
        <w:tc>
          <w:tcPr>
            <w:tcW w:w="15810" w:type="dxa"/>
            <w:gridSpan w:val="11"/>
            <w:tcBorders>
              <w:top w:val="nil"/>
              <w:left w:val="nil"/>
              <w:bottom w:val="nil"/>
              <w:right w:val="nil"/>
            </w:tcBorders>
            <w:shd w:val="clear" w:color="auto" w:fill="auto"/>
            <w:vAlign w:val="center"/>
          </w:tcPr>
          <w:p>
            <w:pPr>
              <w:widowControl/>
              <w:jc w:val="center"/>
              <w:rPr>
                <w:rFonts w:ascii="黑体" w:hAnsi="黑体" w:eastAsia="黑体" w:cs="宋体"/>
                <w:b/>
                <w:bCs/>
                <w:color w:val="000000"/>
                <w:kern w:val="0"/>
                <w:sz w:val="30"/>
                <w:szCs w:val="30"/>
              </w:rPr>
            </w:pPr>
            <w:r>
              <w:rPr>
                <w:rFonts w:hint="eastAsia" w:ascii="方正小标宋_GBK" w:hAnsi="方正小标宋_GBK" w:eastAsia="方正小标宋_GBK" w:cs="方正小标宋_GBK"/>
                <w:color w:val="000000"/>
                <w:kern w:val="0"/>
                <w:sz w:val="44"/>
                <w:szCs w:val="44"/>
              </w:rPr>
              <w:t>部门预算项目支出绩效自评表（2024年度）</w:t>
            </w:r>
          </w:p>
        </w:tc>
      </w:tr>
      <w:tr>
        <w:tblPrEx>
          <w:tblCellMar>
            <w:top w:w="0" w:type="dxa"/>
            <w:left w:w="108" w:type="dxa"/>
            <w:bottom w:w="0" w:type="dxa"/>
            <w:right w:w="108" w:type="dxa"/>
          </w:tblCellMar>
        </w:tblPrEx>
        <w:trPr>
          <w:trHeight w:val="285" w:hRule="atLeast"/>
        </w:trPr>
        <w:tc>
          <w:tcPr>
            <w:tcW w:w="39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项目名称</w:t>
            </w:r>
          </w:p>
        </w:tc>
        <w:tc>
          <w:tcPr>
            <w:tcW w:w="11860"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51322824T000011101938-财政金融互动奖补资金</w:t>
            </w:r>
          </w:p>
        </w:tc>
      </w:tr>
      <w:tr>
        <w:trPr>
          <w:trHeight w:val="514" w:hRule="atLeast"/>
        </w:trPr>
        <w:tc>
          <w:tcPr>
            <w:tcW w:w="3950" w:type="dxa"/>
            <w:gridSpan w:val="2"/>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主管部门</w:t>
            </w:r>
          </w:p>
        </w:tc>
        <w:tc>
          <w:tcPr>
            <w:tcW w:w="7062" w:type="dxa"/>
            <w:gridSpan w:val="5"/>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c>
          <w:tcPr>
            <w:tcW w:w="1258" w:type="dxa"/>
            <w:tcBorders>
              <w:top w:val="nil"/>
              <w:left w:val="nil"/>
              <w:bottom w:val="nil"/>
              <w:right w:val="nil"/>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实施单位 （盖章）</w:t>
            </w:r>
          </w:p>
        </w:tc>
        <w:tc>
          <w:tcPr>
            <w:tcW w:w="3540" w:type="dxa"/>
            <w:gridSpan w:val="3"/>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黑水县财政局</w:t>
            </w:r>
          </w:p>
        </w:tc>
      </w:tr>
      <w:tr>
        <w:trPr>
          <w:trHeight w:val="285" w:hRule="atLeast"/>
        </w:trPr>
        <w:tc>
          <w:tcPr>
            <w:tcW w:w="189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项目基本情况</w:t>
            </w: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1.项目年度目标完成情况</w:t>
            </w:r>
          </w:p>
        </w:tc>
        <w:tc>
          <w:tcPr>
            <w:tcW w:w="7062"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项目年度目标</w:t>
            </w:r>
          </w:p>
        </w:tc>
        <w:tc>
          <w:tcPr>
            <w:tcW w:w="4798"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年度目标完成情况</w:t>
            </w:r>
          </w:p>
        </w:tc>
      </w:tr>
      <w:tr>
        <w:tblPrEx>
          <w:tblCellMar>
            <w:top w:w="0" w:type="dxa"/>
            <w:left w:w="108" w:type="dxa"/>
            <w:bottom w:w="0" w:type="dxa"/>
            <w:right w:w="108" w:type="dxa"/>
          </w:tblCellMar>
        </w:tblPrEx>
        <w:trPr>
          <w:trHeight w:val="709"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7062" w:type="dxa"/>
            <w:gridSpan w:val="5"/>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小微、涉农贷款余额和普惠小微贷款余额户数高于上年水平，受益群体满意度100%。</w:t>
            </w:r>
          </w:p>
        </w:tc>
        <w:tc>
          <w:tcPr>
            <w:tcW w:w="4798" w:type="dxa"/>
            <w:gridSpan w:val="4"/>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无</w:t>
            </w:r>
          </w:p>
        </w:tc>
      </w:tr>
      <w:tr>
        <w:tblPrEx>
          <w:tblCellMar>
            <w:top w:w="0" w:type="dxa"/>
            <w:left w:w="108" w:type="dxa"/>
            <w:bottom w:w="0" w:type="dxa"/>
            <w:right w:w="108" w:type="dxa"/>
          </w:tblCellMar>
        </w:tblPrEx>
        <w:trPr>
          <w:trHeight w:val="694"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2.项目实施内容及过程概述</w:t>
            </w:r>
          </w:p>
        </w:tc>
        <w:tc>
          <w:tcPr>
            <w:tcW w:w="11860" w:type="dxa"/>
            <w:gridSpan w:val="9"/>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无</w:t>
            </w:r>
          </w:p>
        </w:tc>
      </w:tr>
      <w:tr>
        <w:trPr>
          <w:trHeight w:val="360" w:hRule="atLeast"/>
        </w:trPr>
        <w:tc>
          <w:tcPr>
            <w:tcW w:w="189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预算执行情况（10分）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年度预算数（万元）</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年初预算</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调整后预算数</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预算执行数</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原因</w:t>
            </w:r>
          </w:p>
        </w:tc>
      </w:tr>
      <w:tr>
        <w:trPr>
          <w:trHeight w:val="345"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总额</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vMerge w:val="restart"/>
            <w:tcBorders>
              <w:top w:val="nil"/>
              <w:left w:val="single" w:color="000000" w:sz="4" w:space="0"/>
              <w:bottom w:val="single" w:color="000000" w:sz="4" w:space="0"/>
              <w:right w:val="single" w:color="000000" w:sz="4" w:space="0"/>
            </w:tcBorders>
            <w:shd w:val="clear" w:color="auto" w:fill="auto"/>
            <w:vAlign w:val="center"/>
          </w:tcPr>
          <w:p>
            <w:pPr>
              <w:spacing w:line="240" w:lineRule="exac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r>
              <w:rPr>
                <w:rFonts w:hint="eastAsia" w:ascii="Courier New" w:hAnsi="Courier New" w:eastAsia="宋体" w:cs="Courier New"/>
                <w:color w:val="000000"/>
                <w:kern w:val="0"/>
                <w:sz w:val="18"/>
                <w:szCs w:val="18"/>
              </w:rPr>
              <w:t>。</w:t>
            </w:r>
          </w:p>
        </w:tc>
      </w:tr>
      <w:tr>
        <w:tblPrEx>
          <w:tblCellMar>
            <w:top w:w="0" w:type="dxa"/>
            <w:left w:w="108" w:type="dxa"/>
            <w:bottom w:w="0" w:type="dxa"/>
            <w:right w:w="108" w:type="dxa"/>
          </w:tblCellMar>
        </w:tblPrEx>
        <w:trPr>
          <w:trHeight w:val="390"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其中：财政资金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09"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财政专户管理资金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rPr>
          <w:trHeight w:val="360"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3444"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560" w:type="dxa"/>
            <w:vMerge w:val="continue"/>
            <w:tcBorders>
              <w:top w:val="nil"/>
              <w:left w:val="single" w:color="000000" w:sz="4" w:space="0"/>
              <w:bottom w:val="single" w:color="000000" w:sz="4" w:space="0"/>
              <w:right w:val="single" w:color="000000" w:sz="4" w:space="0"/>
            </w:tcBorders>
            <w:vAlign w:val="center"/>
          </w:tcPr>
          <w:p>
            <w:pPr>
              <w:widowControl/>
              <w:jc w:val="left"/>
              <w:rPr>
                <w:rFonts w:ascii="Courier New" w:hAnsi="Courier New" w:eastAsia="宋体" w:cs="Courier New"/>
                <w:color w:val="000000"/>
                <w:kern w:val="0"/>
                <w:sz w:val="18"/>
                <w:szCs w:val="18"/>
              </w:rPr>
            </w:pPr>
          </w:p>
        </w:tc>
      </w:tr>
      <w:tr>
        <w:tblPrEx>
          <w:tblCellMar>
            <w:top w:w="0" w:type="dxa"/>
            <w:left w:w="108" w:type="dxa"/>
            <w:bottom w:w="0" w:type="dxa"/>
            <w:right w:w="108" w:type="dxa"/>
          </w:tblCellMar>
        </w:tblPrEx>
        <w:trPr>
          <w:trHeight w:val="454" w:hRule="atLeast"/>
        </w:trPr>
        <w:tc>
          <w:tcPr>
            <w:tcW w:w="189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绩效指标（90分）</w:t>
            </w: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指标性质</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度量单位</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完成值</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得分</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未完成原因分析</w:t>
            </w:r>
          </w:p>
        </w:tc>
      </w:tr>
      <w:tr>
        <w:tblPrEx>
          <w:tblCellMar>
            <w:top w:w="0" w:type="dxa"/>
            <w:left w:w="108" w:type="dxa"/>
            <w:bottom w:w="0" w:type="dxa"/>
            <w:right w:w="108" w:type="dxa"/>
          </w:tblCellMar>
        </w:tblPrEx>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申报奖补资金单位</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个</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454"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经济效益指标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财政资金撬动银行年度贷款余额增量</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普恩小额贷款余额</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338" w:hRule="atLeast"/>
        </w:trPr>
        <w:tc>
          <w:tcPr>
            <w:tcW w:w="189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宋体"/>
                <w:color w:val="000000"/>
                <w:kern w:val="0"/>
                <w:sz w:val="18"/>
                <w:szCs w:val="18"/>
              </w:rPr>
            </w:pPr>
          </w:p>
        </w:tc>
        <w:tc>
          <w:tcPr>
            <w:tcW w:w="20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78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83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申报奖补资金满意度</w:t>
            </w:r>
          </w:p>
        </w:tc>
        <w:tc>
          <w:tcPr>
            <w:tcW w:w="1006"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w:t>
            </w:r>
          </w:p>
        </w:tc>
        <w:tc>
          <w:tcPr>
            <w:tcW w:w="163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258"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46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　</w:t>
            </w:r>
          </w:p>
        </w:tc>
      </w:tr>
      <w:tr>
        <w:tblPrEx>
          <w:tblCellMar>
            <w:top w:w="0" w:type="dxa"/>
            <w:left w:w="108" w:type="dxa"/>
            <w:bottom w:w="0" w:type="dxa"/>
            <w:right w:w="108" w:type="dxa"/>
          </w:tblCellMar>
        </w:tblPrEx>
        <w:trPr>
          <w:trHeight w:val="285" w:hRule="atLeast"/>
        </w:trPr>
        <w:tc>
          <w:tcPr>
            <w:tcW w:w="122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合计</w:t>
            </w:r>
          </w:p>
        </w:tc>
        <w:tc>
          <w:tcPr>
            <w:tcW w:w="5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460" w:type="dxa"/>
            <w:tcBorders>
              <w:top w:val="nil"/>
              <w:left w:val="nil"/>
              <w:bottom w:val="single" w:color="000000" w:sz="4" w:space="0"/>
              <w:right w:val="single" w:color="000000" w:sz="4" w:space="0"/>
            </w:tcBorders>
            <w:shd w:val="clear" w:color="auto" w:fill="auto"/>
            <w:vAlign w:val="center"/>
          </w:tcPr>
          <w:p>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2560"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trPr>
          <w:trHeight w:val="604" w:hRule="atLeast"/>
        </w:trPr>
        <w:tc>
          <w:tcPr>
            <w:tcW w:w="189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评价结论</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该项目未实施，资金财政收回。</w:t>
            </w:r>
          </w:p>
        </w:tc>
      </w:tr>
      <w:tr>
        <w:trPr>
          <w:trHeight w:val="574" w:hRule="atLeast"/>
        </w:trPr>
        <w:tc>
          <w:tcPr>
            <w:tcW w:w="189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存在问题</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634" w:hRule="atLeast"/>
        </w:trPr>
        <w:tc>
          <w:tcPr>
            <w:tcW w:w="1890" w:type="dxa"/>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改进措施</w:t>
            </w:r>
          </w:p>
        </w:tc>
        <w:tc>
          <w:tcPr>
            <w:tcW w:w="13920" w:type="dxa"/>
            <w:gridSpan w:val="10"/>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微软雅黑" w:hAnsi="微软雅黑" w:eastAsia="微软雅黑" w:cs="宋体"/>
                <w:color w:val="000000"/>
                <w:kern w:val="0"/>
                <w:sz w:val="16"/>
                <w:szCs w:val="16"/>
              </w:rPr>
            </w:pPr>
            <w:r>
              <w:rPr>
                <w:rFonts w:hint="eastAsia" w:ascii="微软雅黑" w:hAnsi="微软雅黑" w:eastAsia="微软雅黑" w:cs="宋体"/>
                <w:color w:val="000000"/>
                <w:kern w:val="0"/>
                <w:sz w:val="16"/>
                <w:szCs w:val="16"/>
              </w:rPr>
              <w:t>无</w:t>
            </w:r>
          </w:p>
        </w:tc>
      </w:tr>
      <w:tr>
        <w:tblPrEx>
          <w:tblCellMar>
            <w:top w:w="0" w:type="dxa"/>
            <w:left w:w="108" w:type="dxa"/>
            <w:bottom w:w="0" w:type="dxa"/>
            <w:right w:w="108" w:type="dxa"/>
          </w:tblCellMar>
        </w:tblPrEx>
        <w:trPr>
          <w:trHeight w:val="285" w:hRule="atLeast"/>
        </w:trPr>
        <w:tc>
          <w:tcPr>
            <w:tcW w:w="85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项目负责人：穆智慧</w:t>
            </w:r>
          </w:p>
        </w:tc>
        <w:tc>
          <w:tcPr>
            <w:tcW w:w="7236" w:type="dxa"/>
            <w:gridSpan w:val="6"/>
            <w:tcBorders>
              <w:top w:val="single" w:color="000000" w:sz="4" w:space="0"/>
              <w:left w:val="nil"/>
              <w:bottom w:val="single" w:color="000000" w:sz="4" w:space="0"/>
              <w:right w:val="single" w:color="000000" w:sz="4" w:space="0"/>
            </w:tcBorders>
            <w:shd w:val="clear" w:color="auto" w:fill="auto"/>
            <w:vAlign w:val="center"/>
          </w:tcPr>
          <w:p>
            <w:pPr>
              <w:widowControl/>
              <w:jc w:val="left"/>
              <w:rPr>
                <w:rFonts w:ascii="Courier New" w:hAnsi="Courier New" w:eastAsia="宋体" w:cs="Courier New"/>
                <w:color w:val="000000"/>
                <w:kern w:val="0"/>
                <w:sz w:val="18"/>
                <w:szCs w:val="18"/>
              </w:rPr>
            </w:pPr>
            <w:r>
              <w:rPr>
                <w:rFonts w:ascii="Courier New" w:hAnsi="Courier New" w:eastAsia="宋体" w:cs="Courier New"/>
                <w:color w:val="000000"/>
                <w:kern w:val="0"/>
                <w:sz w:val="18"/>
                <w:szCs w:val="18"/>
              </w:rPr>
              <w:t>财务负责人：穆智慧</w:t>
            </w:r>
          </w:p>
        </w:tc>
      </w:tr>
    </w:tbl>
    <w:p>
      <w:pPr>
        <w:pStyle w:val="12"/>
        <w:spacing w:after="0" w:line="560" w:lineRule="exact"/>
        <w:ind w:left="0" w:leftChars="0" w:firstLine="0" w:firstLineChars="0"/>
        <w:rPr>
          <w:rFonts w:ascii="Times New Roman" w:eastAsia="黑体"/>
          <w:sz w:val="24"/>
          <w:szCs w:val="24"/>
        </w:rPr>
      </w:pPr>
    </w:p>
    <w:sectPr>
      <w:pgSz w:w="16838" w:h="11906" w:orient="landscape"/>
      <w:pgMar w:top="1474" w:right="1984" w:bottom="1587" w:left="2098"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g2NzBmZGI1ODZhMDU1NjZjZmUyMmE1ODg1YTYzNjAifQ=="/>
  </w:docVars>
  <w:rsids>
    <w:rsidRoot w:val="00EC0174"/>
    <w:rsid w:val="00001DA4"/>
    <w:rsid w:val="0000676E"/>
    <w:rsid w:val="00006E4D"/>
    <w:rsid w:val="00010ED2"/>
    <w:rsid w:val="00021652"/>
    <w:rsid w:val="00030311"/>
    <w:rsid w:val="00030782"/>
    <w:rsid w:val="00030B66"/>
    <w:rsid w:val="00044BC4"/>
    <w:rsid w:val="00045078"/>
    <w:rsid w:val="0006102A"/>
    <w:rsid w:val="00065B0F"/>
    <w:rsid w:val="00065E7E"/>
    <w:rsid w:val="00073F26"/>
    <w:rsid w:val="00076585"/>
    <w:rsid w:val="000820BB"/>
    <w:rsid w:val="0008241B"/>
    <w:rsid w:val="00086072"/>
    <w:rsid w:val="000866D2"/>
    <w:rsid w:val="00092280"/>
    <w:rsid w:val="00095AE3"/>
    <w:rsid w:val="00096F3E"/>
    <w:rsid w:val="00097FAE"/>
    <w:rsid w:val="000A177C"/>
    <w:rsid w:val="000A3233"/>
    <w:rsid w:val="000A7CE3"/>
    <w:rsid w:val="000B04D6"/>
    <w:rsid w:val="000B15CE"/>
    <w:rsid w:val="000C40C6"/>
    <w:rsid w:val="000C79C1"/>
    <w:rsid w:val="000D208A"/>
    <w:rsid w:val="000D6258"/>
    <w:rsid w:val="000E037E"/>
    <w:rsid w:val="000F3DED"/>
    <w:rsid w:val="000F659A"/>
    <w:rsid w:val="000F77B0"/>
    <w:rsid w:val="0010235D"/>
    <w:rsid w:val="00103A47"/>
    <w:rsid w:val="00106D4D"/>
    <w:rsid w:val="001119A2"/>
    <w:rsid w:val="00113AB4"/>
    <w:rsid w:val="0011519E"/>
    <w:rsid w:val="001221D6"/>
    <w:rsid w:val="00124578"/>
    <w:rsid w:val="00124ADE"/>
    <w:rsid w:val="0012510A"/>
    <w:rsid w:val="00125F67"/>
    <w:rsid w:val="001261AE"/>
    <w:rsid w:val="00127EBB"/>
    <w:rsid w:val="001348A4"/>
    <w:rsid w:val="00137A71"/>
    <w:rsid w:val="0014117C"/>
    <w:rsid w:val="001442E3"/>
    <w:rsid w:val="00146FE8"/>
    <w:rsid w:val="0014767B"/>
    <w:rsid w:val="00147AED"/>
    <w:rsid w:val="0015556D"/>
    <w:rsid w:val="00156831"/>
    <w:rsid w:val="00157F14"/>
    <w:rsid w:val="001766FE"/>
    <w:rsid w:val="00177AAF"/>
    <w:rsid w:val="00183850"/>
    <w:rsid w:val="00184D9F"/>
    <w:rsid w:val="001851B3"/>
    <w:rsid w:val="00196147"/>
    <w:rsid w:val="001A4749"/>
    <w:rsid w:val="001A4842"/>
    <w:rsid w:val="001A5833"/>
    <w:rsid w:val="001B2B3F"/>
    <w:rsid w:val="001C2158"/>
    <w:rsid w:val="001C365A"/>
    <w:rsid w:val="001C44CC"/>
    <w:rsid w:val="001C4DE9"/>
    <w:rsid w:val="001C51F2"/>
    <w:rsid w:val="001C52C6"/>
    <w:rsid w:val="001C73AB"/>
    <w:rsid w:val="001D2EA4"/>
    <w:rsid w:val="001E4E8D"/>
    <w:rsid w:val="001F2995"/>
    <w:rsid w:val="001F47CE"/>
    <w:rsid w:val="001F5776"/>
    <w:rsid w:val="0020620D"/>
    <w:rsid w:val="002069BC"/>
    <w:rsid w:val="002069EB"/>
    <w:rsid w:val="00213619"/>
    <w:rsid w:val="00215E0C"/>
    <w:rsid w:val="002167ED"/>
    <w:rsid w:val="002201B0"/>
    <w:rsid w:val="00220900"/>
    <w:rsid w:val="0022307E"/>
    <w:rsid w:val="00224D05"/>
    <w:rsid w:val="00225BDA"/>
    <w:rsid w:val="00226669"/>
    <w:rsid w:val="002323A3"/>
    <w:rsid w:val="00234D87"/>
    <w:rsid w:val="00235E19"/>
    <w:rsid w:val="00236EF7"/>
    <w:rsid w:val="0024058A"/>
    <w:rsid w:val="002410C0"/>
    <w:rsid w:val="00241BDB"/>
    <w:rsid w:val="002471B1"/>
    <w:rsid w:val="00252894"/>
    <w:rsid w:val="00253FA6"/>
    <w:rsid w:val="00254728"/>
    <w:rsid w:val="00254F9D"/>
    <w:rsid w:val="002550E7"/>
    <w:rsid w:val="002558D4"/>
    <w:rsid w:val="00255A00"/>
    <w:rsid w:val="002560E2"/>
    <w:rsid w:val="00260EF9"/>
    <w:rsid w:val="00264CFA"/>
    <w:rsid w:val="0026683D"/>
    <w:rsid w:val="00267005"/>
    <w:rsid w:val="00270DD7"/>
    <w:rsid w:val="00276F4A"/>
    <w:rsid w:val="00280BFB"/>
    <w:rsid w:val="00280C88"/>
    <w:rsid w:val="00281D60"/>
    <w:rsid w:val="002973A4"/>
    <w:rsid w:val="002A0195"/>
    <w:rsid w:val="002A600D"/>
    <w:rsid w:val="002B54AB"/>
    <w:rsid w:val="002B5B34"/>
    <w:rsid w:val="002B6906"/>
    <w:rsid w:val="002B7215"/>
    <w:rsid w:val="002C0AFD"/>
    <w:rsid w:val="002C59D0"/>
    <w:rsid w:val="002D1A18"/>
    <w:rsid w:val="002D6C79"/>
    <w:rsid w:val="002E1104"/>
    <w:rsid w:val="002E3FDD"/>
    <w:rsid w:val="00300EF4"/>
    <w:rsid w:val="00301353"/>
    <w:rsid w:val="0030148D"/>
    <w:rsid w:val="00305FF6"/>
    <w:rsid w:val="00306AD0"/>
    <w:rsid w:val="00307568"/>
    <w:rsid w:val="00311506"/>
    <w:rsid w:val="003137A8"/>
    <w:rsid w:val="00313DFC"/>
    <w:rsid w:val="00316ADB"/>
    <w:rsid w:val="00317623"/>
    <w:rsid w:val="003216A7"/>
    <w:rsid w:val="00322FAF"/>
    <w:rsid w:val="003260D0"/>
    <w:rsid w:val="00330130"/>
    <w:rsid w:val="00333613"/>
    <w:rsid w:val="00335F67"/>
    <w:rsid w:val="003361E9"/>
    <w:rsid w:val="00350A65"/>
    <w:rsid w:val="00351A0F"/>
    <w:rsid w:val="00361C85"/>
    <w:rsid w:val="00371352"/>
    <w:rsid w:val="00376753"/>
    <w:rsid w:val="003805E0"/>
    <w:rsid w:val="00382223"/>
    <w:rsid w:val="0038541D"/>
    <w:rsid w:val="003867F1"/>
    <w:rsid w:val="00387818"/>
    <w:rsid w:val="00391A13"/>
    <w:rsid w:val="00391FD0"/>
    <w:rsid w:val="003A127A"/>
    <w:rsid w:val="003A3D40"/>
    <w:rsid w:val="003A44FC"/>
    <w:rsid w:val="003B3299"/>
    <w:rsid w:val="003D10A2"/>
    <w:rsid w:val="003D33B8"/>
    <w:rsid w:val="003D433C"/>
    <w:rsid w:val="003D588F"/>
    <w:rsid w:val="003D624D"/>
    <w:rsid w:val="003D719A"/>
    <w:rsid w:val="003E41D4"/>
    <w:rsid w:val="003F5EB7"/>
    <w:rsid w:val="003F7FE2"/>
    <w:rsid w:val="004004E7"/>
    <w:rsid w:val="0040205A"/>
    <w:rsid w:val="00416E1A"/>
    <w:rsid w:val="00426A3F"/>
    <w:rsid w:val="004277D4"/>
    <w:rsid w:val="00442FD1"/>
    <w:rsid w:val="00452790"/>
    <w:rsid w:val="00461638"/>
    <w:rsid w:val="00462F82"/>
    <w:rsid w:val="0046583F"/>
    <w:rsid w:val="004706FA"/>
    <w:rsid w:val="00474D8D"/>
    <w:rsid w:val="00475CCD"/>
    <w:rsid w:val="00476C0A"/>
    <w:rsid w:val="00477266"/>
    <w:rsid w:val="004811BC"/>
    <w:rsid w:val="00483688"/>
    <w:rsid w:val="004838F2"/>
    <w:rsid w:val="00486492"/>
    <w:rsid w:val="00492CF6"/>
    <w:rsid w:val="004975F5"/>
    <w:rsid w:val="004A4C9D"/>
    <w:rsid w:val="004A6ED8"/>
    <w:rsid w:val="004C2078"/>
    <w:rsid w:val="004C228F"/>
    <w:rsid w:val="004C37CE"/>
    <w:rsid w:val="004C3CD0"/>
    <w:rsid w:val="004C50FC"/>
    <w:rsid w:val="004D3AE0"/>
    <w:rsid w:val="004E0951"/>
    <w:rsid w:val="004E1055"/>
    <w:rsid w:val="004E407F"/>
    <w:rsid w:val="004E752F"/>
    <w:rsid w:val="004F046D"/>
    <w:rsid w:val="004F1E37"/>
    <w:rsid w:val="004F5B5A"/>
    <w:rsid w:val="00502ECA"/>
    <w:rsid w:val="00503E1E"/>
    <w:rsid w:val="00514B38"/>
    <w:rsid w:val="00515198"/>
    <w:rsid w:val="00521C44"/>
    <w:rsid w:val="005266AA"/>
    <w:rsid w:val="005274E1"/>
    <w:rsid w:val="00531DDF"/>
    <w:rsid w:val="00535F07"/>
    <w:rsid w:val="00535FA6"/>
    <w:rsid w:val="0053698E"/>
    <w:rsid w:val="00542AB7"/>
    <w:rsid w:val="0055358D"/>
    <w:rsid w:val="005540C8"/>
    <w:rsid w:val="00555371"/>
    <w:rsid w:val="00555809"/>
    <w:rsid w:val="00562165"/>
    <w:rsid w:val="00571B46"/>
    <w:rsid w:val="005756AF"/>
    <w:rsid w:val="00575A4A"/>
    <w:rsid w:val="00590886"/>
    <w:rsid w:val="00591B6F"/>
    <w:rsid w:val="005A1DAF"/>
    <w:rsid w:val="005B0680"/>
    <w:rsid w:val="005C0B9B"/>
    <w:rsid w:val="005C17C8"/>
    <w:rsid w:val="005C2098"/>
    <w:rsid w:val="005C2E6C"/>
    <w:rsid w:val="005C69D6"/>
    <w:rsid w:val="005D018D"/>
    <w:rsid w:val="005D0CCF"/>
    <w:rsid w:val="005D0EBD"/>
    <w:rsid w:val="005D1C01"/>
    <w:rsid w:val="005D6198"/>
    <w:rsid w:val="005E297D"/>
    <w:rsid w:val="005E3F12"/>
    <w:rsid w:val="005E7091"/>
    <w:rsid w:val="005F627E"/>
    <w:rsid w:val="00603B7F"/>
    <w:rsid w:val="0061652E"/>
    <w:rsid w:val="006205E9"/>
    <w:rsid w:val="00622D0B"/>
    <w:rsid w:val="006270DA"/>
    <w:rsid w:val="00627DA2"/>
    <w:rsid w:val="00630B75"/>
    <w:rsid w:val="006340C5"/>
    <w:rsid w:val="006341E0"/>
    <w:rsid w:val="00634DFF"/>
    <w:rsid w:val="00635337"/>
    <w:rsid w:val="006422CF"/>
    <w:rsid w:val="0064239F"/>
    <w:rsid w:val="0064265B"/>
    <w:rsid w:val="0064519C"/>
    <w:rsid w:val="00650248"/>
    <w:rsid w:val="0065082E"/>
    <w:rsid w:val="006512D0"/>
    <w:rsid w:val="00652663"/>
    <w:rsid w:val="006535B3"/>
    <w:rsid w:val="006560A3"/>
    <w:rsid w:val="00656301"/>
    <w:rsid w:val="006600C9"/>
    <w:rsid w:val="006701CC"/>
    <w:rsid w:val="00671423"/>
    <w:rsid w:val="00671F58"/>
    <w:rsid w:val="006762A4"/>
    <w:rsid w:val="006900E7"/>
    <w:rsid w:val="00691ED3"/>
    <w:rsid w:val="006A00A8"/>
    <w:rsid w:val="006A37DD"/>
    <w:rsid w:val="006A4361"/>
    <w:rsid w:val="006A482D"/>
    <w:rsid w:val="006B0C28"/>
    <w:rsid w:val="006B11E0"/>
    <w:rsid w:val="006B181E"/>
    <w:rsid w:val="006B386A"/>
    <w:rsid w:val="006B7CB4"/>
    <w:rsid w:val="006C0A61"/>
    <w:rsid w:val="006C24D3"/>
    <w:rsid w:val="006C7917"/>
    <w:rsid w:val="006D2C9D"/>
    <w:rsid w:val="006D6071"/>
    <w:rsid w:val="006E51AE"/>
    <w:rsid w:val="006F024C"/>
    <w:rsid w:val="006F29E1"/>
    <w:rsid w:val="006F334B"/>
    <w:rsid w:val="0070081F"/>
    <w:rsid w:val="007018F5"/>
    <w:rsid w:val="007029D9"/>
    <w:rsid w:val="00702D14"/>
    <w:rsid w:val="00710897"/>
    <w:rsid w:val="00712F45"/>
    <w:rsid w:val="00716567"/>
    <w:rsid w:val="00720A2F"/>
    <w:rsid w:val="00734305"/>
    <w:rsid w:val="007370E1"/>
    <w:rsid w:val="00771383"/>
    <w:rsid w:val="007732A1"/>
    <w:rsid w:val="00774C4A"/>
    <w:rsid w:val="00782BBB"/>
    <w:rsid w:val="007854B2"/>
    <w:rsid w:val="007A0690"/>
    <w:rsid w:val="007A078F"/>
    <w:rsid w:val="007B34D4"/>
    <w:rsid w:val="007B36DC"/>
    <w:rsid w:val="007C0633"/>
    <w:rsid w:val="007D086C"/>
    <w:rsid w:val="007F1BE1"/>
    <w:rsid w:val="007F6878"/>
    <w:rsid w:val="007F707F"/>
    <w:rsid w:val="007F794C"/>
    <w:rsid w:val="007F7AC9"/>
    <w:rsid w:val="007F7BD9"/>
    <w:rsid w:val="00801C1C"/>
    <w:rsid w:val="00803B42"/>
    <w:rsid w:val="008073EF"/>
    <w:rsid w:val="0081095C"/>
    <w:rsid w:val="00810C41"/>
    <w:rsid w:val="00813E74"/>
    <w:rsid w:val="00814740"/>
    <w:rsid w:val="00814DB6"/>
    <w:rsid w:val="008212FF"/>
    <w:rsid w:val="00824524"/>
    <w:rsid w:val="0082593B"/>
    <w:rsid w:val="00827537"/>
    <w:rsid w:val="0083478A"/>
    <w:rsid w:val="00845B78"/>
    <w:rsid w:val="008468EA"/>
    <w:rsid w:val="00846EE3"/>
    <w:rsid w:val="008477B6"/>
    <w:rsid w:val="00851D46"/>
    <w:rsid w:val="00855D38"/>
    <w:rsid w:val="00861DD1"/>
    <w:rsid w:val="00867140"/>
    <w:rsid w:val="00881134"/>
    <w:rsid w:val="00884926"/>
    <w:rsid w:val="008903FA"/>
    <w:rsid w:val="008904F0"/>
    <w:rsid w:val="00894931"/>
    <w:rsid w:val="008A6039"/>
    <w:rsid w:val="008B2D01"/>
    <w:rsid w:val="008B2F27"/>
    <w:rsid w:val="008B4A72"/>
    <w:rsid w:val="008B585E"/>
    <w:rsid w:val="008B6673"/>
    <w:rsid w:val="008B7FC7"/>
    <w:rsid w:val="008C42F4"/>
    <w:rsid w:val="008C49C4"/>
    <w:rsid w:val="008C68B8"/>
    <w:rsid w:val="008D028C"/>
    <w:rsid w:val="008D0A37"/>
    <w:rsid w:val="008D2C8A"/>
    <w:rsid w:val="008E6C0C"/>
    <w:rsid w:val="008F1E63"/>
    <w:rsid w:val="008F3052"/>
    <w:rsid w:val="008F4D81"/>
    <w:rsid w:val="009011DE"/>
    <w:rsid w:val="00901E19"/>
    <w:rsid w:val="0090209D"/>
    <w:rsid w:val="009043D5"/>
    <w:rsid w:val="0091367F"/>
    <w:rsid w:val="009150DD"/>
    <w:rsid w:val="009214F7"/>
    <w:rsid w:val="00921CD7"/>
    <w:rsid w:val="00932A58"/>
    <w:rsid w:val="00933FDB"/>
    <w:rsid w:val="00940EB6"/>
    <w:rsid w:val="00944771"/>
    <w:rsid w:val="00956AE9"/>
    <w:rsid w:val="00957946"/>
    <w:rsid w:val="009601FC"/>
    <w:rsid w:val="00965426"/>
    <w:rsid w:val="0096654A"/>
    <w:rsid w:val="009711E4"/>
    <w:rsid w:val="00971572"/>
    <w:rsid w:val="00971963"/>
    <w:rsid w:val="00981E55"/>
    <w:rsid w:val="00986C32"/>
    <w:rsid w:val="00986CEF"/>
    <w:rsid w:val="00987212"/>
    <w:rsid w:val="009926FC"/>
    <w:rsid w:val="009A0E5F"/>
    <w:rsid w:val="009A675F"/>
    <w:rsid w:val="009D6E02"/>
    <w:rsid w:val="009E3A1D"/>
    <w:rsid w:val="009F115B"/>
    <w:rsid w:val="009F179E"/>
    <w:rsid w:val="009F1AF3"/>
    <w:rsid w:val="009F233E"/>
    <w:rsid w:val="009F4E88"/>
    <w:rsid w:val="00A01050"/>
    <w:rsid w:val="00A024AB"/>
    <w:rsid w:val="00A050A5"/>
    <w:rsid w:val="00A05B8B"/>
    <w:rsid w:val="00A1372F"/>
    <w:rsid w:val="00A170EC"/>
    <w:rsid w:val="00A217B3"/>
    <w:rsid w:val="00A21C44"/>
    <w:rsid w:val="00A23D04"/>
    <w:rsid w:val="00A277D9"/>
    <w:rsid w:val="00A30CEB"/>
    <w:rsid w:val="00A31318"/>
    <w:rsid w:val="00A37BB8"/>
    <w:rsid w:val="00A5432A"/>
    <w:rsid w:val="00A55F8A"/>
    <w:rsid w:val="00A64A26"/>
    <w:rsid w:val="00A73455"/>
    <w:rsid w:val="00A90DCA"/>
    <w:rsid w:val="00A9670E"/>
    <w:rsid w:val="00AA1423"/>
    <w:rsid w:val="00AB3B0C"/>
    <w:rsid w:val="00AB7996"/>
    <w:rsid w:val="00AC0F39"/>
    <w:rsid w:val="00AC43C3"/>
    <w:rsid w:val="00AC6566"/>
    <w:rsid w:val="00AC6CC9"/>
    <w:rsid w:val="00AD05F3"/>
    <w:rsid w:val="00AE2EAD"/>
    <w:rsid w:val="00AF0654"/>
    <w:rsid w:val="00AF77BE"/>
    <w:rsid w:val="00B05544"/>
    <w:rsid w:val="00B11CEE"/>
    <w:rsid w:val="00B147DA"/>
    <w:rsid w:val="00B15F33"/>
    <w:rsid w:val="00B1710C"/>
    <w:rsid w:val="00B20C23"/>
    <w:rsid w:val="00B20F0A"/>
    <w:rsid w:val="00B21EAF"/>
    <w:rsid w:val="00B23428"/>
    <w:rsid w:val="00B264BF"/>
    <w:rsid w:val="00B26968"/>
    <w:rsid w:val="00B27CE8"/>
    <w:rsid w:val="00B401BA"/>
    <w:rsid w:val="00B42E74"/>
    <w:rsid w:val="00B46874"/>
    <w:rsid w:val="00B50E8F"/>
    <w:rsid w:val="00B51151"/>
    <w:rsid w:val="00B523E4"/>
    <w:rsid w:val="00B52B4F"/>
    <w:rsid w:val="00B563F5"/>
    <w:rsid w:val="00B60A3F"/>
    <w:rsid w:val="00B6108C"/>
    <w:rsid w:val="00B649AD"/>
    <w:rsid w:val="00B64B9C"/>
    <w:rsid w:val="00B67A3E"/>
    <w:rsid w:val="00B735CC"/>
    <w:rsid w:val="00B82C95"/>
    <w:rsid w:val="00B83F87"/>
    <w:rsid w:val="00B84DFD"/>
    <w:rsid w:val="00B95763"/>
    <w:rsid w:val="00BA13C4"/>
    <w:rsid w:val="00BA3B51"/>
    <w:rsid w:val="00BB0E59"/>
    <w:rsid w:val="00BB2ACC"/>
    <w:rsid w:val="00BB3C84"/>
    <w:rsid w:val="00BB4E38"/>
    <w:rsid w:val="00BB583B"/>
    <w:rsid w:val="00BB6171"/>
    <w:rsid w:val="00BB61E2"/>
    <w:rsid w:val="00BC30EF"/>
    <w:rsid w:val="00BC368E"/>
    <w:rsid w:val="00BC3879"/>
    <w:rsid w:val="00BD0E0D"/>
    <w:rsid w:val="00BD41BC"/>
    <w:rsid w:val="00BD55AD"/>
    <w:rsid w:val="00BD68D2"/>
    <w:rsid w:val="00BE0305"/>
    <w:rsid w:val="00BF15F0"/>
    <w:rsid w:val="00BF240E"/>
    <w:rsid w:val="00BF7DF9"/>
    <w:rsid w:val="00C02292"/>
    <w:rsid w:val="00C03559"/>
    <w:rsid w:val="00C05395"/>
    <w:rsid w:val="00C22AD7"/>
    <w:rsid w:val="00C26D8C"/>
    <w:rsid w:val="00C272C1"/>
    <w:rsid w:val="00C27423"/>
    <w:rsid w:val="00C32A68"/>
    <w:rsid w:val="00C34282"/>
    <w:rsid w:val="00C35350"/>
    <w:rsid w:val="00C3564B"/>
    <w:rsid w:val="00C357A6"/>
    <w:rsid w:val="00C37A3C"/>
    <w:rsid w:val="00C37D04"/>
    <w:rsid w:val="00C4483A"/>
    <w:rsid w:val="00C47F39"/>
    <w:rsid w:val="00C53721"/>
    <w:rsid w:val="00C63CE0"/>
    <w:rsid w:val="00C64150"/>
    <w:rsid w:val="00C64D2E"/>
    <w:rsid w:val="00C70B25"/>
    <w:rsid w:val="00C70D9B"/>
    <w:rsid w:val="00C70F97"/>
    <w:rsid w:val="00C7497C"/>
    <w:rsid w:val="00C757A2"/>
    <w:rsid w:val="00C75966"/>
    <w:rsid w:val="00C76577"/>
    <w:rsid w:val="00C80225"/>
    <w:rsid w:val="00C81349"/>
    <w:rsid w:val="00C855B5"/>
    <w:rsid w:val="00C90B65"/>
    <w:rsid w:val="00C93139"/>
    <w:rsid w:val="00CA07BB"/>
    <w:rsid w:val="00CA08A0"/>
    <w:rsid w:val="00CA32D2"/>
    <w:rsid w:val="00CA4E07"/>
    <w:rsid w:val="00CA630F"/>
    <w:rsid w:val="00CA737D"/>
    <w:rsid w:val="00CB0AEA"/>
    <w:rsid w:val="00CB1EF5"/>
    <w:rsid w:val="00CC05D4"/>
    <w:rsid w:val="00CC3827"/>
    <w:rsid w:val="00CC4C0E"/>
    <w:rsid w:val="00CC7166"/>
    <w:rsid w:val="00CD4303"/>
    <w:rsid w:val="00CE4220"/>
    <w:rsid w:val="00CF2B1B"/>
    <w:rsid w:val="00CF3B5B"/>
    <w:rsid w:val="00CF5275"/>
    <w:rsid w:val="00CF6136"/>
    <w:rsid w:val="00D0023D"/>
    <w:rsid w:val="00D006C6"/>
    <w:rsid w:val="00D1161A"/>
    <w:rsid w:val="00D14A65"/>
    <w:rsid w:val="00D14B31"/>
    <w:rsid w:val="00D159CF"/>
    <w:rsid w:val="00D162B9"/>
    <w:rsid w:val="00D17E12"/>
    <w:rsid w:val="00D249D4"/>
    <w:rsid w:val="00D251E2"/>
    <w:rsid w:val="00D254F4"/>
    <w:rsid w:val="00D263A7"/>
    <w:rsid w:val="00D26A30"/>
    <w:rsid w:val="00D26B5D"/>
    <w:rsid w:val="00D319C3"/>
    <w:rsid w:val="00D33159"/>
    <w:rsid w:val="00D33883"/>
    <w:rsid w:val="00D33A19"/>
    <w:rsid w:val="00D34AEA"/>
    <w:rsid w:val="00D355B5"/>
    <w:rsid w:val="00D35782"/>
    <w:rsid w:val="00D43DC3"/>
    <w:rsid w:val="00D473B4"/>
    <w:rsid w:val="00D4783A"/>
    <w:rsid w:val="00D51791"/>
    <w:rsid w:val="00D5281E"/>
    <w:rsid w:val="00D573AE"/>
    <w:rsid w:val="00D60560"/>
    <w:rsid w:val="00D615B3"/>
    <w:rsid w:val="00D6531B"/>
    <w:rsid w:val="00D6612D"/>
    <w:rsid w:val="00D70B88"/>
    <w:rsid w:val="00D71AD9"/>
    <w:rsid w:val="00D73C02"/>
    <w:rsid w:val="00D85AF4"/>
    <w:rsid w:val="00D872ED"/>
    <w:rsid w:val="00D91100"/>
    <w:rsid w:val="00D913C6"/>
    <w:rsid w:val="00D958BB"/>
    <w:rsid w:val="00D968A5"/>
    <w:rsid w:val="00DA0236"/>
    <w:rsid w:val="00DA5D51"/>
    <w:rsid w:val="00DA5E29"/>
    <w:rsid w:val="00DA61CA"/>
    <w:rsid w:val="00DB42BC"/>
    <w:rsid w:val="00DB66BB"/>
    <w:rsid w:val="00DB73AF"/>
    <w:rsid w:val="00DB76AC"/>
    <w:rsid w:val="00DC2865"/>
    <w:rsid w:val="00DC6B18"/>
    <w:rsid w:val="00DD0894"/>
    <w:rsid w:val="00DD3CF3"/>
    <w:rsid w:val="00DE00C0"/>
    <w:rsid w:val="00DE1888"/>
    <w:rsid w:val="00DE7B6C"/>
    <w:rsid w:val="00DF1250"/>
    <w:rsid w:val="00DF4A38"/>
    <w:rsid w:val="00DF5BA6"/>
    <w:rsid w:val="00DF6EF7"/>
    <w:rsid w:val="00E01594"/>
    <w:rsid w:val="00E05454"/>
    <w:rsid w:val="00E074C3"/>
    <w:rsid w:val="00E127FF"/>
    <w:rsid w:val="00E16EE2"/>
    <w:rsid w:val="00E23329"/>
    <w:rsid w:val="00E24D6D"/>
    <w:rsid w:val="00E30EC7"/>
    <w:rsid w:val="00E3415D"/>
    <w:rsid w:val="00E341B2"/>
    <w:rsid w:val="00E42633"/>
    <w:rsid w:val="00E457BF"/>
    <w:rsid w:val="00E543E6"/>
    <w:rsid w:val="00E5699E"/>
    <w:rsid w:val="00E570E1"/>
    <w:rsid w:val="00E60ADC"/>
    <w:rsid w:val="00E72773"/>
    <w:rsid w:val="00E73D70"/>
    <w:rsid w:val="00E76739"/>
    <w:rsid w:val="00E81946"/>
    <w:rsid w:val="00E82BB7"/>
    <w:rsid w:val="00E82CE2"/>
    <w:rsid w:val="00E84ED8"/>
    <w:rsid w:val="00E86D13"/>
    <w:rsid w:val="00E8778E"/>
    <w:rsid w:val="00E91BCA"/>
    <w:rsid w:val="00E936C2"/>
    <w:rsid w:val="00E95346"/>
    <w:rsid w:val="00E96E05"/>
    <w:rsid w:val="00EA0CEF"/>
    <w:rsid w:val="00EA2748"/>
    <w:rsid w:val="00EA2E2A"/>
    <w:rsid w:val="00EB207A"/>
    <w:rsid w:val="00EB2438"/>
    <w:rsid w:val="00EB785C"/>
    <w:rsid w:val="00EB79D2"/>
    <w:rsid w:val="00EC0174"/>
    <w:rsid w:val="00EC763B"/>
    <w:rsid w:val="00ED3EEB"/>
    <w:rsid w:val="00ED5749"/>
    <w:rsid w:val="00ED5FA3"/>
    <w:rsid w:val="00ED68C4"/>
    <w:rsid w:val="00ED6A4E"/>
    <w:rsid w:val="00ED72EA"/>
    <w:rsid w:val="00EE072D"/>
    <w:rsid w:val="00EE3A4F"/>
    <w:rsid w:val="00EE7F05"/>
    <w:rsid w:val="00EF10C3"/>
    <w:rsid w:val="00EF2781"/>
    <w:rsid w:val="00EF3BD2"/>
    <w:rsid w:val="00F112AE"/>
    <w:rsid w:val="00F16BCE"/>
    <w:rsid w:val="00F45DA1"/>
    <w:rsid w:val="00F5267B"/>
    <w:rsid w:val="00F52860"/>
    <w:rsid w:val="00F53E8B"/>
    <w:rsid w:val="00F663FD"/>
    <w:rsid w:val="00F70120"/>
    <w:rsid w:val="00F743B0"/>
    <w:rsid w:val="00F76D9E"/>
    <w:rsid w:val="00F77D4E"/>
    <w:rsid w:val="00F82409"/>
    <w:rsid w:val="00F8264F"/>
    <w:rsid w:val="00F82D3F"/>
    <w:rsid w:val="00F833E9"/>
    <w:rsid w:val="00F84580"/>
    <w:rsid w:val="00F873DA"/>
    <w:rsid w:val="00F87D0D"/>
    <w:rsid w:val="00F95982"/>
    <w:rsid w:val="00FA006C"/>
    <w:rsid w:val="00FA190E"/>
    <w:rsid w:val="00FA288B"/>
    <w:rsid w:val="00FA2997"/>
    <w:rsid w:val="00FA2C71"/>
    <w:rsid w:val="00FA46FD"/>
    <w:rsid w:val="00FB1C17"/>
    <w:rsid w:val="00FB3345"/>
    <w:rsid w:val="00FC539D"/>
    <w:rsid w:val="00FC543E"/>
    <w:rsid w:val="00FC5F37"/>
    <w:rsid w:val="00FD01D6"/>
    <w:rsid w:val="00FD0228"/>
    <w:rsid w:val="00FD3BB7"/>
    <w:rsid w:val="00FD7BC3"/>
    <w:rsid w:val="00FE0D93"/>
    <w:rsid w:val="00FE6718"/>
    <w:rsid w:val="00FF2572"/>
    <w:rsid w:val="00FF32AD"/>
    <w:rsid w:val="00FF714E"/>
    <w:rsid w:val="0DC31556"/>
    <w:rsid w:val="1A3D6143"/>
    <w:rsid w:val="1C013801"/>
    <w:rsid w:val="1DFD8D3B"/>
    <w:rsid w:val="1FB79DC9"/>
    <w:rsid w:val="1FBFC3F2"/>
    <w:rsid w:val="1FFFE033"/>
    <w:rsid w:val="27F352A6"/>
    <w:rsid w:val="2D527252"/>
    <w:rsid w:val="2DDC1740"/>
    <w:rsid w:val="2EAE55F2"/>
    <w:rsid w:val="2EDF4302"/>
    <w:rsid w:val="2EFE1A04"/>
    <w:rsid w:val="35BBF80F"/>
    <w:rsid w:val="3B736F08"/>
    <w:rsid w:val="3BE3D531"/>
    <w:rsid w:val="3D431A40"/>
    <w:rsid w:val="3EFF42CA"/>
    <w:rsid w:val="3F6FCA38"/>
    <w:rsid w:val="3FD5AF3D"/>
    <w:rsid w:val="3FFED8BE"/>
    <w:rsid w:val="3FFF43BB"/>
    <w:rsid w:val="433DCF8E"/>
    <w:rsid w:val="45FF973D"/>
    <w:rsid w:val="47550EBA"/>
    <w:rsid w:val="4BF7E09D"/>
    <w:rsid w:val="4FFFFC3E"/>
    <w:rsid w:val="53BB74FC"/>
    <w:rsid w:val="55FDDF92"/>
    <w:rsid w:val="55FFBC03"/>
    <w:rsid w:val="56CDA72E"/>
    <w:rsid w:val="576F5916"/>
    <w:rsid w:val="577FDAE2"/>
    <w:rsid w:val="57FBE2C7"/>
    <w:rsid w:val="5B335734"/>
    <w:rsid w:val="5B7F322F"/>
    <w:rsid w:val="5BCAB023"/>
    <w:rsid w:val="5DDA9B94"/>
    <w:rsid w:val="5EAB810D"/>
    <w:rsid w:val="5EFF9DA6"/>
    <w:rsid w:val="5F7751B9"/>
    <w:rsid w:val="5F9F7232"/>
    <w:rsid w:val="5F9F9588"/>
    <w:rsid w:val="5FBD32D2"/>
    <w:rsid w:val="5FD450B0"/>
    <w:rsid w:val="5FEF60CD"/>
    <w:rsid w:val="5FFB203D"/>
    <w:rsid w:val="5FFB8CF9"/>
    <w:rsid w:val="63DBAF21"/>
    <w:rsid w:val="6636451A"/>
    <w:rsid w:val="67DE80AA"/>
    <w:rsid w:val="68895305"/>
    <w:rsid w:val="697E3B47"/>
    <w:rsid w:val="69BF132E"/>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1397E03"/>
    <w:rsid w:val="71FB5B08"/>
    <w:rsid w:val="73FB87D9"/>
    <w:rsid w:val="75EF0FBA"/>
    <w:rsid w:val="7607C293"/>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773775"/>
    <w:rsid w:val="F7E7F921"/>
    <w:rsid w:val="F7F7AC6A"/>
    <w:rsid w:val="F7FD93B9"/>
    <w:rsid w:val="F9FB1906"/>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3">
    <w:name w:val="Document Map"/>
    <w:basedOn w:val="1"/>
    <w:link w:val="18"/>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200"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HTML Preformatted"/>
    <w:basedOn w:val="1"/>
    <w:link w:val="29"/>
    <w:qFormat/>
    <w:uiPriority w:val="0"/>
    <w:rPr>
      <w:rFonts w:ascii="Courier New" w:hAnsi="Courier New" w:cs="Courier New"/>
      <w:sz w:val="20"/>
      <w:szCs w:val="20"/>
    </w:rPr>
  </w:style>
  <w:style w:type="paragraph" w:styleId="11">
    <w:name w:val="Normal (Web)"/>
    <w:basedOn w:val="1"/>
    <w:qFormat/>
    <w:uiPriority w:val="0"/>
    <w:pPr>
      <w:spacing w:before="100" w:beforeAutospacing="1" w:after="100" w:afterAutospacing="1"/>
      <w:jc w:val="left"/>
    </w:pPr>
    <w:rPr>
      <w:rFonts w:eastAsia="宋体"/>
      <w:kern w:val="0"/>
      <w:sz w:val="24"/>
    </w:rPr>
  </w:style>
  <w:style w:type="paragraph" w:styleId="12">
    <w:name w:val="Body Text First Indent 2"/>
    <w:basedOn w:val="5"/>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8">
    <w:name w:val="文档结构图 Char"/>
    <w:basedOn w:val="15"/>
    <w:link w:val="3"/>
    <w:qFormat/>
    <w:uiPriority w:val="0"/>
    <w:rPr>
      <w:rFonts w:ascii="宋体"/>
      <w:kern w:val="2"/>
      <w:sz w:val="18"/>
      <w:szCs w:val="18"/>
    </w:rPr>
  </w:style>
  <w:style w:type="character" w:customStyle="1" w:styleId="19">
    <w:name w:val="页脚 Char"/>
    <w:basedOn w:val="15"/>
    <w:link w:val="7"/>
    <w:qFormat/>
    <w:uiPriority w:val="99"/>
    <w:rPr>
      <w:kern w:val="2"/>
      <w:sz w:val="18"/>
      <w:szCs w:val="18"/>
    </w:rPr>
  </w:style>
  <w:style w:type="paragraph" w:customStyle="1" w:styleId="20">
    <w:name w:val="四号正文"/>
    <w:basedOn w:val="1"/>
    <w:link w:val="21"/>
    <w:qFormat/>
    <w:uiPriority w:val="0"/>
    <w:pPr>
      <w:spacing w:line="360" w:lineRule="auto"/>
    </w:pPr>
    <w:rPr>
      <w:rFonts w:ascii="??" w:hAnsi="??" w:eastAsia="宋体" w:cs="宋体"/>
      <w:color w:val="000000"/>
      <w:kern w:val="0"/>
      <w:sz w:val="28"/>
      <w:szCs w:val="21"/>
    </w:rPr>
  </w:style>
  <w:style w:type="character" w:customStyle="1" w:styleId="21">
    <w:name w:val="四号正文 Char"/>
    <w:basedOn w:val="15"/>
    <w:link w:val="20"/>
    <w:qFormat/>
    <w:uiPriority w:val="0"/>
    <w:rPr>
      <w:rFonts w:ascii="??" w:hAnsi="??" w:eastAsia="宋体" w:cs="宋体"/>
      <w:color w:val="000000"/>
      <w:sz w:val="28"/>
      <w:szCs w:val="21"/>
      <w:lang w:val="en-US" w:eastAsia="zh-CN" w:bidi="ar-SA"/>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character" w:customStyle="1" w:styleId="27">
    <w:name w:val="NormalCharacter"/>
    <w:semiHidden/>
    <w:qFormat/>
    <w:uiPriority w:val="0"/>
  </w:style>
  <w:style w:type="paragraph" w:styleId="28">
    <w:name w:val="List Paragraph"/>
    <w:basedOn w:val="1"/>
    <w:unhideWhenUsed/>
    <w:qFormat/>
    <w:uiPriority w:val="99"/>
    <w:pPr>
      <w:ind w:firstLine="420" w:firstLineChars="200"/>
    </w:pPr>
  </w:style>
  <w:style w:type="character" w:customStyle="1" w:styleId="29">
    <w:name w:val="HTML 预设格式 Char"/>
    <w:basedOn w:val="15"/>
    <w:link w:val="10"/>
    <w:qFormat/>
    <w:uiPriority w:val="0"/>
    <w:rPr>
      <w:rFonts w:ascii="Courier New" w:hAnsi="Courier New" w:eastAsia="仿宋_GB2312" w:cs="Courier New"/>
      <w:kern w:val="2"/>
    </w:rPr>
  </w:style>
  <w:style w:type="character" w:customStyle="1" w:styleId="30">
    <w:name w:val="val_textcolor000000"/>
    <w:basedOn w:val="15"/>
    <w:qFormat/>
    <w:uiPriority w:val="0"/>
  </w:style>
  <w:style w:type="character" w:customStyle="1" w:styleId="31">
    <w:name w:val="linkspan"/>
    <w:basedOn w:val="1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31</Pages>
  <Words>7309</Words>
  <Characters>8038</Characters>
  <Lines>120</Lines>
  <Paragraphs>34</Paragraphs>
  <TotalTime>7</TotalTime>
  <ScaleCrop>false</ScaleCrop>
  <LinksUpToDate>false</LinksUpToDate>
  <CharactersWithSpaces>8081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2019-05-29T11:06:00Z</dcterms:created>
  <dc:creator>陈萍</dc:creator>
  <cp:lastModifiedBy>user</cp:lastModifiedBy>
  <cp:lastPrinted>2016-02-16T00:25:00Z</cp:lastPrinted>
  <dcterms:modified xsi:type="dcterms:W3CDTF">2025-10-31T11:37:46Z</dcterms:modified>
  <dc:title>区域性就业培训基地建设项目</dc:title>
  <cp:revision>649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A51A36801428E9B041879466C62AECE8</vt:lpwstr>
  </property>
  <property fmtid="{D5CDD505-2E9C-101B-9397-08002B2CF9AE}" pid="4" name="KSOTemplateDocerSaveRecord">
    <vt:lpwstr>eyJoZGlkIjoiYmMxZWViYzY2OTBkMWNmMDZlNjI2NmUwYzQyZTk2ZTMiLCJ1c2VySWQiOiIxMTM5OTQ5NTAyIn0=</vt:lpwstr>
  </property>
</Properties>
</file>