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A8B67">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黑水县财政局部门2024年项目支出绩效</w:t>
      </w:r>
    </w:p>
    <w:p w14:paraId="67690138">
      <w:pPr>
        <w:spacing w:line="56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自评报告</w:t>
      </w:r>
    </w:p>
    <w:p w14:paraId="6C97AAAB">
      <w:pPr>
        <w:spacing w:line="580" w:lineRule="exact"/>
        <w:ind w:firstLine="640" w:firstLineChars="200"/>
        <w:rPr>
          <w:rFonts w:ascii="仿宋_GB2312" w:hAnsi="仿宋" w:eastAsia="仿宋_GB2312" w:cs="仿宋_GB2312"/>
          <w:sz w:val="32"/>
          <w:szCs w:val="32"/>
        </w:rPr>
      </w:pPr>
    </w:p>
    <w:p w14:paraId="0E574EA2">
      <w:pPr>
        <w:adjustRightInd w:val="0"/>
        <w:snapToGrid w:val="0"/>
        <w:spacing w:line="560"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一、评价工作开展及项目情况</w:t>
      </w:r>
    </w:p>
    <w:p w14:paraId="319689D2">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（一）项目基本情况</w:t>
      </w:r>
    </w:p>
    <w:p w14:paraId="27E3DF4C">
      <w:pPr>
        <w:adjustRightInd w:val="0"/>
        <w:snapToGrid w:val="0"/>
        <w:spacing w:line="520" w:lineRule="exact"/>
        <w:ind w:firstLine="640" w:firstLineChars="200"/>
        <w:rPr>
          <w:rFonts w:ascii="仿宋_GB2312" w:hAnsi="仿宋_GB2312" w:eastAsia="仿宋_GB2312" w:cs="仿宋_GB2312"/>
          <w:color w:val="333333"/>
          <w:sz w:val="32"/>
          <w:szCs w:val="32"/>
          <w:lang w:val="zh-CN"/>
        </w:rPr>
      </w:pPr>
      <w:r>
        <w:rPr>
          <w:rFonts w:hint="eastAsia" w:ascii="仿宋_GB2312" w:hAnsi="仿宋_GB2312" w:eastAsia="仿宋_GB2312" w:cs="仿宋_GB2312"/>
          <w:color w:val="333333"/>
          <w:sz w:val="32"/>
          <w:szCs w:val="32"/>
          <w:lang w:val="zh-CN"/>
        </w:rPr>
        <w:t>1、 财政信息化运维服务经费项目；财政局是全县经济管理部门，承担上级转移支付等资金的支付，财政内网、互联网+精准扶贫代理记账服务、债务系统、非税系统、财政预算一体化平台等信息服务费。一是实现了全县各预算单位的预算编制、预算调整和调剂、预算执行、银行账户管理、单位会计核算、预算绩效、地方评价、政府采购、基础信息、项目库、综合报表查询等功能，保障财政预算一体化平台的稳定性、可用性，从平台维护、数据安全等方面进行了全方位保障；二是监管各乡镇代理记账平台的运行及财政系统的运行维护；三是保证部门决算的信息质量；以权责发生制会计核算为基础，编制政府财务报告等。</w:t>
      </w:r>
    </w:p>
    <w:p w14:paraId="1DFC4A97">
      <w:pPr>
        <w:pStyle w:val="13"/>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ascii="仿宋_GB2312" w:hAnsi="宋体" w:eastAsia="仿宋_GB2312"/>
          <w:sz w:val="32"/>
          <w:szCs w:val="32"/>
        </w:rPr>
        <w:t>财政委托业务经费项目</w:t>
      </w:r>
      <w:r>
        <w:rPr>
          <w:rFonts w:hint="eastAsia" w:ascii="仿宋_GB2312" w:hAnsi="宋体" w:eastAsia="仿宋_GB2312"/>
          <w:sz w:val="32"/>
          <w:szCs w:val="32"/>
        </w:rPr>
        <w:t>；一是为进一步落实全面实施预算绩效管理有关要求，加快建成全方位、全过程、全覆盖的预算绩效管理体系，推动预算绩效管理工作高质量发展。为加强财政投资建设项目预算管理，规范财政投资评审行为，提高财政资金使用效益，黑水县基本建设财务核算管理（财务决算）和黑水县财政局财政投资评审（财评）。二是提高全县预算绩效管理水平，购买绩效评价管理服务项目，完成我县整体支出绩效评价和政策项目支出绩效评价。</w:t>
      </w:r>
    </w:p>
    <w:p w14:paraId="05DDCF84">
      <w:pPr>
        <w:pStyle w:val="13"/>
        <w:spacing w:line="54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3、财政一般行政管理事务经费项目（财政购买人员服务</w:t>
      </w:r>
      <w:bookmarkStart w:id="0" w:name="_GoBack"/>
      <w:bookmarkEnd w:id="0"/>
      <w:r>
        <w:rPr>
          <w:rFonts w:hint="eastAsia" w:ascii="仿宋_GB2312" w:hAnsi="仿宋_GB2312" w:eastAsia="仿宋_GB2312" w:cs="仿宋_GB2312"/>
          <w:sz w:val="32"/>
          <w:szCs w:val="32"/>
        </w:rPr>
        <w:t>经费、财政机关食堂运转经费）；一是为切实维护局机关食堂的正常运转，加强对食堂的监督管理，保障单位职工就餐问题，主要为日常食材购买、机关食堂维修维护、餐饮用具购置、水电燃油气费等。二是通过第三方劳务派遣公司派遣劳务人员协助完成交办的各项工作任务，提高工作效率。</w:t>
      </w:r>
    </w:p>
    <w:p w14:paraId="0AF35157">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（二）自评工作开展情况</w:t>
      </w:r>
    </w:p>
    <w:p w14:paraId="763F9696">
      <w:pPr>
        <w:spacing w:line="580" w:lineRule="exact"/>
        <w:ind w:firstLine="640" w:firstLineChars="200"/>
        <w:rPr>
          <w:rFonts w:ascii="仿宋_GB2312" w:hAnsi="仿宋" w:eastAsia="仿宋_GB2312" w:cs="仿宋_GB2312"/>
          <w:sz w:val="32"/>
          <w:szCs w:val="32"/>
        </w:rPr>
      </w:pPr>
      <w:r>
        <w:rPr>
          <w:rFonts w:hint="eastAsia" w:ascii="仿宋_GB2312" w:hAnsi="仿宋_GB2312" w:eastAsia="仿宋_GB2312" w:cs="仿宋_GB2312"/>
          <w:sz w:val="32"/>
          <w:szCs w:val="32"/>
        </w:rPr>
        <w:t>项目采取自评方式，成立项目自评小组，结合评价内容，做到有计划，有安排，扎实开展本次自评工作。按照预算下达的项目支出绩效评价指标体系，针对申报内容、实施情况、资金兑现、财务管理、社会效益等做出自我评价，做好自评工作。</w:t>
      </w:r>
    </w:p>
    <w:p w14:paraId="391D01DF">
      <w:pPr>
        <w:adjustRightInd w:val="0"/>
        <w:snapToGrid w:val="0"/>
        <w:spacing w:line="560"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二、评价结论及绩效分析</w:t>
      </w:r>
    </w:p>
    <w:p w14:paraId="6DC19010">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（一）评价结论</w:t>
      </w:r>
    </w:p>
    <w:p w14:paraId="712FAE5D">
      <w:pPr>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根据绩效评价指标体系，2024年自评得分为97分，评价等级为“优”。我局财务管理制度健全，设置了分管领导、会计、出纳，按照财务管理制度，严格执行“收支两条线”管理，会计人员依照合法、有效的会计凭证进行账务处理，会计核算规范，会计处理按照规定的要素完整准确地反映各项业务活动，做到账账、账表、账单相符。资金拨付具有完整的审批程序和手续，不存在截留、挤占、挪用、虚列支出等情况，确保资金使用效益、资金安全。</w:t>
      </w:r>
    </w:p>
    <w:p w14:paraId="70D0B5EF">
      <w:pPr>
        <w:adjustRightInd w:val="0"/>
        <w:snapToGrid w:val="0"/>
        <w:spacing w:line="560" w:lineRule="exact"/>
        <w:ind w:firstLine="643" w:firstLineChars="200"/>
        <w:contextualSpacing/>
        <w:jc w:val="left"/>
        <w:rPr>
          <w:rFonts w:eastAsia="楷体_GB2312"/>
          <w:b/>
          <w:bCs/>
          <w:color w:val="000000"/>
          <w:kern w:val="0"/>
          <w:sz w:val="32"/>
          <w:szCs w:val="32"/>
          <w:shd w:val="clear" w:color="auto" w:fill="FFFFFF"/>
          <w:lang w:val="zh-CN"/>
        </w:rPr>
      </w:pPr>
      <w:r>
        <w:rPr>
          <w:rFonts w:hint="eastAsia" w:eastAsia="楷体_GB2312"/>
          <w:b/>
          <w:bCs/>
          <w:color w:val="000000"/>
          <w:kern w:val="0"/>
          <w:sz w:val="32"/>
          <w:szCs w:val="32"/>
          <w:shd w:val="clear" w:color="auto" w:fill="FFFFFF"/>
          <w:lang w:val="zh-CN"/>
        </w:rPr>
        <w:t>（二）绩效分析</w:t>
      </w:r>
    </w:p>
    <w:p w14:paraId="2AD2B79D">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1.项目决策</w:t>
      </w:r>
    </w:p>
    <w:p w14:paraId="18CAD02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（1）决策程序。财政信息化运维服务经费项目，经过局务会通过，申报程序合理，按规定开展事前评估论证、与部门“三定”方案确定的职责和部门中长期发展规划相匹配，符合部门年度工作任务。</w:t>
      </w:r>
    </w:p>
    <w:p w14:paraId="4DABF7AA">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目标设置。在设置财政信息化运维服务经费项目绩效目标时，根据2023年度工作总结及2024年度工作计划、部门职能职责、重点工作安排部署等资料设定部门预算绩效目标，绩效目标设置科学合理，规范完整，量化细化，与预算匹配。</w:t>
      </w:r>
    </w:p>
    <w:p w14:paraId="0F96684D">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2.项目管理</w:t>
      </w:r>
    </w:p>
    <w:p w14:paraId="563A7EE5">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（1）资金分配情况。①财政信息化运维服务经费项目，资金申报47.75万元，资金批复48.75万元，到位率100%；②</w:t>
      </w:r>
      <w:r>
        <w:rPr>
          <w:rFonts w:ascii="仿宋_GB2312" w:hAnsi="宋体" w:eastAsia="仿宋_GB2312"/>
          <w:sz w:val="32"/>
          <w:szCs w:val="32"/>
        </w:rPr>
        <w:t>财政委托业务经费项目</w:t>
      </w:r>
      <w:r>
        <w:rPr>
          <w:rFonts w:hint="eastAsia" w:ascii="仿宋_GB2312" w:hAnsi="宋体" w:eastAsia="仿宋_GB2312"/>
          <w:sz w:val="32"/>
          <w:szCs w:val="32"/>
        </w:rPr>
        <w:t>；</w:t>
      </w:r>
      <w:r>
        <w:rPr>
          <w:rFonts w:hint="eastAsia" w:ascii="仿宋_GB2312" w:hAnsi="仿宋" w:eastAsia="仿宋_GB2312" w:cs="仿宋_GB2312"/>
          <w:sz w:val="32"/>
          <w:szCs w:val="32"/>
        </w:rPr>
        <w:t>资金申报420万元，资金批复0万元，到位率0%；③</w:t>
      </w:r>
      <w:r>
        <w:rPr>
          <w:rFonts w:hint="eastAsia" w:ascii="仿宋_GB2312" w:hAnsi="仿宋_GB2312" w:eastAsia="仿宋_GB2312" w:cs="仿宋_GB2312"/>
          <w:sz w:val="32"/>
          <w:szCs w:val="32"/>
        </w:rPr>
        <w:t>财政一般行政管理事务经费项目（财政购买人员劳务派遣、财政局机关食堂）；</w:t>
      </w:r>
      <w:r>
        <w:rPr>
          <w:rFonts w:hint="eastAsia" w:ascii="仿宋_GB2312" w:hAnsi="仿宋" w:eastAsia="仿宋_GB2312" w:cs="仿宋_GB2312"/>
          <w:sz w:val="32"/>
          <w:szCs w:val="32"/>
        </w:rPr>
        <w:t>资金申报64.08万元，资金批复64.08万元，到位率100%。</w:t>
      </w:r>
    </w:p>
    <w:p w14:paraId="5B8DB9E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（2）资金使用情况。①财政信息化运维服务经费项目，资金下达48.75万元，中期调整1.86万元，支出50.61万元，支出率100%；②</w:t>
      </w:r>
      <w:r>
        <w:rPr>
          <w:rFonts w:ascii="仿宋_GB2312" w:hAnsi="宋体" w:eastAsia="仿宋_GB2312"/>
          <w:sz w:val="32"/>
          <w:szCs w:val="32"/>
        </w:rPr>
        <w:t>财政委托业务经费项目</w:t>
      </w:r>
      <w:r>
        <w:rPr>
          <w:rFonts w:hint="eastAsia" w:ascii="仿宋_GB2312" w:hAnsi="宋体" w:eastAsia="仿宋_GB2312"/>
          <w:sz w:val="32"/>
          <w:szCs w:val="32"/>
        </w:rPr>
        <w:t>；</w:t>
      </w:r>
      <w:r>
        <w:rPr>
          <w:rFonts w:hint="eastAsia" w:ascii="仿宋_GB2312" w:hAnsi="仿宋" w:eastAsia="仿宋_GB2312" w:cs="仿宋_GB2312"/>
          <w:sz w:val="32"/>
          <w:szCs w:val="32"/>
        </w:rPr>
        <w:t>资金下达162.04万元，已支出162.04万元，支出率100%；③</w:t>
      </w:r>
      <w:r>
        <w:rPr>
          <w:rFonts w:hint="eastAsia" w:ascii="仿宋_GB2312" w:hAnsi="仿宋_GB2312" w:eastAsia="仿宋_GB2312" w:cs="仿宋_GB2312"/>
          <w:sz w:val="32"/>
          <w:szCs w:val="32"/>
        </w:rPr>
        <w:t>财政一般行政管理事务经费项目（财政购买人员劳务派遣、财政局机关食堂）；</w:t>
      </w:r>
      <w:r>
        <w:rPr>
          <w:rFonts w:hint="eastAsia" w:ascii="仿宋_GB2312" w:hAnsi="仿宋" w:eastAsia="仿宋_GB2312" w:cs="仿宋_GB2312"/>
          <w:sz w:val="32"/>
          <w:szCs w:val="32"/>
        </w:rPr>
        <w:t>资金下达64.08万元，已支出51.66万元，支出率80.62%。</w:t>
      </w:r>
    </w:p>
    <w:p w14:paraId="20AB3FED">
      <w:pPr>
        <w:spacing w:line="580" w:lineRule="exact"/>
        <w:ind w:firstLine="643" w:firstLineChars="200"/>
        <w:rPr>
          <w:rFonts w:ascii="仿宋_GB2312" w:hAnsi="仿宋_GB2312" w:eastAsia="仿宋_GB2312" w:cs="仿宋_GB2312"/>
          <w:b/>
          <w:bCs/>
          <w:color w:val="333333"/>
          <w:sz w:val="32"/>
          <w:szCs w:val="32"/>
          <w:lang w:val="zh-CN"/>
        </w:rPr>
      </w:pPr>
      <w:r>
        <w:rPr>
          <w:rFonts w:hint="eastAsia" w:ascii="仿宋_GB2312" w:hAnsi="仿宋_GB2312" w:eastAsia="仿宋_GB2312" w:cs="仿宋_GB2312"/>
          <w:b/>
          <w:bCs/>
          <w:color w:val="333333"/>
          <w:sz w:val="32"/>
          <w:szCs w:val="32"/>
          <w:lang w:val="zh-CN"/>
        </w:rPr>
        <w:t>3.项目绩效</w:t>
      </w:r>
    </w:p>
    <w:p w14:paraId="79A31DCB">
      <w:pPr>
        <w:spacing w:line="560" w:lineRule="exact"/>
        <w:ind w:firstLine="640" w:firstLineChars="200"/>
        <w:jc w:val="left"/>
        <w:rPr>
          <w:rFonts w:ascii="仿宋_GB2312" w:hAnsi="仿宋_GB2312" w:cs="仿宋_GB2312"/>
          <w:szCs w:val="32"/>
        </w:rPr>
      </w:pPr>
      <w:r>
        <w:rPr>
          <w:rFonts w:hint="eastAsia" w:ascii="仿宋_GB2312" w:hAnsi="仿宋" w:eastAsia="仿宋_GB2312" w:cs="仿宋_GB2312"/>
          <w:sz w:val="32"/>
          <w:szCs w:val="32"/>
        </w:rPr>
        <w:t>根据项目目标完成情况、项目效益情况，并分解为30条绩效指标，其中：数量指标14条、质量指标5条、时效指标3条，可持续影响指标4条，服务对象满意度指标1条、满意度指标3条。具体情况见下表：</w:t>
      </w:r>
    </w:p>
    <w:tbl>
      <w:tblPr>
        <w:tblStyle w:val="7"/>
        <w:tblW w:w="8940" w:type="dxa"/>
        <w:tblInd w:w="93" w:type="dxa"/>
        <w:tblLayout w:type="fixed"/>
        <w:tblCellMar>
          <w:top w:w="0" w:type="dxa"/>
          <w:left w:w="108" w:type="dxa"/>
          <w:bottom w:w="0" w:type="dxa"/>
          <w:right w:w="108" w:type="dxa"/>
        </w:tblCellMar>
      </w:tblPr>
      <w:tblGrid>
        <w:gridCol w:w="1080"/>
        <w:gridCol w:w="1470"/>
        <w:gridCol w:w="2990"/>
        <w:gridCol w:w="2190"/>
        <w:gridCol w:w="1210"/>
      </w:tblGrid>
      <w:tr w14:paraId="46515E47">
        <w:tblPrEx>
          <w:tblCellMar>
            <w:top w:w="0" w:type="dxa"/>
            <w:left w:w="108" w:type="dxa"/>
            <w:bottom w:w="0" w:type="dxa"/>
            <w:right w:w="108" w:type="dxa"/>
          </w:tblCellMar>
        </w:tblPrEx>
        <w:trPr>
          <w:trHeight w:val="270" w:hRule="atLeast"/>
        </w:trPr>
        <w:tc>
          <w:tcPr>
            <w:tcW w:w="1080"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2E707B7">
            <w:pPr>
              <w:widowControl/>
              <w:jc w:val="center"/>
              <w:rPr>
                <w:rFonts w:ascii="宋体" w:hAnsi="宋体" w:cs="宋体"/>
                <w:color w:val="000000"/>
                <w:kern w:val="0"/>
                <w:szCs w:val="21"/>
              </w:rPr>
            </w:pPr>
            <w:r>
              <w:rPr>
                <w:rFonts w:hint="eastAsia" w:ascii="宋体" w:hAnsi="宋体" w:cs="宋体"/>
                <w:color w:val="000000"/>
                <w:kern w:val="0"/>
                <w:szCs w:val="21"/>
              </w:rPr>
              <w:t>一级指标</w:t>
            </w:r>
          </w:p>
        </w:tc>
        <w:tc>
          <w:tcPr>
            <w:tcW w:w="1470" w:type="dxa"/>
            <w:tcBorders>
              <w:top w:val="single" w:color="auto" w:sz="4" w:space="0"/>
              <w:left w:val="nil"/>
              <w:bottom w:val="single" w:color="auto" w:sz="4" w:space="0"/>
              <w:right w:val="single" w:color="auto" w:sz="4" w:space="0"/>
            </w:tcBorders>
            <w:shd w:val="clear" w:color="auto" w:fill="auto"/>
            <w:noWrap/>
            <w:vAlign w:val="bottom"/>
          </w:tcPr>
          <w:p w14:paraId="6C24C3DA">
            <w:pPr>
              <w:widowControl/>
              <w:jc w:val="center"/>
              <w:rPr>
                <w:rFonts w:ascii="宋体" w:hAnsi="宋体" w:cs="宋体"/>
                <w:color w:val="000000"/>
                <w:kern w:val="0"/>
                <w:szCs w:val="21"/>
              </w:rPr>
            </w:pPr>
            <w:r>
              <w:rPr>
                <w:rFonts w:hint="eastAsia" w:ascii="宋体" w:hAnsi="宋体" w:cs="宋体"/>
                <w:color w:val="000000"/>
                <w:kern w:val="0"/>
                <w:szCs w:val="21"/>
              </w:rPr>
              <w:t>二级指标</w:t>
            </w:r>
          </w:p>
        </w:tc>
        <w:tc>
          <w:tcPr>
            <w:tcW w:w="2990" w:type="dxa"/>
            <w:tcBorders>
              <w:top w:val="single" w:color="auto" w:sz="4" w:space="0"/>
              <w:left w:val="nil"/>
              <w:bottom w:val="single" w:color="auto" w:sz="4" w:space="0"/>
              <w:right w:val="single" w:color="auto" w:sz="4" w:space="0"/>
            </w:tcBorders>
            <w:shd w:val="clear" w:color="auto" w:fill="auto"/>
            <w:noWrap/>
            <w:vAlign w:val="bottom"/>
          </w:tcPr>
          <w:p w14:paraId="5675C980">
            <w:pPr>
              <w:widowControl/>
              <w:jc w:val="center"/>
              <w:rPr>
                <w:rFonts w:ascii="宋体" w:hAnsi="宋体" w:cs="宋体"/>
                <w:color w:val="000000"/>
                <w:kern w:val="0"/>
                <w:szCs w:val="21"/>
              </w:rPr>
            </w:pPr>
            <w:r>
              <w:rPr>
                <w:rFonts w:hint="eastAsia" w:ascii="宋体" w:hAnsi="宋体" w:cs="宋体"/>
                <w:color w:val="000000"/>
                <w:kern w:val="0"/>
                <w:szCs w:val="21"/>
              </w:rPr>
              <w:t>三级指标</w:t>
            </w:r>
          </w:p>
        </w:tc>
        <w:tc>
          <w:tcPr>
            <w:tcW w:w="2190" w:type="dxa"/>
            <w:tcBorders>
              <w:top w:val="single" w:color="auto" w:sz="4" w:space="0"/>
              <w:left w:val="nil"/>
              <w:bottom w:val="single" w:color="auto" w:sz="4" w:space="0"/>
              <w:right w:val="single" w:color="auto" w:sz="4" w:space="0"/>
            </w:tcBorders>
            <w:shd w:val="clear" w:color="auto" w:fill="auto"/>
            <w:noWrap/>
            <w:vAlign w:val="bottom"/>
          </w:tcPr>
          <w:p w14:paraId="493C240C">
            <w:pPr>
              <w:widowControl/>
              <w:jc w:val="center"/>
              <w:rPr>
                <w:rFonts w:ascii="宋体" w:hAnsi="宋体" w:cs="宋体"/>
                <w:color w:val="000000"/>
                <w:kern w:val="0"/>
                <w:szCs w:val="21"/>
              </w:rPr>
            </w:pPr>
            <w:r>
              <w:rPr>
                <w:rFonts w:hint="eastAsia" w:ascii="宋体" w:hAnsi="宋体" w:cs="宋体"/>
                <w:color w:val="000000"/>
                <w:kern w:val="0"/>
                <w:szCs w:val="21"/>
              </w:rPr>
              <w:t>年度指标值</w:t>
            </w:r>
          </w:p>
        </w:tc>
        <w:tc>
          <w:tcPr>
            <w:tcW w:w="1210" w:type="dxa"/>
            <w:tcBorders>
              <w:top w:val="single" w:color="auto" w:sz="4" w:space="0"/>
              <w:left w:val="nil"/>
              <w:bottom w:val="single" w:color="auto" w:sz="4" w:space="0"/>
              <w:right w:val="single" w:color="auto" w:sz="4" w:space="0"/>
            </w:tcBorders>
            <w:shd w:val="clear" w:color="000000" w:fill="FFFFFF"/>
            <w:noWrap/>
            <w:vAlign w:val="bottom"/>
          </w:tcPr>
          <w:p w14:paraId="04A49E98">
            <w:pPr>
              <w:widowControl/>
              <w:jc w:val="center"/>
              <w:rPr>
                <w:rFonts w:ascii="宋体" w:hAnsi="宋体" w:cs="宋体"/>
                <w:color w:val="000000"/>
                <w:kern w:val="0"/>
                <w:szCs w:val="21"/>
              </w:rPr>
            </w:pPr>
            <w:r>
              <w:rPr>
                <w:rFonts w:hint="eastAsia" w:ascii="宋体" w:hAnsi="宋体" w:cs="宋体"/>
                <w:color w:val="000000"/>
                <w:kern w:val="0"/>
                <w:szCs w:val="21"/>
              </w:rPr>
              <w:t>全年执行情况</w:t>
            </w:r>
          </w:p>
        </w:tc>
      </w:tr>
      <w:tr w14:paraId="35CE696C">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1C071093">
            <w:pPr>
              <w:widowControl/>
              <w:jc w:val="center"/>
              <w:rPr>
                <w:rFonts w:ascii="宋体" w:hAnsi="宋体" w:cs="宋体"/>
                <w:color w:val="000000"/>
                <w:kern w:val="0"/>
                <w:szCs w:val="21"/>
              </w:rPr>
            </w:pPr>
            <w:r>
              <w:rPr>
                <w:rFonts w:hint="eastAsia" w:ascii="宋体" w:hAnsi="宋体" w:cs="宋体"/>
                <w:color w:val="000000"/>
                <w:kern w:val="0"/>
                <w:szCs w:val="21"/>
              </w:rPr>
              <w:t>产出指标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481408A4">
            <w:pPr>
              <w:widowControl/>
              <w:jc w:val="center"/>
              <w:rPr>
                <w:rFonts w:ascii="宋体" w:hAnsi="宋体" w:cs="宋体"/>
                <w:color w:val="000000"/>
                <w:kern w:val="0"/>
                <w:szCs w:val="21"/>
              </w:rPr>
            </w:pPr>
            <w:r>
              <w:rPr>
                <w:rFonts w:hint="eastAsia" w:ascii="宋体" w:hAnsi="宋体" w:cs="宋体"/>
                <w:color w:val="000000"/>
                <w:kern w:val="0"/>
                <w:szCs w:val="21"/>
              </w:rPr>
              <w:t>数量指标</w:t>
            </w:r>
          </w:p>
        </w:tc>
        <w:tc>
          <w:tcPr>
            <w:tcW w:w="2990" w:type="dxa"/>
            <w:tcBorders>
              <w:top w:val="nil"/>
              <w:left w:val="nil"/>
              <w:bottom w:val="single" w:color="auto" w:sz="4" w:space="0"/>
              <w:right w:val="single" w:color="auto" w:sz="4" w:space="0"/>
            </w:tcBorders>
            <w:shd w:val="clear" w:color="auto" w:fill="auto"/>
            <w:noWrap/>
            <w:vAlign w:val="bottom"/>
          </w:tcPr>
          <w:p w14:paraId="2AAEE0AA">
            <w:pPr>
              <w:widowControl/>
              <w:jc w:val="center"/>
              <w:rPr>
                <w:rFonts w:ascii="宋体" w:hAnsi="宋体" w:cs="宋体"/>
                <w:color w:val="000000"/>
                <w:kern w:val="0"/>
                <w:szCs w:val="21"/>
              </w:rPr>
            </w:pPr>
            <w:r>
              <w:rPr>
                <w:rFonts w:hint="eastAsia" w:ascii="宋体" w:hAnsi="宋体" w:cs="宋体"/>
                <w:color w:val="000000"/>
                <w:kern w:val="0"/>
                <w:szCs w:val="21"/>
              </w:rPr>
              <w:t>开展互联网+精准扶贫代理记账系统维护量</w:t>
            </w:r>
          </w:p>
        </w:tc>
        <w:tc>
          <w:tcPr>
            <w:tcW w:w="2190" w:type="dxa"/>
            <w:tcBorders>
              <w:top w:val="nil"/>
              <w:left w:val="nil"/>
              <w:bottom w:val="single" w:color="auto" w:sz="4" w:space="0"/>
              <w:right w:val="single" w:color="auto" w:sz="4" w:space="0"/>
            </w:tcBorders>
            <w:shd w:val="clear" w:color="auto" w:fill="auto"/>
            <w:noWrap/>
            <w:vAlign w:val="bottom"/>
          </w:tcPr>
          <w:p w14:paraId="409D0711">
            <w:pPr>
              <w:widowControl/>
              <w:jc w:val="center"/>
              <w:rPr>
                <w:rFonts w:ascii="宋体" w:hAnsi="宋体" w:cs="宋体"/>
                <w:color w:val="000000"/>
                <w:kern w:val="0"/>
                <w:szCs w:val="21"/>
              </w:rPr>
            </w:pPr>
            <w:r>
              <w:rPr>
                <w:rFonts w:hint="eastAsia" w:ascii="宋体" w:hAnsi="宋体" w:cs="宋体"/>
                <w:color w:val="000000"/>
                <w:kern w:val="0"/>
                <w:szCs w:val="21"/>
              </w:rPr>
              <w:t>≥16个</w:t>
            </w:r>
          </w:p>
        </w:tc>
        <w:tc>
          <w:tcPr>
            <w:tcW w:w="1210" w:type="dxa"/>
            <w:tcBorders>
              <w:top w:val="nil"/>
              <w:left w:val="nil"/>
              <w:bottom w:val="single" w:color="auto" w:sz="4" w:space="0"/>
              <w:right w:val="single" w:color="auto" w:sz="4" w:space="0"/>
            </w:tcBorders>
            <w:shd w:val="clear" w:color="000000" w:fill="FFFFFF"/>
            <w:noWrap/>
            <w:vAlign w:val="bottom"/>
          </w:tcPr>
          <w:p w14:paraId="6B18BF17">
            <w:pPr>
              <w:widowControl/>
              <w:jc w:val="center"/>
              <w:rPr>
                <w:rFonts w:ascii="宋体" w:hAnsi="宋体" w:cs="宋体"/>
                <w:color w:val="000000"/>
                <w:kern w:val="0"/>
                <w:szCs w:val="21"/>
              </w:rPr>
            </w:pPr>
            <w:r>
              <w:rPr>
                <w:rFonts w:hint="eastAsia" w:ascii="宋体" w:hAnsi="宋体" w:cs="宋体"/>
                <w:color w:val="000000"/>
                <w:kern w:val="0"/>
                <w:szCs w:val="21"/>
              </w:rPr>
              <w:t>16个</w:t>
            </w:r>
          </w:p>
        </w:tc>
      </w:tr>
      <w:tr w14:paraId="198F3D1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3AE3B66">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2B724A43">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01396768">
            <w:pPr>
              <w:widowControl/>
              <w:jc w:val="center"/>
              <w:rPr>
                <w:rFonts w:ascii="宋体" w:hAnsi="宋体" w:cs="宋体"/>
                <w:color w:val="000000"/>
                <w:kern w:val="0"/>
                <w:szCs w:val="21"/>
              </w:rPr>
            </w:pPr>
            <w:r>
              <w:rPr>
                <w:rFonts w:hint="eastAsia" w:ascii="宋体" w:hAnsi="宋体" w:cs="宋体"/>
                <w:color w:val="000000"/>
                <w:kern w:val="0"/>
                <w:szCs w:val="21"/>
              </w:rPr>
              <w:t>数据中心机房设备维护量</w:t>
            </w:r>
          </w:p>
        </w:tc>
        <w:tc>
          <w:tcPr>
            <w:tcW w:w="2190" w:type="dxa"/>
            <w:tcBorders>
              <w:top w:val="nil"/>
              <w:left w:val="nil"/>
              <w:bottom w:val="single" w:color="auto" w:sz="4" w:space="0"/>
              <w:right w:val="single" w:color="auto" w:sz="4" w:space="0"/>
            </w:tcBorders>
            <w:shd w:val="clear" w:color="auto" w:fill="auto"/>
            <w:noWrap/>
            <w:vAlign w:val="bottom"/>
          </w:tcPr>
          <w:p w14:paraId="45FCAD24">
            <w:pPr>
              <w:widowControl/>
              <w:jc w:val="center"/>
              <w:rPr>
                <w:rFonts w:ascii="宋体" w:hAnsi="宋体" w:cs="宋体"/>
                <w:color w:val="000000"/>
                <w:kern w:val="0"/>
                <w:szCs w:val="21"/>
              </w:rPr>
            </w:pPr>
            <w:r>
              <w:rPr>
                <w:rFonts w:hint="eastAsia" w:ascii="宋体" w:hAnsi="宋体" w:cs="宋体"/>
                <w:color w:val="000000"/>
                <w:kern w:val="0"/>
                <w:szCs w:val="21"/>
              </w:rPr>
              <w:t>≥5套</w:t>
            </w:r>
          </w:p>
        </w:tc>
        <w:tc>
          <w:tcPr>
            <w:tcW w:w="1210" w:type="dxa"/>
            <w:tcBorders>
              <w:top w:val="nil"/>
              <w:left w:val="nil"/>
              <w:bottom w:val="single" w:color="auto" w:sz="4" w:space="0"/>
              <w:right w:val="single" w:color="auto" w:sz="4" w:space="0"/>
            </w:tcBorders>
            <w:shd w:val="clear" w:color="000000" w:fill="FFFFFF"/>
            <w:noWrap/>
            <w:vAlign w:val="bottom"/>
          </w:tcPr>
          <w:p w14:paraId="006FF623">
            <w:pPr>
              <w:widowControl/>
              <w:jc w:val="center"/>
              <w:rPr>
                <w:rFonts w:ascii="宋体" w:hAnsi="宋体" w:cs="宋体"/>
                <w:color w:val="000000"/>
                <w:kern w:val="0"/>
                <w:szCs w:val="21"/>
              </w:rPr>
            </w:pPr>
            <w:r>
              <w:rPr>
                <w:rFonts w:hint="eastAsia" w:ascii="宋体" w:hAnsi="宋体" w:cs="宋体"/>
                <w:color w:val="000000"/>
                <w:kern w:val="0"/>
                <w:szCs w:val="21"/>
              </w:rPr>
              <w:t>5套</w:t>
            </w:r>
          </w:p>
        </w:tc>
      </w:tr>
      <w:tr w14:paraId="359179F9">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6798E22">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124D4BB">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0ABAA4C2">
            <w:pPr>
              <w:widowControl/>
              <w:jc w:val="center"/>
              <w:rPr>
                <w:rFonts w:ascii="宋体" w:hAnsi="宋体" w:cs="宋体"/>
                <w:color w:val="000000"/>
                <w:kern w:val="0"/>
                <w:szCs w:val="21"/>
              </w:rPr>
            </w:pPr>
            <w:r>
              <w:rPr>
                <w:rFonts w:hint="eastAsia" w:ascii="宋体" w:hAnsi="宋体" w:cs="宋体"/>
                <w:color w:val="000000"/>
                <w:kern w:val="0"/>
                <w:szCs w:val="21"/>
              </w:rPr>
              <w:t>债务管理及监测平台系统维护单位数量</w:t>
            </w:r>
          </w:p>
        </w:tc>
        <w:tc>
          <w:tcPr>
            <w:tcW w:w="2190" w:type="dxa"/>
            <w:tcBorders>
              <w:top w:val="nil"/>
              <w:left w:val="nil"/>
              <w:bottom w:val="single" w:color="auto" w:sz="4" w:space="0"/>
              <w:right w:val="single" w:color="auto" w:sz="4" w:space="0"/>
            </w:tcBorders>
            <w:shd w:val="clear" w:color="auto" w:fill="auto"/>
            <w:noWrap/>
            <w:vAlign w:val="bottom"/>
          </w:tcPr>
          <w:p w14:paraId="1FB2CF8F">
            <w:pPr>
              <w:widowControl/>
              <w:jc w:val="center"/>
              <w:rPr>
                <w:rFonts w:ascii="宋体" w:hAnsi="宋体" w:cs="宋体"/>
                <w:color w:val="000000"/>
                <w:kern w:val="0"/>
                <w:szCs w:val="21"/>
              </w:rPr>
            </w:pPr>
            <w:r>
              <w:rPr>
                <w:rFonts w:hint="eastAsia" w:ascii="宋体" w:hAnsi="宋体" w:cs="宋体"/>
                <w:color w:val="000000"/>
                <w:kern w:val="0"/>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14:paraId="4A51BA58">
            <w:pPr>
              <w:widowControl/>
              <w:jc w:val="center"/>
              <w:rPr>
                <w:rFonts w:ascii="宋体" w:hAnsi="宋体" w:cs="宋体"/>
                <w:color w:val="000000"/>
                <w:kern w:val="0"/>
                <w:szCs w:val="21"/>
              </w:rPr>
            </w:pPr>
            <w:r>
              <w:rPr>
                <w:rFonts w:hint="eastAsia" w:ascii="宋体" w:hAnsi="宋体" w:cs="宋体"/>
                <w:color w:val="000000"/>
                <w:kern w:val="0"/>
                <w:szCs w:val="21"/>
              </w:rPr>
              <w:t>75个</w:t>
            </w:r>
          </w:p>
        </w:tc>
      </w:tr>
      <w:tr w14:paraId="102FAF3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DC8F34C">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6D5AA0BE">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092D324C">
            <w:pPr>
              <w:widowControl/>
              <w:jc w:val="center"/>
              <w:rPr>
                <w:rFonts w:ascii="宋体" w:hAnsi="宋体" w:cs="宋体"/>
                <w:color w:val="000000"/>
                <w:kern w:val="0"/>
                <w:szCs w:val="21"/>
              </w:rPr>
            </w:pPr>
            <w:r>
              <w:rPr>
                <w:rFonts w:hint="eastAsia" w:ascii="宋体" w:hAnsi="宋体" w:cs="宋体"/>
                <w:color w:val="000000"/>
                <w:kern w:val="0"/>
                <w:szCs w:val="21"/>
              </w:rPr>
              <w:t>会议视频系统升级改造</w:t>
            </w:r>
          </w:p>
        </w:tc>
        <w:tc>
          <w:tcPr>
            <w:tcW w:w="2190" w:type="dxa"/>
            <w:tcBorders>
              <w:top w:val="nil"/>
              <w:left w:val="nil"/>
              <w:bottom w:val="single" w:color="auto" w:sz="4" w:space="0"/>
              <w:right w:val="single" w:color="auto" w:sz="4" w:space="0"/>
            </w:tcBorders>
            <w:shd w:val="clear" w:color="auto" w:fill="auto"/>
            <w:noWrap/>
            <w:vAlign w:val="bottom"/>
          </w:tcPr>
          <w:p w14:paraId="12AAA95A">
            <w:pPr>
              <w:widowControl/>
              <w:jc w:val="center"/>
              <w:rPr>
                <w:rFonts w:ascii="宋体" w:hAnsi="宋体" w:cs="宋体"/>
                <w:color w:val="000000"/>
                <w:kern w:val="0"/>
                <w:szCs w:val="21"/>
              </w:rPr>
            </w:pPr>
            <w:r>
              <w:rPr>
                <w:rFonts w:hint="eastAsia" w:ascii="宋体" w:hAnsi="宋体" w:cs="宋体"/>
                <w:color w:val="000000"/>
                <w:kern w:val="0"/>
                <w:szCs w:val="21"/>
              </w:rPr>
              <w:t>≥1套</w:t>
            </w:r>
          </w:p>
        </w:tc>
        <w:tc>
          <w:tcPr>
            <w:tcW w:w="1210" w:type="dxa"/>
            <w:tcBorders>
              <w:top w:val="nil"/>
              <w:left w:val="nil"/>
              <w:bottom w:val="single" w:color="auto" w:sz="4" w:space="0"/>
              <w:right w:val="single" w:color="auto" w:sz="4" w:space="0"/>
            </w:tcBorders>
            <w:shd w:val="clear" w:color="000000" w:fill="FFFFFF"/>
            <w:noWrap/>
            <w:vAlign w:val="bottom"/>
          </w:tcPr>
          <w:p w14:paraId="16EBDEA4">
            <w:pPr>
              <w:widowControl/>
              <w:jc w:val="center"/>
              <w:rPr>
                <w:rFonts w:ascii="宋体" w:hAnsi="宋体" w:cs="宋体"/>
                <w:color w:val="000000"/>
                <w:kern w:val="0"/>
                <w:szCs w:val="21"/>
              </w:rPr>
            </w:pPr>
            <w:r>
              <w:rPr>
                <w:rFonts w:hint="eastAsia" w:ascii="宋体" w:hAnsi="宋体" w:cs="宋体"/>
                <w:color w:val="000000"/>
                <w:kern w:val="0"/>
                <w:szCs w:val="21"/>
              </w:rPr>
              <w:t>1套</w:t>
            </w:r>
          </w:p>
        </w:tc>
      </w:tr>
      <w:tr w14:paraId="19FCF7C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C014537">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0F2D0E7">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D28E485">
            <w:pPr>
              <w:widowControl/>
              <w:jc w:val="center"/>
              <w:rPr>
                <w:rFonts w:ascii="宋体" w:hAnsi="宋体" w:cs="宋体"/>
                <w:color w:val="000000"/>
                <w:kern w:val="0"/>
                <w:szCs w:val="21"/>
              </w:rPr>
            </w:pPr>
            <w:r>
              <w:rPr>
                <w:rFonts w:hint="eastAsia" w:ascii="宋体" w:hAnsi="宋体" w:cs="宋体"/>
                <w:color w:val="000000"/>
                <w:kern w:val="0"/>
                <w:szCs w:val="21"/>
              </w:rPr>
              <w:t>开展项目评审出具的评审报告</w:t>
            </w:r>
          </w:p>
        </w:tc>
        <w:tc>
          <w:tcPr>
            <w:tcW w:w="2190" w:type="dxa"/>
            <w:tcBorders>
              <w:top w:val="nil"/>
              <w:left w:val="nil"/>
              <w:bottom w:val="single" w:color="auto" w:sz="4" w:space="0"/>
              <w:right w:val="single" w:color="auto" w:sz="4" w:space="0"/>
            </w:tcBorders>
            <w:shd w:val="clear" w:color="auto" w:fill="auto"/>
            <w:noWrap/>
            <w:vAlign w:val="bottom"/>
          </w:tcPr>
          <w:p w14:paraId="3D084045">
            <w:pPr>
              <w:widowControl/>
              <w:jc w:val="center"/>
              <w:rPr>
                <w:rFonts w:ascii="宋体" w:hAnsi="宋体" w:cs="宋体"/>
                <w:color w:val="000000"/>
                <w:kern w:val="0"/>
                <w:szCs w:val="21"/>
              </w:rPr>
            </w:pPr>
            <w:r>
              <w:rPr>
                <w:rFonts w:hint="eastAsia" w:ascii="宋体" w:hAnsi="宋体" w:cs="宋体"/>
                <w:color w:val="000000"/>
                <w:kern w:val="0"/>
                <w:szCs w:val="21"/>
              </w:rPr>
              <w:t>≥150个</w:t>
            </w:r>
          </w:p>
        </w:tc>
        <w:tc>
          <w:tcPr>
            <w:tcW w:w="1210" w:type="dxa"/>
            <w:tcBorders>
              <w:top w:val="nil"/>
              <w:left w:val="nil"/>
              <w:bottom w:val="single" w:color="auto" w:sz="4" w:space="0"/>
              <w:right w:val="single" w:color="auto" w:sz="4" w:space="0"/>
            </w:tcBorders>
            <w:shd w:val="clear" w:color="000000" w:fill="FFFFFF"/>
            <w:noWrap/>
            <w:vAlign w:val="bottom"/>
          </w:tcPr>
          <w:p w14:paraId="475E9D3C">
            <w:pPr>
              <w:widowControl/>
              <w:jc w:val="center"/>
              <w:rPr>
                <w:rFonts w:ascii="宋体" w:hAnsi="宋体" w:cs="宋体"/>
                <w:color w:val="000000"/>
                <w:kern w:val="0"/>
                <w:szCs w:val="21"/>
              </w:rPr>
            </w:pPr>
            <w:r>
              <w:rPr>
                <w:rFonts w:hint="eastAsia" w:ascii="宋体" w:hAnsi="宋体" w:cs="宋体"/>
                <w:color w:val="000000"/>
                <w:kern w:val="0"/>
                <w:szCs w:val="21"/>
              </w:rPr>
              <w:t>150个</w:t>
            </w:r>
          </w:p>
        </w:tc>
      </w:tr>
      <w:tr w14:paraId="3E0565B5">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B9C5B90">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194E040">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34C3C957">
            <w:pPr>
              <w:widowControl/>
              <w:jc w:val="center"/>
              <w:rPr>
                <w:rFonts w:ascii="宋体" w:hAnsi="宋体" w:cs="宋体"/>
                <w:color w:val="000000"/>
                <w:kern w:val="0"/>
                <w:szCs w:val="21"/>
              </w:rPr>
            </w:pPr>
            <w:r>
              <w:rPr>
                <w:rFonts w:hint="eastAsia" w:ascii="宋体" w:hAnsi="宋体" w:cs="宋体"/>
                <w:color w:val="000000"/>
                <w:kern w:val="0"/>
                <w:szCs w:val="21"/>
              </w:rPr>
              <w:t>绩效管理部门工作指导部门数量</w:t>
            </w:r>
          </w:p>
        </w:tc>
        <w:tc>
          <w:tcPr>
            <w:tcW w:w="2190" w:type="dxa"/>
            <w:tcBorders>
              <w:top w:val="nil"/>
              <w:left w:val="nil"/>
              <w:bottom w:val="single" w:color="auto" w:sz="4" w:space="0"/>
              <w:right w:val="single" w:color="auto" w:sz="4" w:space="0"/>
            </w:tcBorders>
            <w:shd w:val="clear" w:color="auto" w:fill="auto"/>
            <w:noWrap/>
            <w:vAlign w:val="bottom"/>
          </w:tcPr>
          <w:p w14:paraId="5EB0FC5A">
            <w:pPr>
              <w:widowControl/>
              <w:jc w:val="center"/>
              <w:rPr>
                <w:rFonts w:ascii="宋体" w:hAnsi="宋体" w:cs="宋体"/>
                <w:color w:val="000000"/>
                <w:kern w:val="0"/>
                <w:szCs w:val="21"/>
              </w:rPr>
            </w:pPr>
            <w:r>
              <w:rPr>
                <w:rFonts w:hint="eastAsia" w:ascii="宋体" w:hAnsi="宋体" w:cs="宋体"/>
                <w:color w:val="000000"/>
                <w:kern w:val="0"/>
                <w:szCs w:val="21"/>
              </w:rPr>
              <w:t>≥75个</w:t>
            </w:r>
          </w:p>
        </w:tc>
        <w:tc>
          <w:tcPr>
            <w:tcW w:w="1210" w:type="dxa"/>
            <w:tcBorders>
              <w:top w:val="nil"/>
              <w:left w:val="nil"/>
              <w:bottom w:val="single" w:color="auto" w:sz="4" w:space="0"/>
              <w:right w:val="single" w:color="auto" w:sz="4" w:space="0"/>
            </w:tcBorders>
            <w:shd w:val="clear" w:color="000000" w:fill="FFFFFF"/>
            <w:noWrap/>
            <w:vAlign w:val="bottom"/>
          </w:tcPr>
          <w:p w14:paraId="561B5061">
            <w:pPr>
              <w:widowControl/>
              <w:jc w:val="center"/>
              <w:rPr>
                <w:rFonts w:ascii="宋体" w:hAnsi="宋体" w:cs="宋体"/>
                <w:color w:val="000000"/>
                <w:kern w:val="0"/>
                <w:szCs w:val="21"/>
              </w:rPr>
            </w:pPr>
            <w:r>
              <w:rPr>
                <w:rFonts w:hint="eastAsia" w:ascii="宋体" w:hAnsi="宋体" w:cs="宋体"/>
                <w:color w:val="000000"/>
                <w:kern w:val="0"/>
                <w:szCs w:val="21"/>
              </w:rPr>
              <w:t>75个</w:t>
            </w:r>
          </w:p>
        </w:tc>
      </w:tr>
      <w:tr w14:paraId="4B70801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D9C7911">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6D25F46">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224B76CE">
            <w:pPr>
              <w:rPr>
                <w:rFonts w:ascii="宋体" w:hAnsi="宋体" w:cs="宋体"/>
                <w:color w:val="000000"/>
                <w:kern w:val="0"/>
                <w:szCs w:val="21"/>
              </w:rPr>
            </w:pPr>
            <w:r>
              <w:rPr>
                <w:rFonts w:hint="eastAsia" w:ascii="宋体" w:hAnsi="宋体" w:cs="宋体"/>
                <w:color w:val="000000"/>
                <w:spacing w:val="-17"/>
                <w:kern w:val="0"/>
                <w:szCs w:val="21"/>
              </w:rPr>
              <w:t>开展部门整体支出绩效评价数量</w:t>
            </w:r>
          </w:p>
        </w:tc>
        <w:tc>
          <w:tcPr>
            <w:tcW w:w="2190" w:type="dxa"/>
            <w:tcBorders>
              <w:top w:val="nil"/>
              <w:left w:val="nil"/>
              <w:bottom w:val="single" w:color="auto" w:sz="4" w:space="0"/>
              <w:right w:val="single" w:color="auto" w:sz="4" w:space="0"/>
            </w:tcBorders>
            <w:shd w:val="clear" w:color="auto" w:fill="auto"/>
            <w:noWrap/>
            <w:vAlign w:val="bottom"/>
          </w:tcPr>
          <w:p w14:paraId="4313629C">
            <w:pPr>
              <w:widowControl/>
              <w:jc w:val="center"/>
              <w:rPr>
                <w:rFonts w:ascii="宋体" w:hAnsi="宋体" w:cs="宋体"/>
                <w:color w:val="000000"/>
                <w:kern w:val="0"/>
                <w:szCs w:val="21"/>
              </w:rPr>
            </w:pPr>
            <w:r>
              <w:rPr>
                <w:rFonts w:hint="eastAsia" w:ascii="宋体" w:hAnsi="宋体" w:cs="宋体"/>
                <w:color w:val="000000"/>
                <w:kern w:val="0"/>
                <w:szCs w:val="21"/>
              </w:rPr>
              <w:t>≥20个</w:t>
            </w:r>
          </w:p>
        </w:tc>
        <w:tc>
          <w:tcPr>
            <w:tcW w:w="1210" w:type="dxa"/>
            <w:tcBorders>
              <w:top w:val="nil"/>
              <w:left w:val="nil"/>
              <w:bottom w:val="single" w:color="auto" w:sz="4" w:space="0"/>
              <w:right w:val="single" w:color="auto" w:sz="4" w:space="0"/>
            </w:tcBorders>
            <w:shd w:val="clear" w:color="000000" w:fill="FFFFFF"/>
            <w:noWrap/>
            <w:vAlign w:val="bottom"/>
          </w:tcPr>
          <w:p w14:paraId="5648F26A">
            <w:pPr>
              <w:widowControl/>
              <w:jc w:val="center"/>
              <w:rPr>
                <w:rFonts w:ascii="宋体" w:hAnsi="宋体" w:cs="宋体"/>
                <w:color w:val="000000"/>
                <w:kern w:val="0"/>
                <w:szCs w:val="21"/>
              </w:rPr>
            </w:pPr>
            <w:r>
              <w:rPr>
                <w:rFonts w:hint="eastAsia" w:ascii="宋体" w:hAnsi="宋体" w:cs="宋体"/>
                <w:color w:val="000000"/>
                <w:kern w:val="0"/>
                <w:szCs w:val="21"/>
              </w:rPr>
              <w:t>20个</w:t>
            </w:r>
          </w:p>
        </w:tc>
      </w:tr>
      <w:tr w14:paraId="019E96A2">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54844BD">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7D71D59">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76C690BB">
            <w:pPr>
              <w:widowControl/>
              <w:jc w:val="center"/>
              <w:rPr>
                <w:rFonts w:ascii="宋体" w:hAnsi="宋体" w:cs="宋体"/>
                <w:color w:val="000000"/>
                <w:kern w:val="0"/>
                <w:szCs w:val="21"/>
              </w:rPr>
            </w:pPr>
            <w:r>
              <w:rPr>
                <w:rFonts w:hint="eastAsia" w:ascii="宋体" w:hAnsi="宋体" w:cs="宋体"/>
                <w:color w:val="000000"/>
                <w:kern w:val="0"/>
                <w:szCs w:val="21"/>
              </w:rPr>
              <w:t>开展政策和项目支出绩效评价数量</w:t>
            </w:r>
          </w:p>
        </w:tc>
        <w:tc>
          <w:tcPr>
            <w:tcW w:w="2190" w:type="dxa"/>
            <w:tcBorders>
              <w:top w:val="nil"/>
              <w:left w:val="nil"/>
              <w:bottom w:val="single" w:color="auto" w:sz="4" w:space="0"/>
              <w:right w:val="single" w:color="auto" w:sz="4" w:space="0"/>
            </w:tcBorders>
            <w:shd w:val="clear" w:color="auto" w:fill="auto"/>
            <w:noWrap/>
            <w:vAlign w:val="bottom"/>
          </w:tcPr>
          <w:p w14:paraId="76800F30">
            <w:pPr>
              <w:widowControl/>
              <w:jc w:val="center"/>
              <w:rPr>
                <w:rFonts w:ascii="宋体" w:hAnsi="宋体" w:cs="宋体"/>
                <w:color w:val="000000"/>
                <w:kern w:val="0"/>
                <w:szCs w:val="21"/>
              </w:rPr>
            </w:pPr>
            <w:r>
              <w:rPr>
                <w:rFonts w:hint="eastAsia" w:ascii="宋体" w:hAnsi="宋体" w:cs="宋体"/>
                <w:color w:val="000000"/>
                <w:kern w:val="0"/>
                <w:szCs w:val="21"/>
              </w:rPr>
              <w:t>≥30个</w:t>
            </w:r>
          </w:p>
        </w:tc>
        <w:tc>
          <w:tcPr>
            <w:tcW w:w="1210" w:type="dxa"/>
            <w:tcBorders>
              <w:top w:val="nil"/>
              <w:left w:val="nil"/>
              <w:bottom w:val="single" w:color="auto" w:sz="4" w:space="0"/>
              <w:right w:val="single" w:color="auto" w:sz="4" w:space="0"/>
            </w:tcBorders>
            <w:shd w:val="clear" w:color="000000" w:fill="FFFFFF"/>
            <w:noWrap/>
            <w:vAlign w:val="bottom"/>
          </w:tcPr>
          <w:p w14:paraId="7593ED05">
            <w:pPr>
              <w:widowControl/>
              <w:jc w:val="center"/>
              <w:rPr>
                <w:rFonts w:ascii="宋体" w:hAnsi="宋体" w:cs="宋体"/>
                <w:color w:val="000000"/>
                <w:kern w:val="0"/>
                <w:szCs w:val="21"/>
              </w:rPr>
            </w:pPr>
            <w:r>
              <w:rPr>
                <w:rFonts w:hint="eastAsia" w:ascii="宋体" w:hAnsi="宋体" w:cs="宋体"/>
                <w:color w:val="000000"/>
                <w:kern w:val="0"/>
                <w:szCs w:val="21"/>
              </w:rPr>
              <w:t>30个</w:t>
            </w:r>
          </w:p>
        </w:tc>
      </w:tr>
      <w:tr w14:paraId="6D50402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565727B">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CA3AAC1">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E8EF502">
            <w:pPr>
              <w:widowControl/>
              <w:jc w:val="center"/>
              <w:rPr>
                <w:rFonts w:ascii="宋体" w:hAnsi="宋体" w:cs="宋体"/>
                <w:color w:val="000000"/>
                <w:kern w:val="0"/>
                <w:szCs w:val="21"/>
              </w:rPr>
            </w:pPr>
            <w:r>
              <w:rPr>
                <w:rFonts w:hint="eastAsia" w:ascii="宋体" w:hAnsi="宋体" w:cs="宋体"/>
                <w:color w:val="000000"/>
                <w:kern w:val="0"/>
                <w:szCs w:val="21"/>
              </w:rPr>
              <w:t>部门项目财务核算数量</w:t>
            </w:r>
          </w:p>
        </w:tc>
        <w:tc>
          <w:tcPr>
            <w:tcW w:w="2190" w:type="dxa"/>
            <w:tcBorders>
              <w:top w:val="nil"/>
              <w:left w:val="nil"/>
              <w:bottom w:val="single" w:color="auto" w:sz="4" w:space="0"/>
              <w:right w:val="single" w:color="auto" w:sz="4" w:space="0"/>
            </w:tcBorders>
            <w:shd w:val="clear" w:color="auto" w:fill="auto"/>
            <w:noWrap/>
            <w:vAlign w:val="bottom"/>
          </w:tcPr>
          <w:p w14:paraId="1FC99CA1">
            <w:pPr>
              <w:widowControl/>
              <w:jc w:val="center"/>
              <w:rPr>
                <w:rFonts w:ascii="宋体" w:hAnsi="宋体" w:cs="宋体"/>
                <w:color w:val="000000"/>
                <w:kern w:val="0"/>
                <w:szCs w:val="21"/>
              </w:rPr>
            </w:pPr>
            <w:r>
              <w:rPr>
                <w:rFonts w:hint="eastAsia" w:ascii="宋体" w:hAnsi="宋体" w:cs="宋体"/>
                <w:color w:val="000000"/>
                <w:kern w:val="0"/>
                <w:szCs w:val="21"/>
              </w:rPr>
              <w:t>≥100个</w:t>
            </w:r>
          </w:p>
        </w:tc>
        <w:tc>
          <w:tcPr>
            <w:tcW w:w="1210" w:type="dxa"/>
            <w:tcBorders>
              <w:top w:val="nil"/>
              <w:left w:val="nil"/>
              <w:bottom w:val="single" w:color="auto" w:sz="4" w:space="0"/>
              <w:right w:val="single" w:color="auto" w:sz="4" w:space="0"/>
            </w:tcBorders>
            <w:shd w:val="clear" w:color="000000" w:fill="FFFFFF"/>
            <w:noWrap/>
            <w:vAlign w:val="bottom"/>
          </w:tcPr>
          <w:p w14:paraId="42263A71">
            <w:pPr>
              <w:widowControl/>
              <w:jc w:val="center"/>
              <w:rPr>
                <w:rFonts w:ascii="宋体" w:hAnsi="宋体" w:cs="宋体"/>
                <w:color w:val="000000"/>
                <w:kern w:val="0"/>
                <w:szCs w:val="21"/>
              </w:rPr>
            </w:pPr>
            <w:r>
              <w:rPr>
                <w:rFonts w:hint="eastAsia" w:ascii="宋体" w:hAnsi="宋体" w:cs="宋体"/>
                <w:color w:val="000000"/>
                <w:kern w:val="0"/>
                <w:szCs w:val="21"/>
              </w:rPr>
              <w:t>100个</w:t>
            </w:r>
          </w:p>
        </w:tc>
      </w:tr>
      <w:tr w14:paraId="500FBB3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43C95749">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E218122">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340B7DC4">
            <w:pPr>
              <w:widowControl/>
              <w:jc w:val="center"/>
              <w:rPr>
                <w:rFonts w:ascii="宋体" w:hAnsi="宋体" w:cs="宋体"/>
                <w:color w:val="000000"/>
                <w:kern w:val="0"/>
                <w:szCs w:val="21"/>
              </w:rPr>
            </w:pPr>
            <w:r>
              <w:rPr>
                <w:rFonts w:hint="eastAsia" w:ascii="宋体" w:hAnsi="宋体" w:cs="宋体"/>
                <w:color w:val="000000"/>
                <w:kern w:val="0"/>
                <w:szCs w:val="21"/>
              </w:rPr>
              <w:t>开展事前绩效评估数量</w:t>
            </w:r>
          </w:p>
        </w:tc>
        <w:tc>
          <w:tcPr>
            <w:tcW w:w="2190" w:type="dxa"/>
            <w:tcBorders>
              <w:top w:val="nil"/>
              <w:left w:val="nil"/>
              <w:bottom w:val="single" w:color="auto" w:sz="4" w:space="0"/>
              <w:right w:val="single" w:color="auto" w:sz="4" w:space="0"/>
            </w:tcBorders>
            <w:shd w:val="clear" w:color="auto" w:fill="auto"/>
            <w:noWrap/>
            <w:vAlign w:val="bottom"/>
          </w:tcPr>
          <w:p w14:paraId="529E4A49">
            <w:pPr>
              <w:widowControl/>
              <w:jc w:val="center"/>
              <w:rPr>
                <w:rFonts w:ascii="宋体" w:hAnsi="宋体" w:cs="宋体"/>
                <w:color w:val="000000"/>
                <w:kern w:val="0"/>
                <w:szCs w:val="21"/>
              </w:rPr>
            </w:pPr>
            <w:r>
              <w:rPr>
                <w:rFonts w:hint="eastAsia" w:ascii="宋体" w:hAnsi="宋体" w:cs="宋体"/>
                <w:color w:val="000000"/>
                <w:kern w:val="0"/>
                <w:szCs w:val="21"/>
              </w:rPr>
              <w:t>≥8个</w:t>
            </w:r>
          </w:p>
        </w:tc>
        <w:tc>
          <w:tcPr>
            <w:tcW w:w="1210" w:type="dxa"/>
            <w:tcBorders>
              <w:top w:val="nil"/>
              <w:left w:val="nil"/>
              <w:bottom w:val="single" w:color="auto" w:sz="4" w:space="0"/>
              <w:right w:val="single" w:color="auto" w:sz="4" w:space="0"/>
            </w:tcBorders>
            <w:shd w:val="clear" w:color="000000" w:fill="FFFFFF"/>
            <w:noWrap/>
            <w:vAlign w:val="bottom"/>
          </w:tcPr>
          <w:p w14:paraId="3F248DAA">
            <w:pPr>
              <w:widowControl/>
              <w:jc w:val="center"/>
              <w:rPr>
                <w:rFonts w:ascii="宋体" w:hAnsi="宋体" w:cs="宋体"/>
                <w:color w:val="000000"/>
                <w:kern w:val="0"/>
                <w:szCs w:val="21"/>
              </w:rPr>
            </w:pPr>
            <w:r>
              <w:rPr>
                <w:rFonts w:hint="eastAsia" w:ascii="宋体" w:hAnsi="宋体" w:cs="宋体"/>
                <w:color w:val="000000"/>
                <w:kern w:val="0"/>
                <w:szCs w:val="21"/>
              </w:rPr>
              <w:t>8个</w:t>
            </w:r>
          </w:p>
        </w:tc>
      </w:tr>
      <w:tr w14:paraId="3844F5D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20C6623">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6EEC363">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2CF0D6A">
            <w:pPr>
              <w:widowControl/>
              <w:jc w:val="center"/>
              <w:rPr>
                <w:rFonts w:ascii="宋体" w:hAnsi="宋体" w:cs="宋体"/>
                <w:color w:val="000000"/>
                <w:kern w:val="0"/>
                <w:szCs w:val="21"/>
              </w:rPr>
            </w:pPr>
            <w:r>
              <w:rPr>
                <w:rFonts w:hint="eastAsia" w:ascii="宋体" w:hAnsi="宋体" w:cs="宋体"/>
                <w:color w:val="000000"/>
                <w:kern w:val="0"/>
                <w:szCs w:val="21"/>
              </w:rPr>
              <w:t>食堂工作日卫生每天保洁次数</w:t>
            </w:r>
          </w:p>
        </w:tc>
        <w:tc>
          <w:tcPr>
            <w:tcW w:w="2190" w:type="dxa"/>
            <w:tcBorders>
              <w:top w:val="nil"/>
              <w:left w:val="nil"/>
              <w:bottom w:val="single" w:color="auto" w:sz="4" w:space="0"/>
              <w:right w:val="single" w:color="auto" w:sz="4" w:space="0"/>
            </w:tcBorders>
            <w:shd w:val="clear" w:color="auto" w:fill="auto"/>
            <w:noWrap/>
            <w:vAlign w:val="bottom"/>
          </w:tcPr>
          <w:p w14:paraId="41988DF6">
            <w:pPr>
              <w:widowControl/>
              <w:jc w:val="center"/>
              <w:rPr>
                <w:rFonts w:ascii="宋体" w:hAnsi="宋体" w:cs="宋体"/>
                <w:color w:val="000000"/>
                <w:kern w:val="0"/>
                <w:szCs w:val="21"/>
              </w:rPr>
            </w:pPr>
            <w:r>
              <w:rPr>
                <w:rFonts w:hint="eastAsia" w:ascii="宋体" w:hAnsi="宋体" w:cs="宋体"/>
                <w:color w:val="000000"/>
                <w:kern w:val="0"/>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14:paraId="5166A5DC">
            <w:pPr>
              <w:widowControl/>
              <w:jc w:val="center"/>
              <w:rPr>
                <w:rFonts w:ascii="宋体" w:hAnsi="宋体" w:cs="宋体"/>
                <w:color w:val="000000"/>
                <w:kern w:val="0"/>
                <w:szCs w:val="21"/>
              </w:rPr>
            </w:pPr>
            <w:r>
              <w:rPr>
                <w:rFonts w:hint="eastAsia" w:ascii="宋体" w:hAnsi="宋体" w:cs="宋体"/>
                <w:color w:val="000000"/>
                <w:kern w:val="0"/>
                <w:szCs w:val="21"/>
              </w:rPr>
              <w:t>3次</w:t>
            </w:r>
          </w:p>
        </w:tc>
      </w:tr>
      <w:tr w14:paraId="58466BEA">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B41EA1F">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9EAC093">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9E8792F">
            <w:pPr>
              <w:widowControl/>
              <w:jc w:val="center"/>
              <w:rPr>
                <w:rFonts w:ascii="宋体" w:hAnsi="宋体" w:cs="宋体"/>
                <w:color w:val="000000"/>
                <w:kern w:val="0"/>
                <w:szCs w:val="21"/>
              </w:rPr>
            </w:pPr>
            <w:r>
              <w:rPr>
                <w:rFonts w:hint="eastAsia" w:ascii="宋体" w:hAnsi="宋体" w:cs="宋体"/>
                <w:color w:val="000000"/>
                <w:kern w:val="0"/>
                <w:szCs w:val="21"/>
              </w:rPr>
              <w:t>食堂工作日每天出餐次数</w:t>
            </w:r>
          </w:p>
        </w:tc>
        <w:tc>
          <w:tcPr>
            <w:tcW w:w="2190" w:type="dxa"/>
            <w:tcBorders>
              <w:top w:val="nil"/>
              <w:left w:val="nil"/>
              <w:bottom w:val="single" w:color="auto" w:sz="4" w:space="0"/>
              <w:right w:val="single" w:color="auto" w:sz="4" w:space="0"/>
            </w:tcBorders>
            <w:shd w:val="clear" w:color="auto" w:fill="auto"/>
            <w:noWrap/>
            <w:vAlign w:val="bottom"/>
          </w:tcPr>
          <w:p w14:paraId="0A211555">
            <w:pPr>
              <w:widowControl/>
              <w:jc w:val="center"/>
              <w:rPr>
                <w:rFonts w:ascii="宋体" w:hAnsi="宋体" w:cs="宋体"/>
                <w:color w:val="000000"/>
                <w:kern w:val="0"/>
                <w:szCs w:val="21"/>
              </w:rPr>
            </w:pPr>
            <w:r>
              <w:rPr>
                <w:rFonts w:hint="eastAsia" w:ascii="宋体" w:hAnsi="宋体" w:cs="宋体"/>
                <w:color w:val="000000"/>
                <w:kern w:val="0"/>
                <w:szCs w:val="21"/>
              </w:rPr>
              <w:t>等于3次</w:t>
            </w:r>
          </w:p>
        </w:tc>
        <w:tc>
          <w:tcPr>
            <w:tcW w:w="1210" w:type="dxa"/>
            <w:tcBorders>
              <w:top w:val="nil"/>
              <w:left w:val="nil"/>
              <w:bottom w:val="single" w:color="auto" w:sz="4" w:space="0"/>
              <w:right w:val="single" w:color="auto" w:sz="4" w:space="0"/>
            </w:tcBorders>
            <w:shd w:val="clear" w:color="000000" w:fill="FFFFFF"/>
            <w:noWrap/>
            <w:vAlign w:val="bottom"/>
          </w:tcPr>
          <w:p w14:paraId="112784ED">
            <w:pPr>
              <w:widowControl/>
              <w:jc w:val="center"/>
              <w:rPr>
                <w:rFonts w:ascii="宋体" w:hAnsi="宋体" w:cs="宋体"/>
                <w:color w:val="000000"/>
                <w:kern w:val="0"/>
                <w:szCs w:val="21"/>
              </w:rPr>
            </w:pPr>
            <w:r>
              <w:rPr>
                <w:rFonts w:hint="eastAsia" w:ascii="宋体" w:hAnsi="宋体" w:cs="宋体"/>
                <w:color w:val="000000"/>
                <w:kern w:val="0"/>
                <w:szCs w:val="21"/>
              </w:rPr>
              <w:t>3次</w:t>
            </w:r>
          </w:p>
        </w:tc>
      </w:tr>
      <w:tr w14:paraId="53F80167">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129B599">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35F7A81A">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17C284BD">
            <w:pPr>
              <w:widowControl/>
              <w:jc w:val="center"/>
              <w:rPr>
                <w:rFonts w:ascii="宋体" w:hAnsi="宋体" w:cs="宋体"/>
                <w:color w:val="000000"/>
                <w:kern w:val="0"/>
                <w:szCs w:val="21"/>
              </w:rPr>
            </w:pPr>
            <w:r>
              <w:rPr>
                <w:rFonts w:hint="eastAsia" w:ascii="宋体" w:hAnsi="宋体" w:cs="宋体"/>
                <w:color w:val="000000"/>
                <w:kern w:val="0"/>
                <w:szCs w:val="21"/>
              </w:rPr>
              <w:t>劳务人员发放工资及时性</w:t>
            </w:r>
          </w:p>
        </w:tc>
        <w:tc>
          <w:tcPr>
            <w:tcW w:w="2190" w:type="dxa"/>
            <w:tcBorders>
              <w:top w:val="nil"/>
              <w:left w:val="nil"/>
              <w:bottom w:val="single" w:color="auto" w:sz="4" w:space="0"/>
              <w:right w:val="single" w:color="auto" w:sz="4" w:space="0"/>
            </w:tcBorders>
            <w:shd w:val="clear" w:color="auto" w:fill="auto"/>
            <w:noWrap/>
            <w:vAlign w:val="bottom"/>
          </w:tcPr>
          <w:p w14:paraId="08733A6A">
            <w:pPr>
              <w:widowControl/>
              <w:jc w:val="center"/>
              <w:rPr>
                <w:rFonts w:ascii="宋体" w:hAnsi="宋体" w:cs="宋体"/>
                <w:color w:val="000000"/>
                <w:kern w:val="0"/>
                <w:szCs w:val="21"/>
              </w:rPr>
            </w:pPr>
            <w:r>
              <w:rPr>
                <w:rFonts w:hint="eastAsia" w:ascii="宋体" w:hAnsi="宋体" w:cs="宋体"/>
                <w:color w:val="000000"/>
                <w:kern w:val="0"/>
                <w:szCs w:val="21"/>
              </w:rPr>
              <w:t>等于12月</w:t>
            </w:r>
          </w:p>
        </w:tc>
        <w:tc>
          <w:tcPr>
            <w:tcW w:w="1210" w:type="dxa"/>
            <w:tcBorders>
              <w:top w:val="nil"/>
              <w:left w:val="nil"/>
              <w:bottom w:val="single" w:color="auto" w:sz="4" w:space="0"/>
              <w:right w:val="single" w:color="auto" w:sz="4" w:space="0"/>
            </w:tcBorders>
            <w:shd w:val="clear" w:color="000000" w:fill="FFFFFF"/>
            <w:noWrap/>
            <w:vAlign w:val="bottom"/>
          </w:tcPr>
          <w:p w14:paraId="78248228">
            <w:pPr>
              <w:widowControl/>
              <w:jc w:val="center"/>
              <w:rPr>
                <w:rFonts w:ascii="宋体" w:hAnsi="宋体" w:cs="宋体"/>
                <w:color w:val="000000"/>
                <w:kern w:val="0"/>
                <w:szCs w:val="21"/>
              </w:rPr>
            </w:pPr>
            <w:r>
              <w:rPr>
                <w:rFonts w:hint="eastAsia" w:ascii="宋体" w:hAnsi="宋体" w:cs="宋体"/>
                <w:color w:val="000000"/>
                <w:kern w:val="0"/>
                <w:szCs w:val="21"/>
              </w:rPr>
              <w:t>12月</w:t>
            </w:r>
          </w:p>
        </w:tc>
      </w:tr>
      <w:tr w14:paraId="5D58924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0A64035E">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B865861">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78B3FB19">
            <w:pPr>
              <w:widowControl/>
              <w:jc w:val="center"/>
              <w:rPr>
                <w:rFonts w:ascii="宋体" w:hAnsi="宋体" w:cs="宋体"/>
                <w:color w:val="000000"/>
                <w:kern w:val="0"/>
                <w:szCs w:val="21"/>
              </w:rPr>
            </w:pPr>
            <w:r>
              <w:rPr>
                <w:rFonts w:hint="eastAsia" w:ascii="宋体" w:hAnsi="宋体" w:cs="宋体"/>
                <w:color w:val="000000"/>
                <w:kern w:val="0"/>
                <w:szCs w:val="21"/>
              </w:rPr>
              <w:t>劳务派遣人数</w:t>
            </w:r>
          </w:p>
        </w:tc>
        <w:tc>
          <w:tcPr>
            <w:tcW w:w="2190" w:type="dxa"/>
            <w:tcBorders>
              <w:top w:val="nil"/>
              <w:left w:val="nil"/>
              <w:bottom w:val="single" w:color="auto" w:sz="4" w:space="0"/>
              <w:right w:val="single" w:color="auto" w:sz="4" w:space="0"/>
            </w:tcBorders>
            <w:shd w:val="clear" w:color="auto" w:fill="auto"/>
            <w:noWrap/>
            <w:vAlign w:val="bottom"/>
          </w:tcPr>
          <w:p w14:paraId="07A245A7">
            <w:pPr>
              <w:widowControl/>
              <w:jc w:val="center"/>
              <w:rPr>
                <w:rFonts w:ascii="宋体" w:hAnsi="宋体" w:cs="宋体"/>
                <w:color w:val="000000"/>
                <w:kern w:val="0"/>
                <w:szCs w:val="21"/>
              </w:rPr>
            </w:pPr>
            <w:r>
              <w:rPr>
                <w:rFonts w:hint="eastAsia" w:ascii="宋体" w:hAnsi="宋体" w:cs="宋体"/>
                <w:color w:val="000000"/>
                <w:kern w:val="0"/>
                <w:szCs w:val="21"/>
              </w:rPr>
              <w:t>等于5人</w:t>
            </w:r>
          </w:p>
        </w:tc>
        <w:tc>
          <w:tcPr>
            <w:tcW w:w="1210" w:type="dxa"/>
            <w:tcBorders>
              <w:top w:val="nil"/>
              <w:left w:val="nil"/>
              <w:bottom w:val="single" w:color="auto" w:sz="4" w:space="0"/>
              <w:right w:val="single" w:color="auto" w:sz="4" w:space="0"/>
            </w:tcBorders>
            <w:shd w:val="clear" w:color="000000" w:fill="FFFFFF"/>
            <w:noWrap/>
            <w:vAlign w:val="bottom"/>
          </w:tcPr>
          <w:p w14:paraId="718D5BB4">
            <w:pPr>
              <w:widowControl/>
              <w:jc w:val="center"/>
              <w:rPr>
                <w:rFonts w:ascii="宋体" w:hAnsi="宋体" w:cs="宋体"/>
                <w:color w:val="000000"/>
                <w:kern w:val="0"/>
                <w:szCs w:val="21"/>
              </w:rPr>
            </w:pPr>
            <w:r>
              <w:rPr>
                <w:rFonts w:hint="eastAsia" w:ascii="宋体" w:hAnsi="宋体" w:cs="宋体"/>
                <w:color w:val="000000"/>
                <w:kern w:val="0"/>
                <w:szCs w:val="21"/>
              </w:rPr>
              <w:t>5人</w:t>
            </w:r>
          </w:p>
        </w:tc>
      </w:tr>
      <w:tr w14:paraId="01DC2091">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7593ADB">
            <w:pPr>
              <w:widowControl/>
              <w:jc w:val="left"/>
              <w:rPr>
                <w:rFonts w:ascii="宋体" w:hAnsi="宋体" w:cs="宋体"/>
                <w:color w:val="000000"/>
                <w:kern w:val="0"/>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638727DA">
            <w:pPr>
              <w:widowControl/>
              <w:jc w:val="center"/>
              <w:rPr>
                <w:rFonts w:ascii="宋体" w:hAnsi="宋体" w:cs="宋体"/>
                <w:color w:val="000000"/>
                <w:kern w:val="0"/>
                <w:szCs w:val="21"/>
              </w:rPr>
            </w:pPr>
            <w:r>
              <w:rPr>
                <w:rFonts w:hint="eastAsia" w:ascii="宋体" w:hAnsi="宋体" w:cs="宋体"/>
                <w:color w:val="000000"/>
                <w:kern w:val="0"/>
                <w:szCs w:val="21"/>
              </w:rPr>
              <w:t>时效指标</w:t>
            </w:r>
          </w:p>
        </w:tc>
        <w:tc>
          <w:tcPr>
            <w:tcW w:w="2990" w:type="dxa"/>
            <w:tcBorders>
              <w:top w:val="nil"/>
              <w:left w:val="nil"/>
              <w:bottom w:val="single" w:color="auto" w:sz="4" w:space="0"/>
              <w:right w:val="single" w:color="auto" w:sz="4" w:space="0"/>
            </w:tcBorders>
            <w:shd w:val="clear" w:color="auto" w:fill="auto"/>
            <w:noWrap/>
            <w:vAlign w:val="bottom"/>
          </w:tcPr>
          <w:p w14:paraId="02C53D31">
            <w:pPr>
              <w:widowControl/>
              <w:jc w:val="center"/>
              <w:rPr>
                <w:rFonts w:ascii="宋体" w:hAnsi="宋体" w:cs="宋体"/>
                <w:color w:val="000000"/>
                <w:kern w:val="0"/>
                <w:szCs w:val="21"/>
              </w:rPr>
            </w:pPr>
            <w:r>
              <w:rPr>
                <w:rFonts w:hint="eastAsia" w:ascii="宋体" w:hAnsi="宋体" w:cs="宋体"/>
                <w:color w:val="000000"/>
                <w:kern w:val="0"/>
                <w:szCs w:val="21"/>
              </w:rPr>
              <w:t>解决问题的及时性</w:t>
            </w:r>
          </w:p>
        </w:tc>
        <w:tc>
          <w:tcPr>
            <w:tcW w:w="2190" w:type="dxa"/>
            <w:tcBorders>
              <w:top w:val="nil"/>
              <w:left w:val="nil"/>
              <w:bottom w:val="single" w:color="auto" w:sz="4" w:space="0"/>
              <w:right w:val="single" w:color="auto" w:sz="4" w:space="0"/>
            </w:tcBorders>
            <w:shd w:val="clear" w:color="auto" w:fill="auto"/>
            <w:noWrap/>
            <w:vAlign w:val="bottom"/>
          </w:tcPr>
          <w:p w14:paraId="50153430">
            <w:pPr>
              <w:widowControl/>
              <w:jc w:val="center"/>
              <w:rPr>
                <w:rFonts w:ascii="宋体" w:hAnsi="宋体" w:cs="宋体"/>
                <w:color w:val="000000"/>
                <w:kern w:val="0"/>
                <w:szCs w:val="21"/>
              </w:rPr>
            </w:pPr>
            <w:r>
              <w:rPr>
                <w:rFonts w:hint="eastAsia" w:ascii="宋体" w:hAnsi="宋体" w:cs="宋体"/>
                <w:color w:val="000000"/>
                <w:kern w:val="0"/>
                <w:szCs w:val="21"/>
              </w:rPr>
              <w:t>等于95%</w:t>
            </w:r>
          </w:p>
        </w:tc>
        <w:tc>
          <w:tcPr>
            <w:tcW w:w="1210" w:type="dxa"/>
            <w:tcBorders>
              <w:top w:val="nil"/>
              <w:left w:val="nil"/>
              <w:bottom w:val="single" w:color="auto" w:sz="4" w:space="0"/>
              <w:right w:val="single" w:color="auto" w:sz="4" w:space="0"/>
            </w:tcBorders>
            <w:shd w:val="clear" w:color="000000" w:fill="FFFFFF"/>
            <w:noWrap/>
            <w:vAlign w:val="bottom"/>
          </w:tcPr>
          <w:p w14:paraId="2B9B5060">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5165DF6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7B363B5">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DED06E8">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34924379">
            <w:pPr>
              <w:widowControl/>
              <w:jc w:val="center"/>
              <w:rPr>
                <w:rFonts w:ascii="宋体" w:hAnsi="宋体" w:cs="宋体"/>
                <w:color w:val="000000"/>
                <w:kern w:val="0"/>
                <w:szCs w:val="21"/>
              </w:rPr>
            </w:pPr>
            <w:r>
              <w:rPr>
                <w:rFonts w:hint="eastAsia" w:ascii="宋体" w:hAnsi="宋体" w:cs="宋体"/>
                <w:color w:val="000000"/>
                <w:kern w:val="0"/>
                <w:szCs w:val="21"/>
              </w:rPr>
              <w:t>报告提交及时性</w:t>
            </w:r>
          </w:p>
        </w:tc>
        <w:tc>
          <w:tcPr>
            <w:tcW w:w="2190" w:type="dxa"/>
            <w:tcBorders>
              <w:top w:val="nil"/>
              <w:left w:val="nil"/>
              <w:bottom w:val="single" w:color="auto" w:sz="4" w:space="0"/>
              <w:right w:val="single" w:color="auto" w:sz="4" w:space="0"/>
            </w:tcBorders>
            <w:shd w:val="clear" w:color="auto" w:fill="auto"/>
            <w:noWrap/>
            <w:vAlign w:val="bottom"/>
          </w:tcPr>
          <w:p w14:paraId="37621F9C">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24740F2F">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1415F4B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1EE2A80">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A042F47">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DB6CC98">
            <w:pPr>
              <w:widowControl/>
              <w:jc w:val="center"/>
              <w:rPr>
                <w:rFonts w:ascii="宋体" w:hAnsi="宋体" w:cs="宋体"/>
                <w:color w:val="000000"/>
                <w:kern w:val="0"/>
                <w:szCs w:val="21"/>
              </w:rPr>
            </w:pPr>
            <w:r>
              <w:rPr>
                <w:rFonts w:hint="eastAsia" w:ascii="宋体" w:hAnsi="宋体" w:cs="宋体"/>
                <w:color w:val="000000"/>
                <w:kern w:val="0"/>
                <w:szCs w:val="21"/>
              </w:rPr>
              <w:t>干部职工用餐完成及时率</w:t>
            </w:r>
          </w:p>
        </w:tc>
        <w:tc>
          <w:tcPr>
            <w:tcW w:w="2190" w:type="dxa"/>
            <w:tcBorders>
              <w:top w:val="nil"/>
              <w:left w:val="nil"/>
              <w:bottom w:val="single" w:color="auto" w:sz="4" w:space="0"/>
              <w:right w:val="single" w:color="auto" w:sz="4" w:space="0"/>
            </w:tcBorders>
            <w:shd w:val="clear" w:color="auto" w:fill="auto"/>
            <w:noWrap/>
            <w:vAlign w:val="bottom"/>
          </w:tcPr>
          <w:p w14:paraId="58B6C618">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210" w:type="dxa"/>
            <w:tcBorders>
              <w:top w:val="nil"/>
              <w:left w:val="nil"/>
              <w:bottom w:val="single" w:color="auto" w:sz="4" w:space="0"/>
              <w:right w:val="single" w:color="auto" w:sz="4" w:space="0"/>
            </w:tcBorders>
            <w:shd w:val="clear" w:color="000000" w:fill="FFFFFF"/>
            <w:noWrap/>
            <w:vAlign w:val="bottom"/>
          </w:tcPr>
          <w:p w14:paraId="48CDFD54">
            <w:pPr>
              <w:widowControl/>
              <w:jc w:val="center"/>
              <w:rPr>
                <w:rFonts w:ascii="宋体" w:hAnsi="宋体" w:cs="宋体"/>
                <w:color w:val="000000"/>
                <w:kern w:val="0"/>
                <w:szCs w:val="21"/>
              </w:rPr>
            </w:pPr>
            <w:r>
              <w:rPr>
                <w:rFonts w:hint="eastAsia" w:ascii="宋体" w:hAnsi="宋体" w:cs="宋体"/>
                <w:color w:val="000000"/>
                <w:kern w:val="0"/>
                <w:szCs w:val="21"/>
              </w:rPr>
              <w:t>100%</w:t>
            </w:r>
          </w:p>
        </w:tc>
      </w:tr>
      <w:tr w14:paraId="4B469331">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DA8C6E9">
            <w:pPr>
              <w:widowControl/>
              <w:jc w:val="left"/>
              <w:rPr>
                <w:rFonts w:ascii="宋体" w:hAnsi="宋体" w:cs="宋体"/>
                <w:color w:val="000000"/>
                <w:kern w:val="0"/>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6469A9BD">
            <w:pPr>
              <w:widowControl/>
              <w:jc w:val="center"/>
              <w:rPr>
                <w:rFonts w:ascii="宋体" w:hAnsi="宋体" w:cs="宋体"/>
                <w:color w:val="000000"/>
                <w:kern w:val="0"/>
                <w:szCs w:val="21"/>
              </w:rPr>
            </w:pPr>
            <w:r>
              <w:rPr>
                <w:rFonts w:hint="eastAsia" w:ascii="宋体" w:hAnsi="宋体" w:cs="宋体"/>
                <w:color w:val="000000"/>
                <w:kern w:val="0"/>
                <w:szCs w:val="21"/>
              </w:rPr>
              <w:t>质量指标</w:t>
            </w:r>
          </w:p>
        </w:tc>
        <w:tc>
          <w:tcPr>
            <w:tcW w:w="2990" w:type="dxa"/>
            <w:tcBorders>
              <w:top w:val="nil"/>
              <w:left w:val="nil"/>
              <w:bottom w:val="single" w:color="auto" w:sz="4" w:space="0"/>
              <w:right w:val="single" w:color="auto" w:sz="4" w:space="0"/>
            </w:tcBorders>
            <w:shd w:val="clear" w:color="auto" w:fill="auto"/>
            <w:noWrap/>
            <w:vAlign w:val="bottom"/>
          </w:tcPr>
          <w:p w14:paraId="51853C88">
            <w:pPr>
              <w:widowControl/>
              <w:jc w:val="center"/>
              <w:rPr>
                <w:rFonts w:ascii="宋体" w:hAnsi="宋体" w:cs="宋体"/>
                <w:color w:val="000000"/>
                <w:kern w:val="0"/>
                <w:szCs w:val="21"/>
              </w:rPr>
            </w:pPr>
            <w:r>
              <w:rPr>
                <w:rFonts w:hint="eastAsia" w:ascii="宋体" w:hAnsi="宋体" w:cs="宋体"/>
                <w:color w:val="000000"/>
                <w:kern w:val="0"/>
                <w:szCs w:val="21"/>
              </w:rPr>
              <w:t>运维服务响应时间</w:t>
            </w:r>
          </w:p>
        </w:tc>
        <w:tc>
          <w:tcPr>
            <w:tcW w:w="2190" w:type="dxa"/>
            <w:tcBorders>
              <w:top w:val="nil"/>
              <w:left w:val="nil"/>
              <w:bottom w:val="single" w:color="auto" w:sz="4" w:space="0"/>
              <w:right w:val="single" w:color="auto" w:sz="4" w:space="0"/>
            </w:tcBorders>
            <w:shd w:val="clear" w:color="auto" w:fill="auto"/>
            <w:noWrap/>
            <w:vAlign w:val="bottom"/>
          </w:tcPr>
          <w:p w14:paraId="5FAF3EA5">
            <w:pPr>
              <w:widowControl/>
              <w:jc w:val="center"/>
              <w:rPr>
                <w:rFonts w:ascii="宋体" w:hAnsi="宋体" w:cs="宋体"/>
                <w:color w:val="000000"/>
                <w:kern w:val="0"/>
                <w:szCs w:val="21"/>
              </w:rPr>
            </w:pPr>
            <w:r>
              <w:rPr>
                <w:rFonts w:hint="eastAsia" w:ascii="宋体" w:hAnsi="宋体" w:cs="宋体"/>
                <w:color w:val="000000"/>
                <w:kern w:val="0"/>
                <w:szCs w:val="21"/>
              </w:rPr>
              <w:t>≦5分钟</w:t>
            </w:r>
          </w:p>
        </w:tc>
        <w:tc>
          <w:tcPr>
            <w:tcW w:w="1210" w:type="dxa"/>
            <w:tcBorders>
              <w:top w:val="nil"/>
              <w:left w:val="nil"/>
              <w:bottom w:val="single" w:color="auto" w:sz="4" w:space="0"/>
              <w:right w:val="single" w:color="auto" w:sz="4" w:space="0"/>
            </w:tcBorders>
            <w:shd w:val="clear" w:color="000000" w:fill="FFFFFF"/>
            <w:noWrap/>
            <w:vAlign w:val="bottom"/>
          </w:tcPr>
          <w:p w14:paraId="38ADD32F">
            <w:pPr>
              <w:widowControl/>
              <w:jc w:val="center"/>
              <w:rPr>
                <w:rFonts w:ascii="宋体" w:hAnsi="宋体" w:cs="宋体"/>
                <w:color w:val="000000"/>
                <w:kern w:val="0"/>
                <w:szCs w:val="21"/>
              </w:rPr>
            </w:pPr>
            <w:r>
              <w:rPr>
                <w:rFonts w:hint="eastAsia" w:ascii="宋体" w:hAnsi="宋体" w:cs="宋体"/>
                <w:color w:val="000000"/>
                <w:kern w:val="0"/>
                <w:szCs w:val="21"/>
              </w:rPr>
              <w:t>5分钟</w:t>
            </w:r>
          </w:p>
        </w:tc>
      </w:tr>
      <w:tr w14:paraId="531894D4">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C589E76">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72836B3">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2111E011">
            <w:pPr>
              <w:widowControl/>
              <w:jc w:val="center"/>
              <w:rPr>
                <w:rFonts w:ascii="宋体" w:hAnsi="宋体" w:cs="宋体"/>
                <w:color w:val="000000"/>
                <w:kern w:val="0"/>
                <w:szCs w:val="21"/>
              </w:rPr>
            </w:pPr>
            <w:r>
              <w:rPr>
                <w:rFonts w:hint="eastAsia" w:ascii="宋体" w:hAnsi="宋体" w:cs="宋体"/>
                <w:color w:val="000000"/>
                <w:kern w:val="0"/>
                <w:szCs w:val="21"/>
              </w:rPr>
              <w:t>确保财政业务系统平稳运行</w:t>
            </w:r>
          </w:p>
        </w:tc>
        <w:tc>
          <w:tcPr>
            <w:tcW w:w="2190" w:type="dxa"/>
            <w:tcBorders>
              <w:top w:val="nil"/>
              <w:left w:val="nil"/>
              <w:bottom w:val="single" w:color="auto" w:sz="4" w:space="0"/>
              <w:right w:val="single" w:color="auto" w:sz="4" w:space="0"/>
            </w:tcBorders>
            <w:shd w:val="clear" w:color="auto" w:fill="auto"/>
            <w:noWrap/>
            <w:vAlign w:val="bottom"/>
          </w:tcPr>
          <w:p w14:paraId="713606AC">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6942BA1D">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3EB5301F">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6B3BC34">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174EB47">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016E6356">
            <w:pPr>
              <w:widowControl/>
              <w:jc w:val="center"/>
              <w:rPr>
                <w:rFonts w:ascii="宋体" w:hAnsi="宋体" w:cs="宋体"/>
                <w:color w:val="000000"/>
                <w:kern w:val="0"/>
                <w:szCs w:val="21"/>
              </w:rPr>
            </w:pPr>
            <w:r>
              <w:rPr>
                <w:rFonts w:hint="eastAsia" w:ascii="宋体" w:hAnsi="宋体" w:cs="宋体"/>
                <w:color w:val="000000"/>
                <w:kern w:val="0"/>
                <w:szCs w:val="21"/>
              </w:rPr>
              <w:t>项目评审报告合格率</w:t>
            </w:r>
          </w:p>
        </w:tc>
        <w:tc>
          <w:tcPr>
            <w:tcW w:w="2190" w:type="dxa"/>
            <w:tcBorders>
              <w:top w:val="nil"/>
              <w:left w:val="nil"/>
              <w:bottom w:val="single" w:color="auto" w:sz="4" w:space="0"/>
              <w:right w:val="single" w:color="auto" w:sz="4" w:space="0"/>
            </w:tcBorders>
            <w:shd w:val="clear" w:color="auto" w:fill="auto"/>
            <w:noWrap/>
            <w:vAlign w:val="bottom"/>
          </w:tcPr>
          <w:p w14:paraId="263BE32A">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26C564C1">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2C1BAC0B">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6010670">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BA9927E">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257AAB8">
            <w:pPr>
              <w:widowControl/>
              <w:jc w:val="center"/>
              <w:rPr>
                <w:rFonts w:ascii="宋体" w:hAnsi="宋体" w:cs="宋体"/>
                <w:color w:val="000000"/>
                <w:kern w:val="0"/>
                <w:szCs w:val="21"/>
              </w:rPr>
            </w:pPr>
            <w:r>
              <w:rPr>
                <w:rFonts w:hint="eastAsia" w:ascii="宋体" w:hAnsi="宋体" w:cs="宋体"/>
                <w:color w:val="000000"/>
                <w:kern w:val="0"/>
                <w:szCs w:val="21"/>
              </w:rPr>
              <w:t>食品质量安全保障率</w:t>
            </w:r>
          </w:p>
        </w:tc>
        <w:tc>
          <w:tcPr>
            <w:tcW w:w="2190" w:type="dxa"/>
            <w:tcBorders>
              <w:top w:val="nil"/>
              <w:left w:val="nil"/>
              <w:bottom w:val="single" w:color="auto" w:sz="4" w:space="0"/>
              <w:right w:val="single" w:color="auto" w:sz="4" w:space="0"/>
            </w:tcBorders>
            <w:shd w:val="clear" w:color="auto" w:fill="auto"/>
            <w:noWrap/>
            <w:vAlign w:val="bottom"/>
          </w:tcPr>
          <w:p w14:paraId="38C8EDCF">
            <w:pPr>
              <w:widowControl/>
              <w:jc w:val="center"/>
              <w:rPr>
                <w:rFonts w:ascii="宋体" w:hAnsi="宋体" w:cs="宋体"/>
                <w:color w:val="000000"/>
                <w:kern w:val="0"/>
                <w:szCs w:val="21"/>
              </w:rPr>
            </w:pPr>
            <w:r>
              <w:rPr>
                <w:rFonts w:hint="eastAsia" w:ascii="宋体" w:hAnsi="宋体" w:cs="宋体"/>
                <w:color w:val="000000"/>
                <w:kern w:val="0"/>
                <w:szCs w:val="21"/>
              </w:rPr>
              <w:t>等于100%</w:t>
            </w:r>
          </w:p>
        </w:tc>
        <w:tc>
          <w:tcPr>
            <w:tcW w:w="1210" w:type="dxa"/>
            <w:tcBorders>
              <w:top w:val="nil"/>
              <w:left w:val="nil"/>
              <w:bottom w:val="single" w:color="auto" w:sz="4" w:space="0"/>
              <w:right w:val="single" w:color="auto" w:sz="4" w:space="0"/>
            </w:tcBorders>
            <w:shd w:val="clear" w:color="000000" w:fill="FFFFFF"/>
            <w:noWrap/>
            <w:vAlign w:val="bottom"/>
          </w:tcPr>
          <w:p w14:paraId="2911AD11">
            <w:pPr>
              <w:widowControl/>
              <w:jc w:val="center"/>
              <w:rPr>
                <w:rFonts w:ascii="宋体" w:hAnsi="宋体" w:cs="宋体"/>
                <w:color w:val="000000"/>
                <w:kern w:val="0"/>
                <w:szCs w:val="21"/>
              </w:rPr>
            </w:pPr>
            <w:r>
              <w:rPr>
                <w:rFonts w:hint="eastAsia" w:ascii="宋体" w:hAnsi="宋体" w:cs="宋体"/>
                <w:color w:val="000000"/>
                <w:kern w:val="0"/>
                <w:szCs w:val="21"/>
              </w:rPr>
              <w:t>100%</w:t>
            </w:r>
          </w:p>
        </w:tc>
      </w:tr>
      <w:tr w14:paraId="6F474F1E">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1111C212">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1A72E576">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4E9110E">
            <w:pPr>
              <w:widowControl/>
              <w:jc w:val="center"/>
              <w:rPr>
                <w:rFonts w:ascii="宋体" w:hAnsi="宋体" w:cs="宋体"/>
                <w:color w:val="000000"/>
                <w:kern w:val="0"/>
                <w:szCs w:val="21"/>
              </w:rPr>
            </w:pPr>
            <w:r>
              <w:rPr>
                <w:rFonts w:hint="eastAsia" w:ascii="宋体" w:hAnsi="宋体" w:cs="宋体"/>
                <w:color w:val="000000"/>
                <w:kern w:val="0"/>
                <w:szCs w:val="21"/>
              </w:rPr>
              <w:t>项目评审审减率</w:t>
            </w:r>
          </w:p>
        </w:tc>
        <w:tc>
          <w:tcPr>
            <w:tcW w:w="2190" w:type="dxa"/>
            <w:tcBorders>
              <w:top w:val="nil"/>
              <w:left w:val="nil"/>
              <w:bottom w:val="single" w:color="auto" w:sz="4" w:space="0"/>
              <w:right w:val="single" w:color="auto" w:sz="4" w:space="0"/>
            </w:tcBorders>
            <w:shd w:val="clear" w:color="auto" w:fill="auto"/>
            <w:noWrap/>
            <w:vAlign w:val="bottom"/>
          </w:tcPr>
          <w:p w14:paraId="1C4F571C">
            <w:pPr>
              <w:widowControl/>
              <w:jc w:val="center"/>
              <w:rPr>
                <w:rFonts w:ascii="宋体" w:hAnsi="宋体" w:cs="宋体"/>
                <w:color w:val="000000"/>
                <w:kern w:val="0"/>
                <w:szCs w:val="21"/>
              </w:rPr>
            </w:pPr>
            <w:r>
              <w:rPr>
                <w:rFonts w:hint="eastAsia" w:ascii="宋体" w:hAnsi="宋体" w:cs="宋体"/>
                <w:color w:val="000000"/>
                <w:kern w:val="0"/>
                <w:szCs w:val="21"/>
              </w:rPr>
              <w:t>≥7%</w:t>
            </w:r>
          </w:p>
        </w:tc>
        <w:tc>
          <w:tcPr>
            <w:tcW w:w="1210" w:type="dxa"/>
            <w:tcBorders>
              <w:top w:val="nil"/>
              <w:left w:val="nil"/>
              <w:bottom w:val="single" w:color="auto" w:sz="4" w:space="0"/>
              <w:right w:val="single" w:color="auto" w:sz="4" w:space="0"/>
            </w:tcBorders>
            <w:shd w:val="clear" w:color="000000" w:fill="FFFFFF"/>
            <w:noWrap/>
            <w:vAlign w:val="bottom"/>
          </w:tcPr>
          <w:p w14:paraId="002E4BC0">
            <w:pPr>
              <w:widowControl/>
              <w:jc w:val="center"/>
              <w:rPr>
                <w:rFonts w:ascii="宋体" w:hAnsi="宋体" w:cs="宋体"/>
                <w:color w:val="000000"/>
                <w:kern w:val="0"/>
                <w:szCs w:val="21"/>
              </w:rPr>
            </w:pPr>
            <w:r>
              <w:rPr>
                <w:rFonts w:hint="eastAsia" w:ascii="宋体" w:hAnsi="宋体" w:cs="宋体"/>
                <w:color w:val="000000"/>
                <w:kern w:val="0"/>
                <w:szCs w:val="21"/>
              </w:rPr>
              <w:t>7%</w:t>
            </w:r>
          </w:p>
        </w:tc>
      </w:tr>
      <w:tr w14:paraId="0A379811">
        <w:tblPrEx>
          <w:tblCellMar>
            <w:top w:w="0" w:type="dxa"/>
            <w:left w:w="108" w:type="dxa"/>
            <w:bottom w:w="0" w:type="dxa"/>
            <w:right w:w="108" w:type="dxa"/>
          </w:tblCellMar>
        </w:tblPrEx>
        <w:trPr>
          <w:trHeight w:val="27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4113E907">
            <w:pPr>
              <w:widowControl/>
              <w:jc w:val="center"/>
              <w:rPr>
                <w:rFonts w:ascii="宋体" w:hAnsi="宋体" w:cs="宋体"/>
                <w:color w:val="000000"/>
                <w:kern w:val="0"/>
                <w:szCs w:val="21"/>
              </w:rPr>
            </w:pPr>
            <w:r>
              <w:rPr>
                <w:rFonts w:hint="eastAsia" w:ascii="宋体" w:hAnsi="宋体" w:cs="宋体"/>
                <w:color w:val="000000"/>
                <w:kern w:val="0"/>
                <w:szCs w:val="21"/>
              </w:rPr>
              <w:t>效益指标</w:t>
            </w: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6129AF21">
            <w:pPr>
              <w:spacing w:line="240" w:lineRule="exact"/>
              <w:jc w:val="center"/>
            </w:pPr>
            <w:r>
              <w:rPr>
                <w:rFonts w:hint="eastAsia" w:ascii="宋体" w:hAnsi="宋体" w:cs="宋体"/>
                <w:color w:val="000000"/>
                <w:kern w:val="0"/>
                <w:szCs w:val="21"/>
              </w:rPr>
              <w:t>可持续影响指标</w:t>
            </w:r>
          </w:p>
          <w:p w14:paraId="262C3A82">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912D689">
            <w:pPr>
              <w:widowControl/>
              <w:jc w:val="center"/>
              <w:rPr>
                <w:rFonts w:ascii="宋体" w:hAnsi="宋体" w:cs="宋体"/>
                <w:color w:val="000000"/>
                <w:kern w:val="0"/>
                <w:szCs w:val="21"/>
              </w:rPr>
            </w:pPr>
            <w:r>
              <w:rPr>
                <w:rFonts w:hint="eastAsia" w:ascii="宋体" w:hAnsi="宋体" w:cs="宋体"/>
                <w:color w:val="000000"/>
                <w:kern w:val="0"/>
                <w:szCs w:val="21"/>
              </w:rPr>
              <w:t>用餐环境健康保障率</w:t>
            </w:r>
          </w:p>
        </w:tc>
        <w:tc>
          <w:tcPr>
            <w:tcW w:w="2190" w:type="dxa"/>
            <w:tcBorders>
              <w:top w:val="nil"/>
              <w:left w:val="nil"/>
              <w:bottom w:val="single" w:color="auto" w:sz="4" w:space="0"/>
              <w:right w:val="single" w:color="auto" w:sz="4" w:space="0"/>
            </w:tcBorders>
            <w:shd w:val="clear" w:color="auto" w:fill="auto"/>
            <w:noWrap/>
            <w:vAlign w:val="bottom"/>
          </w:tcPr>
          <w:p w14:paraId="33D0E59E">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210" w:type="dxa"/>
            <w:tcBorders>
              <w:top w:val="nil"/>
              <w:left w:val="nil"/>
              <w:bottom w:val="single" w:color="auto" w:sz="4" w:space="0"/>
              <w:right w:val="single" w:color="auto" w:sz="4" w:space="0"/>
            </w:tcBorders>
            <w:shd w:val="clear" w:color="000000" w:fill="FFFFFF"/>
            <w:noWrap/>
            <w:vAlign w:val="bottom"/>
          </w:tcPr>
          <w:p w14:paraId="1B51B9B6">
            <w:pPr>
              <w:widowControl/>
              <w:jc w:val="center"/>
              <w:rPr>
                <w:rFonts w:ascii="宋体" w:hAnsi="宋体" w:cs="宋体"/>
                <w:color w:val="000000"/>
                <w:kern w:val="0"/>
                <w:szCs w:val="21"/>
              </w:rPr>
            </w:pPr>
            <w:r>
              <w:rPr>
                <w:rFonts w:hint="eastAsia" w:ascii="宋体" w:hAnsi="宋体" w:cs="宋体"/>
                <w:color w:val="000000"/>
                <w:kern w:val="0"/>
                <w:szCs w:val="21"/>
              </w:rPr>
              <w:t>100%</w:t>
            </w:r>
          </w:p>
        </w:tc>
      </w:tr>
      <w:tr w14:paraId="1821AEF1">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39D96E84">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7B3EF0C3">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6D987744">
            <w:pPr>
              <w:widowControl/>
              <w:jc w:val="center"/>
              <w:rPr>
                <w:rFonts w:ascii="宋体" w:hAnsi="宋体" w:cs="宋体"/>
                <w:color w:val="000000"/>
                <w:kern w:val="0"/>
                <w:szCs w:val="21"/>
              </w:rPr>
            </w:pPr>
            <w:r>
              <w:rPr>
                <w:rFonts w:hint="eastAsia" w:ascii="宋体" w:hAnsi="宋体" w:cs="宋体"/>
                <w:color w:val="000000"/>
                <w:kern w:val="0"/>
                <w:szCs w:val="21"/>
              </w:rPr>
              <w:t>保障工作开展及正常运转</w:t>
            </w:r>
          </w:p>
        </w:tc>
        <w:tc>
          <w:tcPr>
            <w:tcW w:w="2190" w:type="dxa"/>
            <w:tcBorders>
              <w:top w:val="nil"/>
              <w:left w:val="nil"/>
              <w:bottom w:val="single" w:color="auto" w:sz="4" w:space="0"/>
              <w:right w:val="single" w:color="auto" w:sz="4" w:space="0"/>
            </w:tcBorders>
            <w:shd w:val="clear" w:color="auto" w:fill="auto"/>
            <w:noWrap/>
            <w:vAlign w:val="bottom"/>
          </w:tcPr>
          <w:p w14:paraId="085D28ED">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bottom"/>
          </w:tcPr>
          <w:p w14:paraId="3304FFB5">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2AA94BE2">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7D39E93C">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423DF66F">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724A8E88">
            <w:pPr>
              <w:widowControl/>
              <w:jc w:val="center"/>
              <w:rPr>
                <w:rFonts w:ascii="宋体" w:hAnsi="宋体" w:cs="宋体"/>
                <w:color w:val="000000"/>
                <w:kern w:val="0"/>
                <w:szCs w:val="21"/>
              </w:rPr>
            </w:pPr>
            <w:r>
              <w:rPr>
                <w:rFonts w:hint="eastAsia" w:ascii="宋体" w:hAnsi="宋体" w:cs="宋体"/>
                <w:color w:val="000000"/>
                <w:kern w:val="0"/>
                <w:szCs w:val="21"/>
              </w:rPr>
              <w:t>财政业务系统应用持续性</w:t>
            </w:r>
          </w:p>
        </w:tc>
        <w:tc>
          <w:tcPr>
            <w:tcW w:w="2190" w:type="dxa"/>
            <w:tcBorders>
              <w:top w:val="nil"/>
              <w:left w:val="nil"/>
              <w:bottom w:val="single" w:color="auto" w:sz="4" w:space="0"/>
              <w:right w:val="single" w:color="auto" w:sz="4" w:space="0"/>
            </w:tcBorders>
            <w:shd w:val="clear" w:color="auto" w:fill="auto"/>
            <w:noWrap/>
            <w:vAlign w:val="bottom"/>
          </w:tcPr>
          <w:p w14:paraId="40A54B6C">
            <w:pPr>
              <w:widowControl/>
              <w:jc w:val="center"/>
              <w:rPr>
                <w:rFonts w:ascii="宋体" w:hAnsi="宋体" w:cs="宋体"/>
                <w:color w:val="000000"/>
                <w:kern w:val="0"/>
                <w:szCs w:val="21"/>
              </w:rPr>
            </w:pPr>
            <w:r>
              <w:rPr>
                <w:rFonts w:hint="eastAsia" w:ascii="宋体" w:hAnsi="宋体" w:cs="宋体"/>
                <w:color w:val="000000"/>
                <w:kern w:val="0"/>
                <w:szCs w:val="21"/>
              </w:rPr>
              <w:t>等于5套</w:t>
            </w:r>
          </w:p>
        </w:tc>
        <w:tc>
          <w:tcPr>
            <w:tcW w:w="1210" w:type="dxa"/>
            <w:tcBorders>
              <w:top w:val="nil"/>
              <w:left w:val="nil"/>
              <w:bottom w:val="single" w:color="auto" w:sz="4" w:space="0"/>
              <w:right w:val="single" w:color="auto" w:sz="4" w:space="0"/>
            </w:tcBorders>
            <w:shd w:val="clear" w:color="000000" w:fill="FFFFFF"/>
            <w:noWrap/>
            <w:vAlign w:val="bottom"/>
          </w:tcPr>
          <w:p w14:paraId="5D02A72E">
            <w:pPr>
              <w:widowControl/>
              <w:jc w:val="center"/>
              <w:rPr>
                <w:rFonts w:ascii="宋体" w:hAnsi="宋体" w:cs="宋体"/>
                <w:color w:val="000000"/>
                <w:kern w:val="0"/>
                <w:szCs w:val="21"/>
              </w:rPr>
            </w:pPr>
            <w:r>
              <w:rPr>
                <w:rFonts w:hint="eastAsia" w:ascii="宋体" w:hAnsi="宋体" w:cs="宋体"/>
                <w:color w:val="000000"/>
                <w:kern w:val="0"/>
                <w:szCs w:val="21"/>
              </w:rPr>
              <w:t>5套</w:t>
            </w:r>
          </w:p>
        </w:tc>
      </w:tr>
      <w:tr w14:paraId="7A80A7D3">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5354B052">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02701AED">
            <w:pPr>
              <w:widowControl/>
              <w:jc w:val="center"/>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3EC1D28">
            <w:pPr>
              <w:widowControl/>
              <w:jc w:val="center"/>
              <w:rPr>
                <w:rFonts w:ascii="宋体" w:hAnsi="宋体" w:cs="宋体"/>
                <w:color w:val="000000"/>
                <w:kern w:val="0"/>
                <w:szCs w:val="21"/>
              </w:rPr>
            </w:pPr>
            <w:r>
              <w:rPr>
                <w:rFonts w:hint="eastAsia" w:ascii="宋体" w:hAnsi="宋体" w:cs="宋体"/>
                <w:color w:val="000000"/>
                <w:kern w:val="0"/>
                <w:szCs w:val="21"/>
              </w:rPr>
              <w:t>部门预算绩效管理水平提升</w:t>
            </w:r>
          </w:p>
        </w:tc>
        <w:tc>
          <w:tcPr>
            <w:tcW w:w="2190" w:type="dxa"/>
            <w:tcBorders>
              <w:top w:val="nil"/>
              <w:left w:val="nil"/>
              <w:bottom w:val="single" w:color="auto" w:sz="4" w:space="0"/>
              <w:right w:val="single" w:color="auto" w:sz="4" w:space="0"/>
            </w:tcBorders>
            <w:shd w:val="clear" w:color="auto" w:fill="auto"/>
            <w:noWrap/>
            <w:vAlign w:val="bottom"/>
          </w:tcPr>
          <w:p w14:paraId="57AC2E92">
            <w:pPr>
              <w:widowControl/>
              <w:jc w:val="center"/>
              <w:rPr>
                <w:rFonts w:ascii="宋体" w:hAnsi="宋体" w:cs="宋体"/>
                <w:color w:val="000000"/>
                <w:kern w:val="0"/>
                <w:szCs w:val="21"/>
              </w:rPr>
            </w:pPr>
            <w:r>
              <w:rPr>
                <w:rFonts w:hint="eastAsia" w:ascii="宋体" w:hAnsi="宋体" w:cs="宋体"/>
                <w:color w:val="000000"/>
                <w:kern w:val="0"/>
                <w:szCs w:val="21"/>
              </w:rPr>
              <w:t>显著提升</w:t>
            </w:r>
          </w:p>
        </w:tc>
        <w:tc>
          <w:tcPr>
            <w:tcW w:w="1210" w:type="dxa"/>
            <w:tcBorders>
              <w:top w:val="nil"/>
              <w:left w:val="nil"/>
              <w:bottom w:val="single" w:color="auto" w:sz="4" w:space="0"/>
              <w:right w:val="single" w:color="auto" w:sz="4" w:space="0"/>
            </w:tcBorders>
            <w:shd w:val="clear" w:color="000000" w:fill="FFFFFF"/>
            <w:noWrap/>
            <w:vAlign w:val="bottom"/>
          </w:tcPr>
          <w:p w14:paraId="0309F165">
            <w:pPr>
              <w:widowControl/>
              <w:jc w:val="center"/>
              <w:rPr>
                <w:rFonts w:ascii="宋体" w:hAnsi="宋体" w:cs="宋体"/>
                <w:color w:val="000000"/>
                <w:kern w:val="0"/>
                <w:szCs w:val="21"/>
              </w:rPr>
            </w:pPr>
            <w:r>
              <w:rPr>
                <w:rFonts w:hint="eastAsia" w:ascii="宋体" w:hAnsi="宋体" w:cs="宋体"/>
                <w:color w:val="000000"/>
                <w:kern w:val="0"/>
                <w:szCs w:val="21"/>
              </w:rPr>
              <w:t>显著提升</w:t>
            </w:r>
          </w:p>
        </w:tc>
      </w:tr>
      <w:tr w14:paraId="72901CBA">
        <w:tblPrEx>
          <w:tblCellMar>
            <w:top w:w="0" w:type="dxa"/>
            <w:left w:w="108" w:type="dxa"/>
            <w:bottom w:w="0" w:type="dxa"/>
            <w:right w:w="108" w:type="dxa"/>
          </w:tblCellMar>
        </w:tblPrEx>
        <w:trPr>
          <w:trHeight w:val="420" w:hRule="atLeast"/>
        </w:trPr>
        <w:tc>
          <w:tcPr>
            <w:tcW w:w="1080" w:type="dxa"/>
            <w:vMerge w:val="restart"/>
            <w:tcBorders>
              <w:top w:val="nil"/>
              <w:left w:val="single" w:color="auto" w:sz="4" w:space="0"/>
              <w:bottom w:val="single" w:color="auto" w:sz="4" w:space="0"/>
              <w:right w:val="single" w:color="auto" w:sz="4" w:space="0"/>
            </w:tcBorders>
            <w:shd w:val="clear" w:color="auto" w:fill="auto"/>
            <w:noWrap/>
            <w:vAlign w:val="center"/>
          </w:tcPr>
          <w:p w14:paraId="5BA39976">
            <w:pPr>
              <w:widowControl/>
              <w:jc w:val="center"/>
              <w:rPr>
                <w:rFonts w:ascii="宋体" w:hAnsi="宋体" w:cs="宋体"/>
                <w:color w:val="000000"/>
                <w:kern w:val="0"/>
                <w:szCs w:val="21"/>
              </w:rPr>
            </w:pPr>
            <w:r>
              <w:rPr>
                <w:rFonts w:hint="eastAsia" w:ascii="宋体" w:hAnsi="宋体" w:cs="宋体"/>
                <w:color w:val="000000"/>
                <w:kern w:val="0"/>
                <w:szCs w:val="21"/>
              </w:rPr>
              <w:t>满意度指标</w:t>
            </w:r>
          </w:p>
        </w:tc>
        <w:tc>
          <w:tcPr>
            <w:tcW w:w="1470" w:type="dxa"/>
            <w:tcBorders>
              <w:top w:val="nil"/>
              <w:left w:val="single" w:color="auto" w:sz="4" w:space="0"/>
              <w:bottom w:val="single" w:color="auto" w:sz="4" w:space="0"/>
              <w:right w:val="single" w:color="auto" w:sz="4" w:space="0"/>
            </w:tcBorders>
            <w:shd w:val="clear" w:color="auto" w:fill="auto"/>
            <w:noWrap/>
            <w:vAlign w:val="center"/>
          </w:tcPr>
          <w:p w14:paraId="15D4F3CB">
            <w:pPr>
              <w:spacing w:line="240" w:lineRule="exact"/>
              <w:jc w:val="center"/>
              <w:rPr>
                <w:rFonts w:ascii="宋体" w:hAnsi="宋体" w:cs="宋体"/>
                <w:color w:val="000000"/>
                <w:kern w:val="0"/>
                <w:szCs w:val="21"/>
              </w:rPr>
            </w:pPr>
            <w:r>
              <w:rPr>
                <w:rFonts w:hint="eastAsia" w:ascii="宋体" w:hAnsi="宋体" w:cs="宋体"/>
                <w:color w:val="000000"/>
                <w:kern w:val="0"/>
                <w:szCs w:val="21"/>
              </w:rPr>
              <w:t>服务对象满意度指标</w:t>
            </w:r>
          </w:p>
        </w:tc>
        <w:tc>
          <w:tcPr>
            <w:tcW w:w="2990" w:type="dxa"/>
            <w:tcBorders>
              <w:top w:val="nil"/>
              <w:left w:val="nil"/>
              <w:bottom w:val="single" w:color="auto" w:sz="4" w:space="0"/>
              <w:right w:val="single" w:color="auto" w:sz="4" w:space="0"/>
            </w:tcBorders>
            <w:shd w:val="clear" w:color="auto" w:fill="auto"/>
            <w:vAlign w:val="center"/>
          </w:tcPr>
          <w:p w14:paraId="5912C965">
            <w:pPr>
              <w:widowControl/>
              <w:jc w:val="center"/>
              <w:rPr>
                <w:rFonts w:ascii="宋体" w:hAnsi="宋体" w:cs="宋体"/>
                <w:color w:val="000000"/>
                <w:kern w:val="0"/>
                <w:szCs w:val="21"/>
              </w:rPr>
            </w:pPr>
            <w:r>
              <w:rPr>
                <w:rFonts w:hint="eastAsia" w:ascii="宋体" w:hAnsi="宋体" w:cs="宋体"/>
                <w:color w:val="000000"/>
                <w:kern w:val="0"/>
                <w:szCs w:val="21"/>
              </w:rPr>
              <w:t>使用人员满意度</w:t>
            </w:r>
          </w:p>
        </w:tc>
        <w:tc>
          <w:tcPr>
            <w:tcW w:w="2190" w:type="dxa"/>
            <w:tcBorders>
              <w:top w:val="nil"/>
              <w:left w:val="nil"/>
              <w:bottom w:val="single" w:color="auto" w:sz="4" w:space="0"/>
              <w:right w:val="single" w:color="auto" w:sz="4" w:space="0"/>
            </w:tcBorders>
            <w:shd w:val="clear" w:color="auto" w:fill="auto"/>
            <w:noWrap/>
            <w:vAlign w:val="center"/>
          </w:tcPr>
          <w:p w14:paraId="6141910E">
            <w:pPr>
              <w:widowControl/>
              <w:jc w:val="center"/>
              <w:rPr>
                <w:rFonts w:ascii="宋体" w:hAnsi="宋体" w:cs="宋体"/>
                <w:color w:val="000000"/>
                <w:kern w:val="0"/>
                <w:szCs w:val="21"/>
              </w:rPr>
            </w:pPr>
            <w:r>
              <w:rPr>
                <w:rFonts w:hint="eastAsia" w:ascii="宋体" w:hAnsi="宋体" w:cs="宋体"/>
                <w:color w:val="000000"/>
                <w:kern w:val="0"/>
                <w:szCs w:val="21"/>
              </w:rPr>
              <w:t>≥95%</w:t>
            </w:r>
          </w:p>
        </w:tc>
        <w:tc>
          <w:tcPr>
            <w:tcW w:w="1210" w:type="dxa"/>
            <w:tcBorders>
              <w:top w:val="nil"/>
              <w:left w:val="nil"/>
              <w:bottom w:val="single" w:color="auto" w:sz="4" w:space="0"/>
              <w:right w:val="single" w:color="auto" w:sz="4" w:space="0"/>
            </w:tcBorders>
            <w:shd w:val="clear" w:color="000000" w:fill="FFFFFF"/>
            <w:noWrap/>
            <w:vAlign w:val="center"/>
          </w:tcPr>
          <w:p w14:paraId="452FBB19">
            <w:pPr>
              <w:widowControl/>
              <w:jc w:val="center"/>
              <w:rPr>
                <w:rFonts w:ascii="宋体" w:hAnsi="宋体" w:cs="宋体"/>
                <w:color w:val="000000"/>
                <w:kern w:val="0"/>
                <w:szCs w:val="21"/>
              </w:rPr>
            </w:pPr>
            <w:r>
              <w:rPr>
                <w:rFonts w:hint="eastAsia" w:ascii="宋体" w:hAnsi="宋体" w:cs="宋体"/>
                <w:color w:val="000000"/>
                <w:kern w:val="0"/>
                <w:szCs w:val="21"/>
              </w:rPr>
              <w:t>95%</w:t>
            </w:r>
          </w:p>
        </w:tc>
      </w:tr>
      <w:tr w14:paraId="6585D9F7">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2423A2B">
            <w:pPr>
              <w:widowControl/>
              <w:jc w:val="left"/>
              <w:rPr>
                <w:rFonts w:ascii="宋体" w:hAnsi="宋体" w:cs="宋体"/>
                <w:color w:val="000000"/>
                <w:kern w:val="0"/>
                <w:szCs w:val="21"/>
              </w:rPr>
            </w:pPr>
          </w:p>
        </w:tc>
        <w:tc>
          <w:tcPr>
            <w:tcW w:w="1470" w:type="dxa"/>
            <w:vMerge w:val="restart"/>
            <w:tcBorders>
              <w:top w:val="nil"/>
              <w:left w:val="single" w:color="auto" w:sz="4" w:space="0"/>
              <w:bottom w:val="single" w:color="auto" w:sz="4" w:space="0"/>
              <w:right w:val="single" w:color="auto" w:sz="4" w:space="0"/>
            </w:tcBorders>
            <w:shd w:val="clear" w:color="auto" w:fill="auto"/>
            <w:noWrap/>
            <w:vAlign w:val="center"/>
          </w:tcPr>
          <w:p w14:paraId="02BA3859">
            <w:pPr>
              <w:widowControl/>
              <w:jc w:val="center"/>
              <w:rPr>
                <w:rFonts w:ascii="宋体" w:hAnsi="宋体" w:cs="宋体"/>
                <w:color w:val="000000"/>
                <w:kern w:val="0"/>
                <w:szCs w:val="21"/>
              </w:rPr>
            </w:pPr>
            <w:r>
              <w:rPr>
                <w:rFonts w:hint="eastAsia" w:ascii="宋体" w:hAnsi="宋体" w:cs="宋体"/>
                <w:color w:val="000000"/>
                <w:kern w:val="0"/>
                <w:szCs w:val="21"/>
              </w:rPr>
              <w:t>满意度指标</w:t>
            </w:r>
          </w:p>
        </w:tc>
        <w:tc>
          <w:tcPr>
            <w:tcW w:w="2990" w:type="dxa"/>
            <w:tcBorders>
              <w:top w:val="nil"/>
              <w:left w:val="nil"/>
              <w:bottom w:val="single" w:color="auto" w:sz="4" w:space="0"/>
              <w:right w:val="single" w:color="auto" w:sz="4" w:space="0"/>
            </w:tcBorders>
            <w:shd w:val="clear" w:color="auto" w:fill="auto"/>
            <w:noWrap/>
            <w:vAlign w:val="bottom"/>
          </w:tcPr>
          <w:p w14:paraId="03B354DC">
            <w:pPr>
              <w:widowControl/>
              <w:jc w:val="center"/>
              <w:rPr>
                <w:rFonts w:ascii="宋体" w:hAnsi="宋体" w:cs="宋体"/>
                <w:color w:val="000000"/>
                <w:kern w:val="0"/>
                <w:szCs w:val="21"/>
              </w:rPr>
            </w:pPr>
            <w:r>
              <w:rPr>
                <w:rFonts w:hint="eastAsia" w:ascii="宋体" w:hAnsi="宋体" w:cs="宋体"/>
                <w:color w:val="000000"/>
                <w:kern w:val="0"/>
                <w:szCs w:val="21"/>
              </w:rPr>
              <w:t>干部职工满意度</w:t>
            </w:r>
          </w:p>
        </w:tc>
        <w:tc>
          <w:tcPr>
            <w:tcW w:w="2190" w:type="dxa"/>
            <w:tcBorders>
              <w:top w:val="nil"/>
              <w:left w:val="nil"/>
              <w:bottom w:val="single" w:color="auto" w:sz="4" w:space="0"/>
              <w:right w:val="single" w:color="auto" w:sz="4" w:space="0"/>
            </w:tcBorders>
            <w:shd w:val="clear" w:color="auto" w:fill="auto"/>
            <w:noWrap/>
            <w:vAlign w:val="bottom"/>
          </w:tcPr>
          <w:p w14:paraId="7A2212C2">
            <w:pPr>
              <w:widowControl/>
              <w:jc w:val="center"/>
              <w:rPr>
                <w:rFonts w:ascii="宋体" w:hAnsi="宋体" w:cs="宋体"/>
                <w:color w:val="000000"/>
                <w:kern w:val="0"/>
                <w:szCs w:val="21"/>
              </w:rPr>
            </w:pPr>
            <w:r>
              <w:rPr>
                <w:rFonts w:hint="eastAsia" w:ascii="宋体" w:hAnsi="宋体" w:cs="宋体"/>
                <w:color w:val="000000"/>
                <w:kern w:val="0"/>
                <w:szCs w:val="21"/>
              </w:rPr>
              <w:t>≥98%</w:t>
            </w:r>
          </w:p>
        </w:tc>
        <w:tc>
          <w:tcPr>
            <w:tcW w:w="1210" w:type="dxa"/>
            <w:tcBorders>
              <w:top w:val="nil"/>
              <w:left w:val="nil"/>
              <w:bottom w:val="single" w:color="auto" w:sz="4" w:space="0"/>
              <w:right w:val="single" w:color="auto" w:sz="4" w:space="0"/>
            </w:tcBorders>
            <w:shd w:val="clear" w:color="000000" w:fill="FFFFFF"/>
            <w:noWrap/>
            <w:vAlign w:val="bottom"/>
          </w:tcPr>
          <w:p w14:paraId="5841A5BD">
            <w:pPr>
              <w:widowControl/>
              <w:jc w:val="center"/>
              <w:rPr>
                <w:rFonts w:ascii="宋体" w:hAnsi="宋体" w:cs="宋体"/>
                <w:color w:val="000000"/>
                <w:kern w:val="0"/>
                <w:szCs w:val="21"/>
              </w:rPr>
            </w:pPr>
            <w:r>
              <w:rPr>
                <w:rFonts w:hint="eastAsia" w:ascii="宋体" w:hAnsi="宋体" w:cs="宋体"/>
                <w:color w:val="000000"/>
                <w:kern w:val="0"/>
                <w:szCs w:val="21"/>
              </w:rPr>
              <w:t>98%</w:t>
            </w:r>
          </w:p>
        </w:tc>
      </w:tr>
      <w:tr w14:paraId="541E7BC0">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65D03528">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086E7D9">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0B151BC2">
            <w:pPr>
              <w:widowControl/>
              <w:jc w:val="center"/>
              <w:rPr>
                <w:rFonts w:ascii="宋体" w:hAnsi="宋体" w:cs="宋体"/>
                <w:color w:val="000000"/>
                <w:kern w:val="0"/>
                <w:szCs w:val="21"/>
              </w:rPr>
            </w:pPr>
            <w:r>
              <w:rPr>
                <w:rFonts w:hint="eastAsia" w:ascii="宋体" w:hAnsi="宋体" w:cs="宋体"/>
                <w:color w:val="000000"/>
                <w:kern w:val="0"/>
                <w:szCs w:val="21"/>
              </w:rPr>
              <w:t>被评价部门的满意度</w:t>
            </w:r>
          </w:p>
        </w:tc>
        <w:tc>
          <w:tcPr>
            <w:tcW w:w="2190" w:type="dxa"/>
            <w:tcBorders>
              <w:top w:val="nil"/>
              <w:left w:val="nil"/>
              <w:bottom w:val="single" w:color="auto" w:sz="4" w:space="0"/>
              <w:right w:val="single" w:color="auto" w:sz="4" w:space="0"/>
            </w:tcBorders>
            <w:shd w:val="clear" w:color="auto" w:fill="auto"/>
            <w:noWrap/>
            <w:vAlign w:val="bottom"/>
          </w:tcPr>
          <w:p w14:paraId="6E67B7D8">
            <w:pPr>
              <w:widowControl/>
              <w:jc w:val="center"/>
              <w:rPr>
                <w:rFonts w:ascii="宋体" w:hAnsi="宋体" w:cs="宋体"/>
                <w:color w:val="000000"/>
                <w:kern w:val="0"/>
                <w:szCs w:val="21"/>
              </w:rPr>
            </w:pPr>
            <w:r>
              <w:rPr>
                <w:rFonts w:hint="eastAsia" w:ascii="宋体" w:hAnsi="宋体" w:cs="宋体"/>
                <w:color w:val="000000"/>
                <w:kern w:val="0"/>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4047B3FA">
            <w:pPr>
              <w:widowControl/>
              <w:jc w:val="center"/>
              <w:rPr>
                <w:rFonts w:ascii="宋体" w:hAnsi="宋体" w:cs="宋体"/>
                <w:color w:val="000000"/>
                <w:kern w:val="0"/>
                <w:szCs w:val="21"/>
              </w:rPr>
            </w:pPr>
            <w:r>
              <w:rPr>
                <w:rFonts w:hint="eastAsia" w:ascii="宋体" w:hAnsi="宋体" w:cs="宋体"/>
                <w:color w:val="000000"/>
                <w:kern w:val="0"/>
                <w:szCs w:val="21"/>
              </w:rPr>
              <w:t>89%</w:t>
            </w:r>
          </w:p>
        </w:tc>
      </w:tr>
      <w:tr w14:paraId="1A126D96">
        <w:tblPrEx>
          <w:tblCellMar>
            <w:top w:w="0" w:type="dxa"/>
            <w:left w:w="108" w:type="dxa"/>
            <w:bottom w:w="0" w:type="dxa"/>
            <w:right w:w="108" w:type="dxa"/>
          </w:tblCellMar>
        </w:tblPrEx>
        <w:trPr>
          <w:trHeight w:val="270" w:hRule="atLeast"/>
        </w:trPr>
        <w:tc>
          <w:tcPr>
            <w:tcW w:w="1080" w:type="dxa"/>
            <w:vMerge w:val="continue"/>
            <w:tcBorders>
              <w:top w:val="nil"/>
              <w:left w:val="single" w:color="auto" w:sz="4" w:space="0"/>
              <w:bottom w:val="single" w:color="auto" w:sz="4" w:space="0"/>
              <w:right w:val="single" w:color="auto" w:sz="4" w:space="0"/>
            </w:tcBorders>
            <w:vAlign w:val="center"/>
          </w:tcPr>
          <w:p w14:paraId="29804D4A">
            <w:pPr>
              <w:widowControl/>
              <w:jc w:val="left"/>
              <w:rPr>
                <w:rFonts w:ascii="宋体" w:hAnsi="宋体" w:cs="宋体"/>
                <w:color w:val="000000"/>
                <w:kern w:val="0"/>
                <w:szCs w:val="21"/>
              </w:rPr>
            </w:pPr>
          </w:p>
        </w:tc>
        <w:tc>
          <w:tcPr>
            <w:tcW w:w="1470" w:type="dxa"/>
            <w:vMerge w:val="continue"/>
            <w:tcBorders>
              <w:top w:val="nil"/>
              <w:left w:val="single" w:color="auto" w:sz="4" w:space="0"/>
              <w:bottom w:val="single" w:color="auto" w:sz="4" w:space="0"/>
              <w:right w:val="single" w:color="auto" w:sz="4" w:space="0"/>
            </w:tcBorders>
            <w:vAlign w:val="center"/>
          </w:tcPr>
          <w:p w14:paraId="5CD8C04E">
            <w:pPr>
              <w:widowControl/>
              <w:jc w:val="left"/>
              <w:rPr>
                <w:rFonts w:ascii="宋体" w:hAnsi="宋体" w:cs="宋体"/>
                <w:color w:val="000000"/>
                <w:kern w:val="0"/>
                <w:szCs w:val="21"/>
              </w:rPr>
            </w:pPr>
          </w:p>
        </w:tc>
        <w:tc>
          <w:tcPr>
            <w:tcW w:w="2990" w:type="dxa"/>
            <w:tcBorders>
              <w:top w:val="nil"/>
              <w:left w:val="nil"/>
              <w:bottom w:val="single" w:color="auto" w:sz="4" w:space="0"/>
              <w:right w:val="single" w:color="auto" w:sz="4" w:space="0"/>
            </w:tcBorders>
            <w:shd w:val="clear" w:color="auto" w:fill="auto"/>
            <w:noWrap/>
            <w:vAlign w:val="bottom"/>
          </w:tcPr>
          <w:p w14:paraId="4C8D2C81">
            <w:pPr>
              <w:widowControl/>
              <w:jc w:val="center"/>
              <w:rPr>
                <w:rFonts w:ascii="宋体" w:hAnsi="宋体" w:cs="宋体"/>
                <w:color w:val="000000"/>
                <w:kern w:val="0"/>
                <w:szCs w:val="21"/>
              </w:rPr>
            </w:pPr>
            <w:r>
              <w:rPr>
                <w:rFonts w:hint="eastAsia" w:ascii="宋体" w:hAnsi="宋体" w:cs="宋体"/>
                <w:color w:val="000000"/>
                <w:kern w:val="0"/>
                <w:szCs w:val="21"/>
              </w:rPr>
              <w:t>被指导部门的满意度</w:t>
            </w:r>
          </w:p>
        </w:tc>
        <w:tc>
          <w:tcPr>
            <w:tcW w:w="2190" w:type="dxa"/>
            <w:tcBorders>
              <w:top w:val="nil"/>
              <w:left w:val="nil"/>
              <w:bottom w:val="single" w:color="auto" w:sz="4" w:space="0"/>
              <w:right w:val="single" w:color="auto" w:sz="4" w:space="0"/>
            </w:tcBorders>
            <w:shd w:val="clear" w:color="auto" w:fill="auto"/>
            <w:noWrap/>
            <w:vAlign w:val="bottom"/>
          </w:tcPr>
          <w:p w14:paraId="406183C5">
            <w:pPr>
              <w:widowControl/>
              <w:jc w:val="center"/>
              <w:rPr>
                <w:rFonts w:ascii="宋体" w:hAnsi="宋体" w:cs="宋体"/>
                <w:color w:val="000000"/>
                <w:kern w:val="0"/>
                <w:szCs w:val="21"/>
              </w:rPr>
            </w:pPr>
            <w:r>
              <w:rPr>
                <w:rFonts w:hint="eastAsia" w:ascii="宋体" w:hAnsi="宋体" w:cs="宋体"/>
                <w:color w:val="000000"/>
                <w:kern w:val="0"/>
                <w:szCs w:val="21"/>
              </w:rPr>
              <w:t>≥85%</w:t>
            </w:r>
          </w:p>
        </w:tc>
        <w:tc>
          <w:tcPr>
            <w:tcW w:w="1210" w:type="dxa"/>
            <w:tcBorders>
              <w:top w:val="nil"/>
              <w:left w:val="nil"/>
              <w:bottom w:val="single" w:color="auto" w:sz="4" w:space="0"/>
              <w:right w:val="single" w:color="auto" w:sz="4" w:space="0"/>
            </w:tcBorders>
            <w:shd w:val="clear" w:color="000000" w:fill="FFFFFF"/>
            <w:noWrap/>
            <w:vAlign w:val="bottom"/>
          </w:tcPr>
          <w:p w14:paraId="540B4F47">
            <w:pPr>
              <w:widowControl/>
              <w:jc w:val="center"/>
              <w:rPr>
                <w:rFonts w:ascii="宋体" w:hAnsi="宋体" w:cs="宋体"/>
                <w:color w:val="000000"/>
                <w:kern w:val="0"/>
                <w:szCs w:val="21"/>
              </w:rPr>
            </w:pPr>
            <w:r>
              <w:rPr>
                <w:rFonts w:hint="eastAsia" w:ascii="宋体" w:hAnsi="宋体" w:cs="宋体"/>
                <w:color w:val="000000"/>
                <w:kern w:val="0"/>
                <w:szCs w:val="21"/>
              </w:rPr>
              <w:t>89%</w:t>
            </w:r>
          </w:p>
        </w:tc>
      </w:tr>
    </w:tbl>
    <w:p w14:paraId="5C070E3F">
      <w:pPr>
        <w:spacing w:line="580" w:lineRule="exact"/>
        <w:ind w:firstLine="640" w:firstLineChars="200"/>
        <w:rPr>
          <w:rFonts w:eastAsia="黑体"/>
          <w:color w:val="000000"/>
          <w:kern w:val="0"/>
          <w:sz w:val="32"/>
          <w:szCs w:val="32"/>
          <w:shd w:val="clear" w:color="auto" w:fill="FFFFFF"/>
        </w:rPr>
      </w:pPr>
      <w:r>
        <w:rPr>
          <w:rFonts w:hint="eastAsia" w:eastAsia="黑体"/>
          <w:color w:val="000000"/>
          <w:kern w:val="0"/>
          <w:sz w:val="32"/>
          <w:szCs w:val="32"/>
          <w:shd w:val="clear" w:color="auto" w:fill="FFFFFF"/>
        </w:rPr>
        <w:t>三、存在主要问题</w:t>
      </w:r>
    </w:p>
    <w:p w14:paraId="119A42DD">
      <w:pPr>
        <w:spacing w:line="560" w:lineRule="exact"/>
        <w:ind w:firstLine="640" w:firstLineChars="200"/>
        <w:jc w:val="left"/>
        <w:rPr>
          <w:rFonts w:ascii="仿宋_GB2312" w:hAnsi="仿宋" w:eastAsia="仿宋_GB2312" w:cs="仿宋_GB2312"/>
          <w:sz w:val="32"/>
          <w:szCs w:val="32"/>
        </w:rPr>
      </w:pPr>
      <w:r>
        <w:rPr>
          <w:rFonts w:hint="eastAsia" w:ascii="仿宋_GB2312" w:hAnsi="仿宋" w:eastAsia="仿宋_GB2312" w:cs="仿宋_GB2312"/>
          <w:sz w:val="32"/>
          <w:szCs w:val="32"/>
        </w:rPr>
        <w:t>一是对预算绩效评价工作的重要性认识有待进一步提高，绩效评价制度建设和规范化管理还有待加强；二是项目支出绩效评价指标体系不完善，绩效目标设立不够明确、细化和量化；三是个别支出支付进度安排不够合理。</w:t>
      </w:r>
    </w:p>
    <w:p w14:paraId="7CCC683C">
      <w:pPr>
        <w:spacing w:line="560" w:lineRule="exact"/>
        <w:ind w:firstLine="640" w:firstLineChars="200"/>
        <w:rPr>
          <w:rFonts w:eastAsia="黑体"/>
          <w:color w:val="000000"/>
          <w:kern w:val="0"/>
          <w:sz w:val="32"/>
          <w:szCs w:val="32"/>
          <w:shd w:val="clear" w:color="auto" w:fill="FFFFFF"/>
        </w:rPr>
      </w:pPr>
      <w:r>
        <w:rPr>
          <w:rFonts w:hint="eastAsia" w:eastAsia="黑体"/>
          <w:color w:val="000000"/>
          <w:kern w:val="0"/>
          <w:sz w:val="32"/>
          <w:szCs w:val="32"/>
          <w:shd w:val="clear" w:color="auto" w:fill="FFFFFF"/>
        </w:rPr>
        <w:t>四、相关措施建议</w:t>
      </w:r>
    </w:p>
    <w:p w14:paraId="02855041">
      <w:pPr>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一是及时调整和优化本部门后续项目和以后年度预算支出的方向和结构，合理配置资源。二是强化评价结果在项目申报和预算编制中的有效应用。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_GBK">
    <w:altName w:val="微软雅黑"/>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C22EC"/>
    <w:rsid w:val="00091233"/>
    <w:rsid w:val="00123D4A"/>
    <w:rsid w:val="00133DE3"/>
    <w:rsid w:val="0021514D"/>
    <w:rsid w:val="002E31B1"/>
    <w:rsid w:val="002F0D42"/>
    <w:rsid w:val="003261D3"/>
    <w:rsid w:val="00361681"/>
    <w:rsid w:val="00364DF4"/>
    <w:rsid w:val="003B0A0D"/>
    <w:rsid w:val="004905C2"/>
    <w:rsid w:val="004C22EC"/>
    <w:rsid w:val="00556593"/>
    <w:rsid w:val="005D2CB0"/>
    <w:rsid w:val="006A1588"/>
    <w:rsid w:val="006C04BA"/>
    <w:rsid w:val="00776592"/>
    <w:rsid w:val="007B38C6"/>
    <w:rsid w:val="007E2904"/>
    <w:rsid w:val="00834677"/>
    <w:rsid w:val="00864984"/>
    <w:rsid w:val="008E5931"/>
    <w:rsid w:val="009042C1"/>
    <w:rsid w:val="00983003"/>
    <w:rsid w:val="009C2CC6"/>
    <w:rsid w:val="00A11D13"/>
    <w:rsid w:val="00A22C71"/>
    <w:rsid w:val="00AA326A"/>
    <w:rsid w:val="00AC5156"/>
    <w:rsid w:val="00B66EFE"/>
    <w:rsid w:val="00C33876"/>
    <w:rsid w:val="00C3738A"/>
    <w:rsid w:val="00C66EE4"/>
    <w:rsid w:val="00CA2658"/>
    <w:rsid w:val="00E02A78"/>
    <w:rsid w:val="00E459BC"/>
    <w:rsid w:val="00ED52C5"/>
    <w:rsid w:val="100566B3"/>
    <w:rsid w:val="1B4A3EC4"/>
    <w:rsid w:val="244E01D1"/>
    <w:rsid w:val="33DA011B"/>
    <w:rsid w:val="358B1B11"/>
    <w:rsid w:val="423607D0"/>
    <w:rsid w:val="4A0B0DD8"/>
    <w:rsid w:val="55704B34"/>
    <w:rsid w:val="57B166CC"/>
    <w:rsid w:val="5DBC40E7"/>
    <w:rsid w:val="5EC80F95"/>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4"/>
    <w:semiHidden/>
    <w:unhideWhenUsed/>
    <w:qFormat/>
    <w:uiPriority w:val="99"/>
    <w:pPr>
      <w:spacing w:after="120"/>
    </w:pPr>
  </w:style>
  <w:style w:type="paragraph" w:styleId="4">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Body Text First Indent"/>
    <w:basedOn w:val="3"/>
    <w:link w:val="15"/>
    <w:semiHidden/>
    <w:unhideWhenUsed/>
    <w:qFormat/>
    <w:uiPriority w:val="99"/>
    <w:pPr>
      <w:ind w:firstLine="420" w:firstLineChars="100"/>
    </w:pPr>
  </w:style>
  <w:style w:type="character" w:customStyle="1" w:styleId="9">
    <w:name w:val="页眉 Char"/>
    <w:basedOn w:val="8"/>
    <w:link w:val="5"/>
    <w:semiHidden/>
    <w:qFormat/>
    <w:uiPriority w:val="99"/>
    <w:rPr>
      <w:sz w:val="18"/>
      <w:szCs w:val="18"/>
    </w:rPr>
  </w:style>
  <w:style w:type="character" w:customStyle="1" w:styleId="10">
    <w:name w:val="页脚 Char"/>
    <w:basedOn w:val="8"/>
    <w:link w:val="4"/>
    <w:semiHidden/>
    <w:qFormat/>
    <w:uiPriority w:val="99"/>
    <w:rPr>
      <w:sz w:val="18"/>
      <w:szCs w:val="18"/>
    </w:rPr>
  </w:style>
  <w:style w:type="character" w:customStyle="1" w:styleId="11">
    <w:name w:val="标题 1 Char"/>
    <w:basedOn w:val="8"/>
    <w:link w:val="2"/>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3">
    <w:name w:val="无间隔1"/>
    <w:basedOn w:val="5"/>
    <w:next w:val="1"/>
    <w:qFormat/>
    <w:uiPriority w:val="99"/>
    <w:pPr>
      <w:pBdr>
        <w:bottom w:val="none" w:color="auto" w:sz="0" w:space="0"/>
      </w:pBdr>
      <w:tabs>
        <w:tab w:val="clear" w:pos="4153"/>
        <w:tab w:val="clear" w:pos="8306"/>
      </w:tabs>
      <w:snapToGrid/>
      <w:spacing w:after="120" w:line="240" w:lineRule="atLeast"/>
      <w:ind w:firstLine="420" w:firstLineChars="100"/>
      <w:jc w:val="both"/>
    </w:pPr>
    <w:rPr>
      <w:rFonts w:ascii="Calibri" w:hAnsi="Calibri" w:eastAsia="宋体" w:cs="Times New Roman"/>
      <w:sz w:val="21"/>
      <w:szCs w:val="21"/>
    </w:rPr>
  </w:style>
  <w:style w:type="character" w:customStyle="1" w:styleId="14">
    <w:name w:val="正文文本 Char"/>
    <w:basedOn w:val="8"/>
    <w:link w:val="3"/>
    <w:semiHidden/>
    <w:qFormat/>
    <w:uiPriority w:val="99"/>
    <w:rPr>
      <w:rFonts w:ascii="Times New Roman" w:hAnsi="Times New Roman" w:eastAsia="宋体" w:cs="Times New Roman"/>
      <w:kern w:val="2"/>
      <w:sz w:val="21"/>
      <w:szCs w:val="24"/>
    </w:rPr>
  </w:style>
  <w:style w:type="character" w:customStyle="1" w:styleId="15">
    <w:name w:val="正文首行缩进 Char"/>
    <w:basedOn w:val="14"/>
    <w:link w:val="6"/>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5</Pages>
  <Words>2293</Words>
  <Characters>2452</Characters>
  <Lines>18</Lines>
  <Paragraphs>5</Paragraphs>
  <TotalTime>561</TotalTime>
  <ScaleCrop>false</ScaleCrop>
  <LinksUpToDate>false</LinksUpToDate>
  <CharactersWithSpaces>2453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2025-09-05T00:49:43Z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eyJoZGlkIjoiYmMxZWViYzY2OTBkMWNmMDZlNjI2NmUwYzQyZTk2ZTMiLCJ1c2VySWQiOiIxMTM5OTQ5NTAyIn0=</vt:lpwstr>
  </property>
  <property fmtid="{D5CDD505-2E9C-101B-9397-08002B2CF9AE}" pid="4" name="ICV">
    <vt:lpwstr>8BC079EE25B243A28EC946AAC559394D_12</vt:lpwstr>
  </property>
</Properties>
</file>