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rPr>
          <w:rFonts w:ascii="宋体" w:eastAsia="宋体" w:cs="宋体" w:hint="eastAsia"/>
          <w:u w:val="single" w:color="FF0000"/>
        </w:rPr>
      </w:pPr>
      <w:bookmarkStart w:id="0" w:name="_Toc15396616"/>
      <w:r>
        <w:rPr>
          <w:rFonts w:ascii="宋体" w:eastAsia="宋体" w:cs="宋体"/>
          <w:u w:val="single" w:color="FF0000"/>
        </w:rPr>
        <w:drawing>
          <wp:anchor distT="0" distB="0" distL="114300" distR="114300" simplePos="0" relativeHeight="13" behindDoc="0" locked="0" layoutInCell="1" hidden="0" allowOverlap="1">
            <wp:simplePos x="0" y="0"/>
            <wp:positionH relativeFrom="column">
              <wp:posOffset>-542925</wp:posOffset>
            </wp:positionH>
            <wp:positionV relativeFrom="paragraph">
              <wp:posOffset>123189</wp:posOffset>
            </wp:positionV>
            <wp:extent cx="6686550" cy="1457960"/>
            <wp:effectExtent l="0" t="0" r="0" b="0"/>
            <wp:wrapSquare wrapText="bothSides"/>
            <wp:docPr id="4" name="图片 1"/>
            <wp:cNvGraphicFramePr>
              <a:graphicFrameLocks noChangeAspect="1"/>
            </wp:cNvGraphicFramePr>
            <a:graphic>
              <a:graphicData uri="http://schemas.openxmlformats.org/drawingml/2006/picture">
                <pic:pic>
                  <pic:nvPicPr>
                    <pic:cNvPr id="6" name="图片 1 6"/>
                    <pic:cNvPicPr/>
                  </pic:nvPicPr>
                  <pic:blipFill>
                    <a:blip r:embed="rId3"/>
                    <a:stretch>
                      <a:fillRect/>
                    </a:stretch>
                  </pic:blipFill>
                  <pic:spPr>
                    <a:xfrm rot="0">
                      <a:off x="0" y="0"/>
                      <a:ext cx="6686550" cy="1457960"/>
                    </a:xfrm>
                    <a:prstGeom prst="rect"/>
                    <a:noFill/>
                    <a:ln w="9525" cmpd="sng" cap="flat">
                      <a:noFill/>
                      <a:prstDash val="solid"/>
                      <a:round/>
                    </a:ln>
                  </pic:spPr>
                </pic:pic>
              </a:graphicData>
            </a:graphic>
          </wp:anchor>
        </w:drawing>
      </w:r>
    </w:p>
    <w:p>
      <w:pPr>
        <w:keepNext w:val="0"/>
        <w:keepLines w:val="0"/>
        <w:pageBreakBefore w:val="0"/>
        <w:widowControl w:val="0"/>
        <w:kinsoku/>
        <w:wordWrap/>
        <w:overflowPunct/>
        <w:topLinePunct w:val="0"/>
        <w:autoSpaceDE/>
        <w:autoSpaceDN/>
        <w:bidi w:val="0"/>
        <w:snapToGrid/>
        <w:spacing w:line="560" w:lineRule="exact"/>
        <w:jc w:val="center"/>
        <w:textAlignment w:val="auto"/>
        <w:outlineLvl w:val="0"/>
        <w:rPr>
          <w:rFonts w:ascii="方正小标宋简体" w:eastAsia="方正小标宋简体" w:cs="方正小标宋简体"/>
          <w:b w:val="0"/>
          <w:bCs/>
          <w:sz w:val="44"/>
          <w:szCs w:val="44"/>
          <w:lang w:val="en-US" w:eastAsia="zh-CN"/>
        </w:rPr>
      </w:pPr>
    </w:p>
    <w:p>
      <w:pPr>
        <w:keepNext w:val="0"/>
        <w:keepLines w:val="0"/>
        <w:pageBreakBefore w:val="0"/>
        <w:widowControl w:val="0"/>
        <w:kinsoku/>
        <w:wordWrap/>
        <w:overflowPunct/>
        <w:topLinePunct w:val="0"/>
        <w:autoSpaceDE/>
        <w:autoSpaceDN/>
        <w:bidi w:val="0"/>
        <w:snapToGrid/>
        <w:spacing w:line="560" w:lineRule="exact"/>
        <w:jc w:val="center"/>
        <w:textAlignment w:val="auto"/>
        <w:outlineLvl w:val="0"/>
        <w:rPr>
          <w:rFonts w:ascii="方正小标宋简体" w:eastAsia="方正小标宋简体" w:cs="方正小标宋简体" w:hint="eastAsia"/>
          <w:b w:val="0"/>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ascii="方正小标宋_GBK" w:eastAsia="方正小标宋_GBK" w:cs="方正小标宋_GBK" w:hint="eastAsia"/>
          <w:b w:val="0"/>
          <w:bCs/>
          <w:sz w:val="44"/>
          <w:szCs w:val="44"/>
          <w:lang w:val="en-US" w:eastAsia="zh-CN"/>
        </w:rPr>
      </w:pPr>
      <w:r>
        <w:rPr>
          <w:rFonts w:ascii="方正小标宋_GBK" w:eastAsia="方正小标宋_GBK" w:cs="方正小标宋_GBK" w:hint="eastAsia"/>
          <w:b w:val="0"/>
          <w:bCs/>
          <w:sz w:val="44"/>
          <w:szCs w:val="44"/>
          <w:lang w:val="en-US" w:eastAsia="zh-CN"/>
        </w:rPr>
        <w:t>黑水县审计局</w:t>
      </w:r>
      <w:r>
        <w:rPr>
          <w:rFonts w:ascii="方正小标宋_GBK" w:eastAsia="方正小标宋_GBK" w:cs="方正小标宋_GBK"/>
          <w:b w:val="0"/>
          <w:bCs/>
          <w:sz w:val="44"/>
          <w:szCs w:val="44"/>
          <w:lang w:val="en-US" w:eastAsia="zh-CN"/>
        </w:rPr>
        <w:t>投资中心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ascii="方正小标宋_GBK" w:eastAsia="方正小标宋_GBK" w:cs="方正小标宋_GBK" w:hint="eastAsia"/>
          <w:b/>
          <w:sz w:val="44"/>
          <w:szCs w:val="44"/>
        </w:rPr>
      </w:pPr>
      <w:r>
        <w:rPr>
          <w:rFonts w:ascii="方正小标宋_GBK" w:eastAsia="方正小标宋_GBK" w:cs="方正小标宋_GBK" w:hint="eastAsia"/>
          <w:b w:val="0"/>
          <w:bCs/>
          <w:sz w:val="44"/>
          <w:szCs w:val="44"/>
        </w:rPr>
        <w:t>20</w:t>
      </w:r>
      <w:r>
        <w:rPr>
          <w:rFonts w:ascii="方正小标宋_GBK" w:eastAsia="方正小标宋_GBK" w:cs="方正小标宋_GBK" w:hint="eastAsia"/>
          <w:b w:val="0"/>
          <w:bCs/>
          <w:sz w:val="44"/>
          <w:szCs w:val="44"/>
          <w:lang w:val="en-US" w:eastAsia="zh-CN"/>
        </w:rPr>
        <w:t>22</w:t>
      </w:r>
      <w:r>
        <w:rPr>
          <w:rFonts w:ascii="方正小标宋_GBK" w:eastAsia="方正小标宋_GBK" w:cs="方正小标宋_GBK" w:hint="eastAsia"/>
          <w:b w:val="0"/>
          <w:bCs/>
          <w:sz w:val="44"/>
          <w:szCs w:val="44"/>
        </w:rPr>
        <w:t>年部门整体支出绩效评价报告</w:t>
      </w:r>
      <w:bookmarkEnd w:id="0"/>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黑体" w:eastAsia="黑体" w:cs="黑体"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黑体" w:eastAsia="黑体" w:cs="黑体" w:hint="eastAsia"/>
          <w:sz w:val="32"/>
          <w:szCs w:val="32"/>
        </w:rPr>
      </w:pPr>
      <w:r>
        <w:rPr>
          <w:rFonts w:ascii="黑体" w:eastAsia="黑体" w:cs="黑体" w:hint="eastAsia"/>
          <w:sz w:val="32"/>
          <w:szCs w:val="32"/>
        </w:rPr>
        <w:t>一、部门（单位）概况</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int="eastAsia"/>
          <w:sz w:val="32"/>
          <w:szCs w:val="32"/>
        </w:rPr>
      </w:pPr>
      <w:r>
        <w:rPr>
          <w:rFonts w:ascii="楷体_GB2312" w:eastAsia="楷体_GB2312" w:cs="楷体_GB2312" w:hint="eastAsia"/>
          <w:b/>
          <w:bCs/>
          <w:sz w:val="32"/>
          <w:szCs w:val="32"/>
        </w:rPr>
        <w:t>（一）机构组成。</w:t>
      </w:r>
    </w:p>
    <w:p>
      <w:pPr>
        <w:pStyle w:val="18"/>
        <w:widowControl/>
        <w:spacing w:before="0" w:beforeAutospacing="0" w:after="0" w:afterAutospacing="0" w:line="560" w:lineRule="exact"/>
        <w:ind w:firstLineChars="200" w:firstLine="640"/>
        <w:rPr>
          <w:rFonts w:ascii="仿宋_GB2312" w:eastAsia="仿宋_GB2312" w:cs="仿宋_GB2312" w:hint="eastAsia"/>
          <w:sz w:val="32"/>
          <w:szCs w:val="32"/>
        </w:rPr>
      </w:pPr>
      <w:r>
        <w:rPr>
          <w:rFonts w:ascii="仿宋_GB2312" w:eastAsia="仿宋_GB2312" w:cs="仿宋_GB2312" w:hint="eastAsia"/>
          <w:kern w:val="2"/>
          <w:sz w:val="32"/>
          <w:szCs w:val="32"/>
        </w:rPr>
        <w:t>办公室负责文电、财务、信访、干部人事、国有资产管理等机关日常运转工</w:t>
      </w:r>
      <w:r>
        <w:rPr>
          <w:rFonts w:ascii="仿宋_GB2312" w:eastAsia="仿宋_GB2312" w:cs="仿宋_GB2312" w:hint="eastAsia"/>
          <w:sz w:val="32"/>
          <w:szCs w:val="32"/>
        </w:rPr>
        <w:t>作。审计股承担机关有关规范性文件的合法性审查工作、规章草案工作，承担机关行政复议、行政应诉等工作。组织开展普法宣传、依法行政工作。</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仿宋_GB2312" w:eastAsia="仿宋_GB2312" w:cs="仿宋_GB2312" w:hint="eastAsia"/>
          <w:b/>
          <w:color w:val="auto"/>
          <w:sz w:val="32"/>
          <w:szCs w:val="32"/>
        </w:rPr>
      </w:pPr>
      <w:r>
        <w:rPr>
          <w:rFonts w:ascii="楷体_GB2312" w:eastAsia="楷体_GB2312" w:cs="楷体_GB2312" w:hint="eastAsia"/>
          <w:b/>
          <w:bCs/>
          <w:sz w:val="32"/>
          <w:szCs w:val="32"/>
          <w:lang w:eastAsia="zh-CN"/>
        </w:rPr>
        <w:t>（二）</w:t>
      </w:r>
      <w:r>
        <w:rPr>
          <w:rFonts w:ascii="楷体_GB2312" w:eastAsia="楷体_GB2312" w:cs="楷体_GB2312" w:hint="eastAsia"/>
          <w:b/>
          <w:bCs/>
          <w:sz w:val="32"/>
          <w:szCs w:val="32"/>
        </w:rPr>
        <w:t>主要职能</w:t>
      </w:r>
      <w:r>
        <w:rPr>
          <w:rFonts w:ascii="仿宋_GB2312" w:eastAsia="仿宋_GB2312" w:cs="仿宋_GB2312" w:hint="eastAsia"/>
          <w:b/>
          <w:color w:val="auto"/>
          <w:sz w:val="32"/>
          <w:szCs w:val="32"/>
        </w:rPr>
        <w:t>。</w:t>
      </w:r>
    </w:p>
    <w:p>
      <w:pPr>
        <w:pStyle w:val="18"/>
        <w:widowControl/>
        <w:spacing w:before="0" w:beforeAutospacing="0" w:after="0" w:afterAutospacing="0" w:line="560" w:lineRule="exact"/>
        <w:ind w:firstLineChars="200" w:firstLine="640"/>
        <w:rPr>
          <w:rFonts w:ascii="仿宋_GB2312" w:eastAsia="仿宋_GB2312" w:cs="仿宋_GB2312" w:hint="eastAsia"/>
          <w:kern w:val="2"/>
          <w:sz w:val="32"/>
          <w:szCs w:val="32"/>
          <w:lang w:val="en-US"/>
        </w:rPr>
      </w:pPr>
      <w:r>
        <w:rPr>
          <w:rFonts w:ascii="仿宋_GB2312" w:eastAsia="仿宋_GB2312" w:cs="仿宋_GB2312" w:hint="eastAsia"/>
          <w:kern w:val="2"/>
          <w:sz w:val="32"/>
          <w:szCs w:val="32"/>
          <w:lang w:eastAsia="zh-CN"/>
        </w:rPr>
        <w:t>县级政府投资和以县级政府投资为主的建设项目的预算执行情况和决算，县级重大公共工程项目的资金管理使用和建设运营情况以及法律法规规定的其他事项。</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楷体_GB2312" w:eastAsia="楷体_GB2312" w:cs="楷体_GB2312" w:hint="eastAsia"/>
          <w:b/>
          <w:bCs/>
          <w:sz w:val="32"/>
          <w:szCs w:val="32"/>
          <w:lang w:eastAsia="zh-CN"/>
        </w:rPr>
      </w:pPr>
      <w:r>
        <w:rPr>
          <w:rFonts w:ascii="楷体_GB2312" w:eastAsia="楷体_GB2312" w:cs="楷体_GB2312" w:hint="eastAsia"/>
          <w:b/>
          <w:bCs/>
          <w:sz w:val="32"/>
          <w:szCs w:val="32"/>
          <w:lang w:eastAsia="zh-CN"/>
        </w:rPr>
        <w:t>（三）人员概况。</w:t>
      </w:r>
    </w:p>
    <w:p>
      <w:pPr>
        <w:pStyle w:val="18"/>
        <w:widowControl/>
        <w:spacing w:before="0" w:beforeAutospacing="0" w:after="0" w:afterAutospacing="0" w:line="560" w:lineRule="exact"/>
        <w:ind w:firstLineChars="200" w:firstLine="640"/>
        <w:rPr>
          <w:rFonts w:ascii="仿宋" w:eastAsia="仿宋" w:cs="仿宋"/>
          <w:kern w:val="2"/>
          <w:sz w:val="32"/>
          <w:szCs w:val="32"/>
        </w:rPr>
      </w:pPr>
      <w:r>
        <w:rPr>
          <w:rFonts w:ascii="仿宋" w:eastAsia="仿宋" w:cs="仿宋" w:hint="eastAsia"/>
          <w:kern w:val="2"/>
          <w:sz w:val="32"/>
          <w:szCs w:val="32"/>
        </w:rPr>
        <w:t>黑水县审计局属一级预算单位，下属二级预算单位0个</w:t>
      </w:r>
      <w:r>
        <w:rPr>
          <w:rFonts w:ascii="仿宋" w:eastAsia="仿宋" w:cs="仿宋"/>
          <w:kern w:val="2"/>
          <w:sz w:val="32"/>
          <w:szCs w:val="32"/>
        </w:rPr>
        <w:t>，事业</w:t>
      </w:r>
      <w:r>
        <w:rPr>
          <w:rFonts w:ascii="仿宋" w:eastAsia="仿宋" w:cs="仿宋" w:hint="eastAsia"/>
          <w:kern w:val="2"/>
          <w:sz w:val="32"/>
          <w:szCs w:val="32"/>
        </w:rPr>
        <w:t>编制</w:t>
      </w:r>
      <w:r>
        <w:rPr>
          <w:rFonts w:ascii="仿宋" w:eastAsia="仿宋" w:cs="仿宋"/>
          <w:kern w:val="2"/>
          <w:sz w:val="32"/>
          <w:szCs w:val="32"/>
        </w:rPr>
        <w:t>5</w:t>
      </w:r>
      <w:r>
        <w:rPr>
          <w:rFonts w:ascii="仿宋" w:eastAsia="仿宋" w:cs="仿宋" w:hint="eastAsia"/>
          <w:kern w:val="2"/>
          <w:sz w:val="32"/>
          <w:szCs w:val="32"/>
        </w:rPr>
        <w:t>名</w:t>
      </w:r>
      <w:r>
        <w:rPr>
          <w:rFonts w:ascii="仿宋" w:eastAsia="仿宋" w:cs="仿宋"/>
          <w:kern w:val="2"/>
          <w:sz w:val="32"/>
          <w:szCs w:val="32"/>
        </w:rPr>
        <w:t>。</w:t>
      </w:r>
      <w:r>
        <w:rPr>
          <w:rFonts w:ascii="仿宋" w:eastAsia="仿宋" w:cs="仿宋" w:hint="eastAsia"/>
          <w:kern w:val="2"/>
          <w:sz w:val="32"/>
          <w:szCs w:val="32"/>
        </w:rPr>
        <w:t>在职人员总数</w:t>
      </w:r>
      <w:r>
        <w:rPr>
          <w:rFonts w:ascii="仿宋" w:eastAsia="仿宋" w:cs="仿宋"/>
          <w:kern w:val="2"/>
          <w:sz w:val="32"/>
          <w:szCs w:val="32"/>
          <w:lang w:val="en-US" w:eastAsia="zh-CN"/>
        </w:rPr>
        <w:t>4</w:t>
      </w:r>
      <w:r>
        <w:rPr>
          <w:rFonts w:ascii="仿宋" w:eastAsia="仿宋" w:cs="仿宋" w:hint="eastAsia"/>
          <w:kern w:val="2"/>
          <w:sz w:val="32"/>
          <w:szCs w:val="32"/>
        </w:rPr>
        <w:t>人</w:t>
      </w:r>
      <w:r>
        <w:rPr>
          <w:rFonts w:ascii="仿宋" w:eastAsia="仿宋" w:cs="仿宋"/>
          <w:kern w:val="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黑体" w:eastAsia="黑体" w:cs="黑体" w:hint="eastAsia"/>
          <w:sz w:val="32"/>
          <w:szCs w:val="32"/>
        </w:rPr>
      </w:pPr>
      <w:r>
        <w:rPr>
          <w:rFonts w:ascii="黑体" w:eastAsia="黑体" w:cs="黑体" w:hint="eastAsia"/>
          <w:sz w:val="32"/>
          <w:szCs w:val="32"/>
        </w:rPr>
        <w:t>二、部门财政资金收支情况</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仿宋_GB2312" w:eastAsia="仿宋_GB2312" w:cs="仿宋_GB2312" w:hint="eastAsia"/>
          <w:kern w:val="2"/>
          <w:sz w:val="32"/>
          <w:szCs w:val="32"/>
          <w:lang w:val="en-US" w:eastAsia="zh-CN" w:bidi="ar-SA"/>
        </w:rPr>
      </w:pPr>
      <w:r>
        <w:rPr>
          <w:rFonts w:ascii="楷体_GB2312" w:eastAsia="楷体_GB2312" w:cs="楷体_GB2312" w:hint="eastAsia"/>
          <w:b/>
          <w:bCs/>
          <w:color w:val="auto"/>
          <w:sz w:val="32"/>
          <w:szCs w:val="32"/>
        </w:rPr>
        <w:t>（一）部门财政资金收入情况</w:t>
      </w:r>
      <w:r>
        <w:rPr>
          <w:rFonts w:ascii="仿宋_GB2312" w:eastAsia="仿宋_GB2312" w:hint="eastAsia"/>
          <w:sz w:val="32"/>
          <w:szCs w:val="32"/>
        </w:rPr>
        <w:t>202</w:t>
      </w:r>
      <w:r>
        <w:rPr>
          <w:rFonts w:ascii="仿宋_GB2312" w:eastAsia="仿宋_GB2312"/>
          <w:sz w:val="32"/>
          <w:szCs w:val="32"/>
        </w:rPr>
        <w:t>2</w:t>
      </w:r>
      <w:r>
        <w:rPr>
          <w:rFonts w:ascii="仿宋_GB2312" w:eastAsia="仿宋_GB2312" w:hint="eastAsia"/>
          <w:sz w:val="32"/>
          <w:szCs w:val="32"/>
        </w:rPr>
        <w:t>年初收入</w:t>
      </w:r>
      <w:r>
        <w:rPr>
          <w:rFonts w:ascii="仿宋_GB2312" w:eastAsia="仿宋_GB2312"/>
          <w:sz w:val="32"/>
          <w:szCs w:val="32"/>
        </w:rPr>
        <w:t>78.48</w:t>
      </w:r>
      <w:r>
        <w:rPr>
          <w:rFonts w:ascii="仿宋_GB2312" w:eastAsia="仿宋_GB2312" w:hint="eastAsia"/>
          <w:sz w:val="32"/>
          <w:szCs w:val="32"/>
        </w:rPr>
        <w:t>万元</w:t>
      </w:r>
      <w:r>
        <w:rPr>
          <w:rFonts w:ascii="仿宋_GB2312" w:eastAsia="仿宋_GB2312"/>
          <w:sz w:val="32"/>
          <w:szCs w:val="32"/>
        </w:rPr>
        <w:t>,</w:t>
      </w:r>
      <w:r>
        <w:rPr>
          <w:rFonts w:ascii="仿宋_GB2312" w:eastAsia="仿宋_GB2312" w:hint="eastAsia"/>
          <w:sz w:val="32"/>
          <w:szCs w:val="32"/>
        </w:rPr>
        <w:t>较20</w:t>
      </w:r>
      <w:r>
        <w:rPr>
          <w:rFonts w:ascii="仿宋_GB2312" w:eastAsia="仿宋_GB2312" w:hint="eastAsia"/>
          <w:sz w:val="32"/>
          <w:szCs w:val="32"/>
          <w:lang w:val="en-US" w:eastAsia="zh-CN"/>
        </w:rPr>
        <w:t>2</w:t>
      </w:r>
      <w:r>
        <w:rPr>
          <w:rFonts w:ascii="仿宋_GB2312" w:eastAsia="仿宋_GB2312"/>
          <w:sz w:val="32"/>
          <w:szCs w:val="32"/>
          <w:lang w:val="en-US" w:eastAsia="zh-CN"/>
        </w:rPr>
        <w:t>1</w:t>
      </w:r>
      <w:r>
        <w:rPr>
          <w:rFonts w:ascii="仿宋_GB2312" w:eastAsia="仿宋_GB2312" w:hint="eastAsia"/>
          <w:sz w:val="32"/>
          <w:szCs w:val="32"/>
        </w:rPr>
        <w:t>年预算收入</w:t>
      </w:r>
      <w:r>
        <w:rPr>
          <w:rFonts w:ascii="仿宋_GB2312" w:eastAsia="仿宋_GB2312"/>
          <w:sz w:val="32"/>
          <w:szCs w:val="32"/>
        </w:rPr>
        <w:t>36.92</w:t>
      </w:r>
      <w:r>
        <w:rPr>
          <w:rFonts w:ascii="仿宋_GB2312" w:eastAsia="仿宋_GB2312" w:hint="eastAsia"/>
          <w:sz w:val="32"/>
          <w:szCs w:val="32"/>
        </w:rPr>
        <w:t>万元增加了</w:t>
      </w:r>
      <w:r>
        <w:rPr>
          <w:rFonts w:ascii="仿宋_GB2312" w:eastAsia="仿宋_GB2312"/>
          <w:sz w:val="32"/>
          <w:szCs w:val="32"/>
          <w:lang w:val="en-US" w:eastAsia="zh-CN"/>
        </w:rPr>
        <w:t>41.56</w:t>
      </w:r>
      <w:r>
        <w:rPr>
          <w:rFonts w:ascii="仿宋_GB2312" w:eastAsia="仿宋_GB2312" w:hint="eastAsia"/>
          <w:sz w:val="32"/>
          <w:szCs w:val="32"/>
        </w:rPr>
        <w:t>万元</w:t>
      </w:r>
      <w:r>
        <w:rPr>
          <w:rFonts w:ascii="仿宋_GB2312" w:eastAsia="仿宋_GB2312"/>
          <w:sz w:val="32"/>
          <w:szCs w:val="32"/>
        </w:rPr>
        <w:t>,</w:t>
      </w:r>
      <w:r>
        <w:rPr>
          <w:rFonts w:ascii="仿宋_GB2312" w:eastAsia="仿宋_GB2312" w:hint="eastAsia"/>
          <w:sz w:val="32"/>
          <w:szCs w:val="32"/>
        </w:rPr>
        <w:t>增长</w:t>
      </w:r>
      <w:r>
        <w:rPr>
          <w:rFonts w:ascii="仿宋_GB2312" w:eastAsia="仿宋_GB2312"/>
          <w:sz w:val="32"/>
          <w:szCs w:val="32"/>
        </w:rPr>
        <w:t>112.56</w:t>
      </w:r>
      <w:r>
        <w:rPr>
          <w:rFonts w:ascii="仿宋_GB2312" w:eastAsia="仿宋_GB2312" w:hint="eastAsia"/>
          <w:sz w:val="32"/>
          <w:szCs w:val="32"/>
        </w:rPr>
        <w:t>%</w:t>
      </w:r>
    </w:p>
    <w:p>
      <w:pPr>
        <w:keepNext w:val="0"/>
        <w:keepLines w:val="0"/>
        <w:pageBreakBefore w:val="0"/>
        <w:widowControl w:val="0"/>
        <w:kinsoku/>
        <w:wordWrap/>
        <w:overflowPunct/>
        <w:topLinePunct w:val="0"/>
        <w:autoSpaceDE/>
        <w:autoSpaceDN/>
        <w:adjustRightInd/>
        <w:snapToGrid/>
        <w:spacing w:line="560" w:lineRule="exact"/>
        <w:ind w:firstLine="640"/>
        <w:rPr>
          <w:rFonts w:ascii="仿宋_GB2312" w:eastAsia="仿宋_GB2312"/>
          <w:color w:val="000000"/>
          <w:sz w:val="32"/>
          <w:szCs w:val="32"/>
        </w:rPr>
      </w:pPr>
      <w:r>
        <w:rPr>
          <w:rFonts w:ascii="楷体_GB2312" w:eastAsia="楷体_GB2312" w:cs="楷体_GB2312" w:hint="eastAsia"/>
          <w:b/>
          <w:bCs/>
          <w:color w:val="auto"/>
          <w:sz w:val="32"/>
          <w:szCs w:val="32"/>
          <w:lang w:eastAsia="zh-CN"/>
        </w:rPr>
        <w:t>（</w:t>
      </w:r>
      <w:r>
        <w:rPr>
          <w:rFonts w:ascii="楷体_GB2312" w:eastAsia="楷体_GB2312" w:cs="楷体_GB2312" w:hint="eastAsia"/>
          <w:b/>
          <w:bCs/>
          <w:color w:val="auto"/>
          <w:sz w:val="32"/>
          <w:szCs w:val="32"/>
          <w:lang w:val="en-US" w:eastAsia="zh-CN"/>
        </w:rPr>
        <w:t>二</w:t>
      </w:r>
      <w:r>
        <w:rPr>
          <w:rFonts w:ascii="楷体_GB2312" w:eastAsia="楷体_GB2312" w:cs="楷体_GB2312" w:hint="eastAsia"/>
          <w:b/>
          <w:bCs/>
          <w:color w:val="auto"/>
          <w:sz w:val="32"/>
          <w:szCs w:val="32"/>
          <w:lang w:eastAsia="zh-CN"/>
        </w:rPr>
        <w:t>）</w:t>
      </w:r>
      <w:r>
        <w:rPr>
          <w:rFonts w:ascii="楷体_GB2312" w:eastAsia="楷体_GB2312" w:cs="楷体_GB2312" w:hint="eastAsia"/>
          <w:b/>
          <w:bCs/>
          <w:color w:val="auto"/>
          <w:sz w:val="32"/>
          <w:szCs w:val="32"/>
        </w:rPr>
        <w:t>部门财政资金支出情况</w:t>
      </w:r>
      <w:r>
        <w:rPr>
          <w:rFonts w:ascii="楷体_GB2312" w:eastAsia="楷体_GB2312" w:cs="楷体_GB2312" w:hint="eastAsia"/>
          <w:b/>
          <w:bCs/>
          <w:color w:val="auto"/>
          <w:sz w:val="32"/>
          <w:szCs w:val="32"/>
          <w:lang w:eastAsia="zh-CN"/>
        </w:rPr>
        <w:t>。</w:t>
      </w:r>
      <w:r>
        <w:rPr>
          <w:rFonts w:ascii="仿宋_GB2312" w:eastAsia="仿宋_GB2312" w:hint="eastAsia"/>
          <w:color w:val="000000"/>
          <w:sz w:val="32"/>
          <w:szCs w:val="32"/>
        </w:rPr>
        <w:t>202</w:t>
      </w:r>
      <w:r>
        <w:rPr>
          <w:rFonts w:ascii="仿宋_GB2312" w:eastAsia="仿宋_GB2312"/>
          <w:color w:val="000000"/>
          <w:sz w:val="32"/>
          <w:szCs w:val="32"/>
        </w:rPr>
        <w:t>2</w:t>
      </w:r>
      <w:r>
        <w:rPr>
          <w:rFonts w:ascii="仿宋_GB2312" w:eastAsia="仿宋_GB2312" w:hint="eastAsia"/>
          <w:color w:val="000000"/>
          <w:sz w:val="32"/>
          <w:szCs w:val="32"/>
          <w:lang w:val="en-US" w:eastAsia="zh-CN"/>
        </w:rPr>
        <w:t>年</w:t>
      </w:r>
      <w:r>
        <w:rPr>
          <w:rFonts w:ascii="仿宋_GB2312" w:eastAsia="仿宋_GB2312" w:hint="eastAsia"/>
          <w:color w:val="000000"/>
          <w:sz w:val="32"/>
          <w:szCs w:val="32"/>
        </w:rPr>
        <w:t>一般公共预算财政拨款支出</w:t>
      </w:r>
      <w:r>
        <w:rPr>
          <w:rFonts w:ascii="仿宋_GB2312" w:eastAsia="仿宋_GB2312"/>
          <w:color w:val="000000"/>
          <w:sz w:val="32"/>
          <w:szCs w:val="32"/>
        </w:rPr>
        <w:t>78.48</w:t>
      </w:r>
      <w:r>
        <w:rPr>
          <w:rFonts w:ascii="仿宋_GB2312" w:eastAsia="仿宋_GB2312" w:hint="eastAsia"/>
          <w:color w:val="000000"/>
          <w:sz w:val="32"/>
          <w:szCs w:val="32"/>
        </w:rPr>
        <w:t>万元，主要用于以下方面:一般公共服务</w:t>
      </w:r>
      <w:r>
        <w:rPr>
          <w:rFonts w:ascii="仿宋_GB2312" w:eastAsia="仿宋_GB2312" w:hint="eastAsia"/>
          <w:color w:val="000000"/>
          <w:sz w:val="32"/>
          <w:szCs w:val="32"/>
          <w:lang w:val="en-US" w:eastAsia="zh-CN"/>
        </w:rPr>
        <w:t>201</w:t>
      </w:r>
      <w:r>
        <w:rPr>
          <w:rFonts w:ascii="仿宋_GB2312" w:eastAsia="仿宋_GB2312" w:hint="eastAsia"/>
          <w:color w:val="000000"/>
          <w:sz w:val="32"/>
          <w:szCs w:val="32"/>
        </w:rPr>
        <w:t>（类）支出</w:t>
      </w:r>
      <w:r>
        <w:rPr>
          <w:rFonts w:ascii="仿宋_GB2312" w:eastAsia="仿宋_GB2312"/>
          <w:color w:val="000000"/>
          <w:sz w:val="32"/>
          <w:szCs w:val="32"/>
        </w:rPr>
        <w:t>58.87</w:t>
      </w:r>
      <w:r>
        <w:rPr>
          <w:rFonts w:ascii="仿宋_GB2312" w:eastAsia="仿宋_GB2312" w:hint="eastAsia"/>
          <w:color w:val="000000"/>
          <w:sz w:val="32"/>
          <w:szCs w:val="32"/>
        </w:rPr>
        <w:t>万元，占</w:t>
      </w:r>
      <w:r>
        <w:rPr>
          <w:rFonts w:ascii="仿宋_GB2312" w:eastAsia="仿宋_GB2312"/>
          <w:color w:val="000000"/>
          <w:sz w:val="32"/>
          <w:szCs w:val="32"/>
        </w:rPr>
        <w:t>75.01</w:t>
      </w:r>
      <w:r>
        <w:rPr>
          <w:rFonts w:ascii="仿宋_GB2312" w:eastAsia="仿宋_GB2312" w:hint="eastAsia"/>
          <w:color w:val="000000"/>
          <w:sz w:val="32"/>
          <w:szCs w:val="32"/>
        </w:rPr>
        <w:t>%；社会保障和就业</w:t>
      </w:r>
      <w:r>
        <w:rPr>
          <w:rFonts w:ascii="仿宋_GB2312" w:eastAsia="仿宋_GB2312" w:hint="eastAsia"/>
          <w:color w:val="000000"/>
          <w:sz w:val="32"/>
          <w:szCs w:val="32"/>
          <w:lang w:val="en-US" w:eastAsia="zh-CN"/>
        </w:rPr>
        <w:t>208</w:t>
      </w:r>
      <w:r>
        <w:rPr>
          <w:rFonts w:ascii="仿宋_GB2312" w:eastAsia="仿宋_GB2312" w:hint="eastAsia"/>
          <w:color w:val="000000"/>
          <w:sz w:val="32"/>
          <w:szCs w:val="32"/>
        </w:rPr>
        <w:t>（类）支出</w:t>
      </w:r>
      <w:r>
        <w:rPr>
          <w:rFonts w:ascii="仿宋_GB2312" w:eastAsia="仿宋_GB2312"/>
          <w:color w:val="000000"/>
          <w:sz w:val="32"/>
          <w:szCs w:val="32"/>
        </w:rPr>
        <w:t>10.67</w:t>
      </w:r>
      <w:r>
        <w:rPr>
          <w:rFonts w:ascii="仿宋_GB2312" w:eastAsia="仿宋_GB2312" w:hint="eastAsia"/>
          <w:color w:val="000000"/>
          <w:sz w:val="32"/>
          <w:szCs w:val="32"/>
        </w:rPr>
        <w:t>万元，占</w:t>
      </w:r>
      <w:r>
        <w:rPr>
          <w:rFonts w:ascii="仿宋_GB2312" w:eastAsia="仿宋_GB2312"/>
          <w:color w:val="000000"/>
          <w:sz w:val="32"/>
          <w:szCs w:val="32"/>
        </w:rPr>
        <w:t>13.59</w:t>
      </w:r>
      <w:r>
        <w:rPr>
          <w:rFonts w:ascii="仿宋_GB2312" w:eastAsia="仿宋_GB2312" w:hint="eastAsia"/>
          <w:color w:val="000000"/>
          <w:sz w:val="32"/>
          <w:szCs w:val="32"/>
        </w:rPr>
        <w:t>%；医疗卫生支出</w:t>
      </w:r>
      <w:r>
        <w:rPr>
          <w:rFonts w:ascii="仿宋_GB2312" w:eastAsia="仿宋_GB2312" w:hint="eastAsia"/>
          <w:color w:val="000000"/>
          <w:sz w:val="32"/>
          <w:szCs w:val="32"/>
          <w:lang w:val="en-US" w:eastAsia="zh-CN"/>
        </w:rPr>
        <w:t>210</w:t>
      </w:r>
      <w:r>
        <w:rPr>
          <w:rFonts w:ascii="仿宋_GB2312" w:eastAsia="仿宋_GB2312" w:hint="eastAsia"/>
          <w:color w:val="000000"/>
          <w:sz w:val="32"/>
          <w:szCs w:val="32"/>
          <w:lang w:eastAsia="zh-CN"/>
        </w:rPr>
        <w:t>（类）</w:t>
      </w:r>
      <w:r>
        <w:rPr>
          <w:rFonts w:ascii="仿宋_GB2312" w:eastAsia="仿宋_GB2312"/>
          <w:color w:val="000000"/>
          <w:sz w:val="32"/>
          <w:szCs w:val="32"/>
          <w:lang w:eastAsia="zh-CN"/>
        </w:rPr>
        <w:t>3.57</w:t>
      </w:r>
      <w:r>
        <w:rPr>
          <w:rFonts w:ascii="仿宋_GB2312" w:eastAsia="仿宋_GB2312" w:hint="eastAsia"/>
          <w:color w:val="000000"/>
          <w:sz w:val="32"/>
          <w:szCs w:val="32"/>
        </w:rPr>
        <w:t>万元，占</w:t>
      </w:r>
      <w:r>
        <w:rPr>
          <w:rFonts w:ascii="仿宋_GB2312" w:eastAsia="仿宋_GB2312"/>
          <w:color w:val="000000"/>
          <w:sz w:val="32"/>
          <w:szCs w:val="32"/>
        </w:rPr>
        <w:t>4.5</w:t>
      </w:r>
      <w:r>
        <w:rPr>
          <w:rFonts w:ascii="仿宋_GB2312" w:eastAsia="仿宋_GB2312" w:hint="eastAsia"/>
          <w:color w:val="000000"/>
          <w:sz w:val="32"/>
          <w:szCs w:val="32"/>
        </w:rPr>
        <w:t>%；住房保障支出</w:t>
      </w:r>
      <w:r>
        <w:rPr>
          <w:rFonts w:ascii="仿宋_GB2312" w:eastAsia="仿宋_GB2312" w:hint="eastAsia"/>
          <w:color w:val="000000"/>
          <w:sz w:val="32"/>
          <w:szCs w:val="32"/>
          <w:lang w:val="en-US" w:eastAsia="zh-CN"/>
        </w:rPr>
        <w:t>228</w:t>
      </w:r>
      <w:r>
        <w:rPr>
          <w:rFonts w:ascii="仿宋_GB2312" w:eastAsia="仿宋_GB2312" w:hint="eastAsia"/>
          <w:color w:val="000000"/>
          <w:sz w:val="32"/>
          <w:szCs w:val="32"/>
          <w:lang w:eastAsia="zh-CN"/>
        </w:rPr>
        <w:t>（类）</w:t>
      </w:r>
      <w:r>
        <w:rPr>
          <w:rFonts w:ascii="仿宋_GB2312" w:eastAsia="仿宋_GB2312"/>
          <w:color w:val="000000"/>
          <w:sz w:val="32"/>
          <w:szCs w:val="32"/>
          <w:lang w:eastAsia="zh-CN"/>
        </w:rPr>
        <w:t>5.38</w:t>
      </w:r>
      <w:r>
        <w:rPr>
          <w:rFonts w:ascii="仿宋_GB2312" w:eastAsia="仿宋_GB2312" w:hint="eastAsia"/>
          <w:color w:val="000000"/>
          <w:sz w:val="32"/>
          <w:szCs w:val="32"/>
        </w:rPr>
        <w:t>万元，占</w:t>
      </w:r>
      <w:r>
        <w:rPr>
          <w:rFonts w:ascii="仿宋_GB2312" w:eastAsia="仿宋_GB2312"/>
          <w:color w:val="000000"/>
          <w:sz w:val="32"/>
          <w:szCs w:val="32"/>
          <w:lang w:val="en-US" w:eastAsia="zh-CN"/>
        </w:rPr>
        <w:t>6.85</w:t>
      </w:r>
      <w:r>
        <w:rPr>
          <w:rFonts w:ascii="仿宋_GB2312" w:eastAsia="仿宋_GB2312" w:hint="eastAsia"/>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黑体" w:eastAsia="黑体" w:cs="黑体" w:hint="eastAsia"/>
          <w:b/>
          <w:bCs/>
          <w:sz w:val="32"/>
          <w:szCs w:val="32"/>
        </w:rPr>
      </w:pPr>
      <w:r>
        <w:rPr>
          <w:rFonts w:ascii="黑体" w:eastAsia="黑体" w:cs="黑体" w:hint="eastAsia"/>
          <w:b/>
          <w:bCs/>
          <w:sz w:val="32"/>
          <w:szCs w:val="32"/>
          <w:lang w:val="en-US" w:eastAsia="zh-CN"/>
        </w:rPr>
        <w:t>三、</w:t>
      </w:r>
      <w:r>
        <w:rPr>
          <w:rFonts w:ascii="黑体" w:eastAsia="黑体" w:cs="黑体" w:hint="eastAsia"/>
          <w:b/>
          <w:bCs/>
          <w:sz w:val="32"/>
          <w:szCs w:val="32"/>
        </w:rPr>
        <w:t>部门整体预算绩效管理情况</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仿宋_GB2312" w:eastAsia="仿宋_GB2312" w:cs="仿宋_GB2312" w:hint="eastAsia"/>
          <w:sz w:val="32"/>
          <w:szCs w:val="32"/>
        </w:rPr>
      </w:pPr>
      <w:r>
        <w:rPr>
          <w:rFonts w:ascii="楷体_GB2312" w:eastAsia="楷体_GB2312" w:cs="楷体_GB2312" w:hint="eastAsia"/>
          <w:b/>
          <w:bCs/>
          <w:sz w:val="32"/>
          <w:szCs w:val="32"/>
        </w:rPr>
        <w:t>（一）部门预算管理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eastAsia="仿宋_GB2312" w:hint="eastAsia"/>
          <w:color w:val="000000"/>
          <w:sz w:val="32"/>
          <w:szCs w:val="32"/>
          <w:lang w:eastAsia="zh-CN"/>
        </w:rPr>
      </w:pPr>
      <w:r>
        <w:rPr>
          <w:rFonts w:ascii="仿宋_GB2312" w:eastAsia="仿宋_GB2312" w:hint="eastAsia"/>
          <w:color w:val="000000"/>
          <w:sz w:val="32"/>
          <w:szCs w:val="32"/>
          <w:lang w:val="en-US" w:eastAsia="zh-CN"/>
        </w:rPr>
        <w:t>1.</w:t>
      </w:r>
      <w:r>
        <w:rPr>
          <w:rFonts w:ascii="仿宋_GB2312" w:eastAsia="仿宋_GB2312" w:hint="eastAsia"/>
          <w:color w:val="000000"/>
          <w:sz w:val="32"/>
          <w:szCs w:val="32"/>
          <w:lang w:val="zh-CN" w:eastAsia="zh-CN"/>
        </w:rPr>
        <w:t>预算编制情况。</w:t>
      </w:r>
      <w:r>
        <w:rPr>
          <w:rFonts w:ascii="仿宋_GB2312" w:eastAsia="仿宋_GB2312" w:hint="eastAsia"/>
          <w:color w:val="000000"/>
          <w:sz w:val="32"/>
          <w:szCs w:val="32"/>
          <w:lang w:eastAsia="zh-CN"/>
        </w:rPr>
        <w:t>20</w:t>
      </w:r>
      <w:r>
        <w:rPr>
          <w:rFonts w:ascii="仿宋_GB2312" w:eastAsia="仿宋_GB2312" w:hint="eastAsia"/>
          <w:color w:val="000000"/>
          <w:sz w:val="32"/>
          <w:szCs w:val="32"/>
          <w:lang w:val="en-US" w:eastAsia="zh-CN"/>
        </w:rPr>
        <w:t>22</w:t>
      </w:r>
      <w:r>
        <w:rPr>
          <w:rFonts w:ascii="仿宋_GB2312" w:eastAsia="仿宋_GB2312" w:hint="eastAsia"/>
          <w:color w:val="000000"/>
          <w:sz w:val="32"/>
          <w:szCs w:val="32"/>
          <w:lang w:eastAsia="zh-CN"/>
        </w:rPr>
        <w:t>年</w:t>
      </w:r>
      <w:r>
        <w:rPr>
          <w:rFonts w:ascii="仿宋_GB2312" w:eastAsia="仿宋_GB2312" w:hint="eastAsia"/>
          <w:color w:val="000000"/>
          <w:sz w:val="32"/>
          <w:szCs w:val="32"/>
          <w:lang w:val="en-US" w:eastAsia="zh-CN"/>
        </w:rPr>
        <w:t>我局</w:t>
      </w:r>
      <w:r>
        <w:rPr>
          <w:rFonts w:ascii="仿宋_GB2312" w:eastAsia="仿宋_GB2312" w:hint="eastAsia"/>
          <w:color w:val="000000"/>
          <w:sz w:val="32"/>
          <w:szCs w:val="32"/>
          <w:lang w:eastAsia="zh-CN"/>
        </w:rPr>
        <w:t>严格按照财政预算编制要求，准确录入相关信息，各项业务经费参照上两年支出和下年预计开展工作情况合理编制，</w:t>
      </w:r>
      <w:r>
        <w:rPr>
          <w:rFonts w:ascii="仿宋_GB2312" w:eastAsia="仿宋_GB2312" w:hint="eastAsia"/>
          <w:color w:val="000000"/>
          <w:sz w:val="32"/>
          <w:szCs w:val="32"/>
          <w:lang w:val="zh-CN" w:eastAsia="zh-CN"/>
        </w:rPr>
        <w:t>较好的完成了</w:t>
      </w:r>
      <w:r>
        <w:rPr>
          <w:rFonts w:ascii="仿宋_GB2312" w:eastAsia="仿宋_GB2312" w:hint="eastAsia"/>
          <w:color w:val="000000"/>
          <w:sz w:val="32"/>
          <w:szCs w:val="32"/>
          <w:lang w:val="en-US" w:eastAsia="zh-CN"/>
        </w:rPr>
        <w:t>县审计局</w:t>
      </w:r>
      <w:r>
        <w:rPr>
          <w:rFonts w:ascii="仿宋_GB2312" w:eastAsia="仿宋_GB2312" w:hint="eastAsia"/>
          <w:color w:val="000000"/>
          <w:sz w:val="32"/>
          <w:szCs w:val="32"/>
          <w:lang w:val="zh-CN" w:eastAsia="zh-CN"/>
        </w:rPr>
        <w:t>预算编制工作，无违规行为</w:t>
      </w:r>
      <w:r>
        <w:rPr>
          <w:rFonts w:ascii="仿宋_GB2312" w:eastAsia="仿宋_GB2312" w:hint="eastAsia"/>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eastAsia="仿宋_GB2312" w:hint="eastAsia"/>
          <w:color w:val="000000"/>
          <w:sz w:val="32"/>
          <w:szCs w:val="32"/>
          <w:lang w:val="zh-CN" w:eastAsia="zh-CN"/>
        </w:rPr>
      </w:pPr>
      <w:r>
        <w:rPr>
          <w:rFonts w:ascii="仿宋_GB2312" w:eastAsia="仿宋_GB2312" w:hint="eastAsia"/>
          <w:color w:val="000000"/>
          <w:sz w:val="32"/>
          <w:szCs w:val="32"/>
          <w:lang w:val="en-US" w:eastAsia="zh-CN"/>
        </w:rPr>
        <w:t>2.</w:t>
      </w:r>
      <w:r>
        <w:rPr>
          <w:rFonts w:ascii="仿宋_GB2312" w:eastAsia="仿宋_GB2312" w:hint="eastAsia"/>
          <w:color w:val="000000"/>
          <w:sz w:val="32"/>
          <w:szCs w:val="32"/>
          <w:lang w:val="zh-CN" w:eastAsia="zh-CN"/>
        </w:rPr>
        <w:t>执行管理情况。</w:t>
      </w:r>
      <w:r>
        <w:rPr>
          <w:rFonts w:ascii="仿宋_GB2312" w:eastAsia="仿宋_GB2312" w:hint="eastAsia"/>
          <w:color w:val="000000"/>
          <w:sz w:val="32"/>
          <w:szCs w:val="32"/>
          <w:lang w:val="en-US" w:eastAsia="zh-CN"/>
        </w:rPr>
        <w:t>我局严格按照规定执行年度预算。</w:t>
      </w:r>
      <w:r>
        <w:rPr>
          <w:rFonts w:ascii="仿宋_GB2312" w:eastAsia="仿宋_GB2312" w:hint="eastAsia"/>
          <w:color w:val="000000"/>
          <w:sz w:val="32"/>
          <w:szCs w:val="32"/>
          <w:lang w:eastAsia="zh-CN"/>
        </w:rPr>
        <w:t>2022年初收入</w:t>
      </w:r>
      <w:r>
        <w:rPr>
          <w:rFonts w:ascii="仿宋_GB2312" w:eastAsia="仿宋_GB2312"/>
          <w:sz w:val="32"/>
          <w:szCs w:val="32"/>
          <w:lang w:val="en-US" w:eastAsia="zh-CN"/>
        </w:rPr>
        <w:t>78.48</w:t>
      </w:r>
      <w:r>
        <w:rPr>
          <w:rFonts w:ascii="仿宋_GB2312" w:eastAsia="仿宋_GB2312" w:hint="eastAsia"/>
          <w:color w:val="000000"/>
          <w:sz w:val="32"/>
          <w:szCs w:val="32"/>
          <w:lang w:eastAsia="zh-CN"/>
        </w:rPr>
        <w:t>万元</w:t>
      </w:r>
      <w:r>
        <w:rPr>
          <w:rFonts w:ascii="仿宋_GB2312" w:eastAsia="仿宋_GB2312" w:hint="eastAsia"/>
          <w:color w:val="000000"/>
          <w:sz w:val="32"/>
          <w:szCs w:val="32"/>
          <w:lang w:val="en-US" w:eastAsia="zh-CN"/>
        </w:rPr>
        <w:t>，</w:t>
      </w:r>
      <w:r>
        <w:rPr>
          <w:rFonts w:ascii="仿宋_GB2312" w:eastAsia="仿宋_GB2312" w:hint="eastAsia"/>
          <w:color w:val="000000"/>
          <w:sz w:val="32"/>
          <w:szCs w:val="32"/>
          <w:lang w:eastAsia="zh-CN"/>
        </w:rPr>
        <w:t>2022年支出数均为</w:t>
      </w:r>
      <w:r>
        <w:rPr>
          <w:rFonts w:ascii="仿宋_GB2312" w:eastAsia="仿宋_GB2312"/>
          <w:sz w:val="32"/>
          <w:szCs w:val="32"/>
          <w:lang w:val="en-US" w:eastAsia="zh-CN"/>
        </w:rPr>
        <w:t>78.48</w:t>
      </w:r>
      <w:r>
        <w:rPr>
          <w:rFonts w:ascii="仿宋_GB2312" w:eastAsia="仿宋_GB2312" w:hint="eastAsia"/>
          <w:sz w:val="32"/>
          <w:szCs w:val="32"/>
        </w:rPr>
        <w:t>万元</w:t>
      </w:r>
      <w:r>
        <w:rPr>
          <w:rFonts w:ascii="仿宋_GB2312" w:eastAsia="仿宋_GB2312" w:hint="eastAsia"/>
          <w:color w:val="000000"/>
          <w:sz w:val="32"/>
          <w:szCs w:val="32"/>
          <w:lang w:eastAsia="zh-CN"/>
        </w:rPr>
        <w:t>，当年预算支出完成率</w:t>
      </w:r>
      <w:r>
        <w:rPr>
          <w:rFonts w:ascii="仿宋_GB2312" w:eastAsia="仿宋_GB2312" w:hint="eastAsia"/>
          <w:color w:val="000000"/>
          <w:sz w:val="32"/>
          <w:szCs w:val="32"/>
          <w:lang w:val="en-US" w:eastAsia="zh-CN"/>
        </w:rPr>
        <w:t>100</w:t>
      </w:r>
      <w:r>
        <w:rPr>
          <w:rFonts w:ascii="仿宋_GB2312" w:eastAsia="仿宋_GB2312" w:hint="eastAsia"/>
          <w:color w:val="000000"/>
          <w:sz w:val="32"/>
          <w:szCs w:val="32"/>
          <w:lang w:eastAsia="zh-CN"/>
        </w:rPr>
        <w:t>%</w:t>
      </w:r>
      <w:r>
        <w:rPr>
          <w:rFonts w:ascii="仿宋_GB2312" w:eastAsia="仿宋_GB2312" w:hint="eastAsia"/>
          <w:color w:val="000000"/>
          <w:sz w:val="32"/>
          <w:szCs w:val="32"/>
          <w:lang w:val="en-US" w:eastAsia="zh-CN"/>
        </w:rPr>
        <w:t>。</w:t>
      </w:r>
      <w:r>
        <w:rPr>
          <w:rFonts w:ascii="仿宋_GB2312" w:eastAsia="仿宋_GB2312" w:hint="eastAsia"/>
          <w:color w:val="000000"/>
          <w:sz w:val="32"/>
          <w:szCs w:val="32"/>
          <w:lang w:val="zh-CN" w:eastAsia="zh-CN"/>
        </w:rPr>
        <w:t>资金支出和使用完全按照相关规定操作，无违纪现象发生。</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eastAsia="仿宋_GB2312" w:hint="eastAsia"/>
          <w:color w:val="000000"/>
          <w:sz w:val="32"/>
          <w:szCs w:val="32"/>
          <w:lang w:val="zh-CN" w:eastAsia="zh-CN"/>
        </w:rPr>
      </w:pPr>
      <w:r>
        <w:rPr>
          <w:rFonts w:ascii="仿宋_GB2312" w:eastAsia="仿宋_GB2312" w:hint="eastAsia"/>
          <w:color w:val="000000"/>
          <w:sz w:val="32"/>
          <w:szCs w:val="32"/>
          <w:lang w:val="en-US" w:eastAsia="zh-CN"/>
        </w:rPr>
        <w:t>3.综合管理情况。我局现由专人负责预算绩效管理，并</w:t>
      </w:r>
      <w:r>
        <w:rPr>
          <w:rFonts w:ascii="仿宋_GB2312" w:eastAsia="仿宋_GB2312" w:hint="eastAsia"/>
          <w:color w:val="000000"/>
          <w:sz w:val="32"/>
          <w:szCs w:val="32"/>
          <w:lang w:val="zh-CN" w:eastAsia="zh-CN"/>
        </w:rPr>
        <w:t>根据财政局下发的文件要求</w:t>
      </w:r>
      <w:r>
        <w:rPr>
          <w:rFonts w:ascii="仿宋_GB2312" w:eastAsia="仿宋_GB2312" w:hint="eastAsia"/>
          <w:color w:val="000000"/>
          <w:sz w:val="32"/>
          <w:szCs w:val="32"/>
          <w:lang w:val="en-US" w:eastAsia="zh-CN"/>
        </w:rPr>
        <w:t>，建立“预算编制有目标、预算执行有监控、预算完成有评价、评价结果有反馈、反馈结果有应用”的全过程预算绩效管理机制，</w:t>
      </w:r>
      <w:r>
        <w:rPr>
          <w:rFonts w:ascii="仿宋_GB2312" w:eastAsia="仿宋_GB2312" w:hint="eastAsia"/>
          <w:color w:val="000000"/>
          <w:sz w:val="32"/>
          <w:szCs w:val="32"/>
          <w:lang w:val="zh-CN" w:eastAsia="zh-CN"/>
        </w:rPr>
        <w:t>做好财政收支工作，做好预算及决算工作，保证县</w:t>
      </w:r>
      <w:r>
        <w:rPr>
          <w:rFonts w:ascii="仿宋_GB2312" w:eastAsia="仿宋_GB2312" w:hint="eastAsia"/>
          <w:color w:val="000000"/>
          <w:sz w:val="32"/>
          <w:szCs w:val="32"/>
          <w:lang w:val="en-US" w:eastAsia="zh-CN"/>
        </w:rPr>
        <w:t>审计局</w:t>
      </w:r>
      <w:r>
        <w:rPr>
          <w:rFonts w:ascii="仿宋_GB2312" w:eastAsia="仿宋_GB2312" w:hint="eastAsia"/>
          <w:color w:val="000000"/>
          <w:sz w:val="32"/>
          <w:szCs w:val="32"/>
          <w:lang w:val="zh-CN" w:eastAsia="zh-CN"/>
        </w:rPr>
        <w:t>财务工作公开透明规范运行。</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eastAsia="仿宋_GB2312" w:hint="eastAsia"/>
          <w:color w:val="000000"/>
          <w:sz w:val="32"/>
          <w:szCs w:val="32"/>
          <w:lang w:val="en-US" w:eastAsia="zh-CN"/>
        </w:rPr>
      </w:pPr>
      <w:r>
        <w:rPr>
          <w:rFonts w:ascii="仿宋_GB2312" w:eastAsia="仿宋_GB2312" w:hint="eastAsia"/>
          <w:color w:val="000000"/>
          <w:sz w:val="32"/>
          <w:szCs w:val="32"/>
          <w:lang w:val="en-US" w:eastAsia="zh-CN"/>
        </w:rPr>
        <w:t>我局现已完成部门预算编制工作，绩效目标指向明确，符合国民经济和社会发展规划、结合部门职能及事业发展规划等,特别在数量、质量、成本、时效、效益等方面进行了具体量化。</w:t>
      </w:r>
      <w:r>
        <w:rPr>
          <w:rFonts w:ascii="仿宋_GB2312" w:eastAsia="仿宋_GB2312" w:hint="eastAsia"/>
          <w:color w:val="000000"/>
          <w:sz w:val="32"/>
          <w:szCs w:val="32"/>
          <w:lang w:eastAsia="zh-CN"/>
        </w:rPr>
        <w:t> </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楷体_GB2312" w:eastAsia="楷体_GB2312" w:cs="楷体_GB2312"/>
          <w:b/>
          <w:bCs/>
          <w:sz w:val="32"/>
          <w:szCs w:val="32"/>
        </w:rPr>
      </w:pPr>
      <w:r>
        <w:rPr>
          <w:rFonts w:ascii="楷体_GB2312" w:eastAsia="楷体_GB2312" w:cs="楷体_GB2312" w:hint="eastAsia"/>
          <w:b/>
          <w:bCs/>
          <w:sz w:val="32"/>
          <w:szCs w:val="32"/>
        </w:rPr>
        <w:t>（二）专项预算管理</w:t>
      </w:r>
    </w:p>
    <w:p>
      <w:pPr>
        <w:keepNext w:val="0"/>
        <w:keepLines w:val="0"/>
        <w:pageBreakBefore w:val="0"/>
        <w:widowControl w:val="0"/>
        <w:kinsoku/>
        <w:wordWrap/>
        <w:overflowPunct/>
        <w:topLinePunct w:val="0"/>
        <w:autoSpaceDE/>
        <w:autoSpaceDN/>
        <w:bidi w:val="0"/>
        <w:adjustRightInd/>
        <w:snapToGrid/>
        <w:spacing w:line="560" w:lineRule="exact"/>
        <w:ind w:left="0" w:firstLineChars="250" w:firstLine="800"/>
        <w:textAlignment w:val="auto"/>
        <w:rPr>
          <w:rFonts w:ascii="仿宋_GB2312" w:eastAsia="仿宋_GB2312" w:cs="楷体_GB2312" w:hint="eastAsia"/>
          <w:bCs/>
          <w:color w:val="000000"/>
          <w:sz w:val="32"/>
          <w:szCs w:val="32"/>
        </w:rPr>
      </w:pPr>
      <w:r>
        <w:rPr>
          <w:rFonts w:ascii="仿宋_GB2312" w:eastAsia="仿宋_GB2312" w:cs="楷体_GB2312" w:hint="eastAsia"/>
          <w:bCs/>
          <w:color w:val="000000"/>
          <w:sz w:val="32"/>
          <w:szCs w:val="32"/>
        </w:rPr>
        <w:t>无</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楷体_GB2312" w:eastAsia="楷体_GB2312" w:cs="楷体_GB2312" w:hint="eastAsia"/>
          <w:b/>
          <w:bCs/>
          <w:sz w:val="32"/>
          <w:szCs w:val="32"/>
        </w:rPr>
      </w:pPr>
      <w:r>
        <w:rPr>
          <w:rFonts w:ascii="楷体_GB2312" w:eastAsia="楷体_GB2312" w:cs="楷体_GB2312" w:hint="eastAsia"/>
          <w:b/>
          <w:bCs/>
          <w:sz w:val="32"/>
          <w:szCs w:val="32"/>
          <w:lang w:eastAsia="zh-CN"/>
        </w:rPr>
        <w:t>（</w:t>
      </w:r>
      <w:r>
        <w:rPr>
          <w:rFonts w:ascii="楷体_GB2312" w:eastAsia="楷体_GB2312" w:cs="楷体_GB2312" w:hint="eastAsia"/>
          <w:b/>
          <w:bCs/>
          <w:sz w:val="32"/>
          <w:szCs w:val="32"/>
          <w:lang w:val="en-US" w:eastAsia="zh-CN"/>
        </w:rPr>
        <w:t>三）</w:t>
      </w:r>
      <w:r>
        <w:rPr>
          <w:rFonts w:ascii="楷体_GB2312" w:eastAsia="楷体_GB2312" w:cs="楷体_GB2312" w:hint="eastAsia"/>
          <w:b/>
          <w:bCs/>
          <w:sz w:val="32"/>
          <w:szCs w:val="32"/>
        </w:rPr>
        <w:t>结果应用情况</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int="eastAsia"/>
          <w:sz w:val="32"/>
          <w:szCs w:val="32"/>
        </w:rPr>
      </w:pPr>
      <w:r>
        <w:rPr>
          <w:rFonts w:ascii="仿宋_GB2312" w:eastAsia="仿宋_GB2312" w:cs="仿宋_GB2312" w:hint="eastAsia"/>
          <w:sz w:val="32"/>
          <w:szCs w:val="32"/>
        </w:rPr>
        <w:t>我</w:t>
      </w:r>
      <w:r>
        <w:rPr>
          <w:rFonts w:ascii="仿宋_GB2312" w:eastAsia="仿宋_GB2312" w:cs="仿宋_GB2312" w:hint="eastAsia"/>
          <w:sz w:val="32"/>
          <w:szCs w:val="32"/>
          <w:lang w:eastAsia="zh-CN"/>
        </w:rPr>
        <w:t>局</w:t>
      </w:r>
      <w:r>
        <w:rPr>
          <w:rFonts w:ascii="仿宋_GB2312" w:eastAsia="仿宋_GB2312" w:cs="仿宋_GB2312" w:hint="eastAsia"/>
          <w:sz w:val="32"/>
          <w:szCs w:val="32"/>
        </w:rPr>
        <w:t>依据财政编审要求,在年度终了后,结合本单位当年全部预算收入、财政拨款收入及支出等,对全口径的资金收入、支出和预算管理、资产管理等工作进行全面总结。</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int="eastAsia"/>
          <w:sz w:val="32"/>
          <w:szCs w:val="32"/>
          <w:lang w:val="zh-CN" w:eastAsia="zh-CN"/>
        </w:rPr>
      </w:pPr>
      <w:r>
        <w:rPr>
          <w:rFonts w:ascii="仿宋_GB2312" w:eastAsia="仿宋_GB2312" w:cs="仿宋_GB2312" w:hint="eastAsia"/>
          <w:sz w:val="32"/>
          <w:szCs w:val="32"/>
        </w:rPr>
        <w:t>通过编制部门决算报表,对本单位全年的资金管理、单位履行机构职能和受托责任等进行系统的思考检查,分析预算执行中的得失,以推动单位加强内部管理,制定适应本单位的内控制度以促进发展。为编报一份高质量的部门决算报表,还应当从日常工作、前期准备、报表分析等方面做好全过程精细化的财务管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黑体" w:eastAsia="黑体" w:cs="黑体" w:hint="eastAsia"/>
          <w:sz w:val="32"/>
          <w:szCs w:val="32"/>
        </w:rPr>
      </w:pPr>
      <w:r>
        <w:rPr>
          <w:rFonts w:ascii="黑体" w:eastAsia="黑体" w:cs="黑体" w:hint="eastAsia"/>
          <w:sz w:val="32"/>
          <w:szCs w:val="32"/>
        </w:rPr>
        <w:t>四、评价结论及建议</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int="eastAsia"/>
          <w:sz w:val="32"/>
          <w:szCs w:val="32"/>
          <w:lang w:eastAsia="zh-CN"/>
        </w:rPr>
      </w:pPr>
      <w:r>
        <w:rPr>
          <w:rFonts w:ascii="楷体_GB2312" w:eastAsia="楷体_GB2312" w:cs="楷体_GB2312" w:hint="eastAsia"/>
          <w:b/>
          <w:bCs/>
          <w:sz w:val="32"/>
          <w:szCs w:val="32"/>
          <w:lang w:eastAsia="zh-CN"/>
        </w:rPr>
        <w:t>（一）评价结论</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int="eastAsia"/>
          <w:sz w:val="32"/>
          <w:szCs w:val="32"/>
          <w:lang w:eastAsia="zh-CN"/>
        </w:rPr>
      </w:pPr>
      <w:r>
        <w:rPr>
          <w:rFonts w:ascii="仿宋" w:eastAsia="仿宋" w:cs="楷体_GB2312" w:hint="eastAsia"/>
          <w:bCs/>
          <w:sz w:val="32"/>
          <w:szCs w:val="32"/>
          <w:lang w:val="zh-CN"/>
        </w:rPr>
        <w:t>我</w:t>
      </w:r>
      <w:r>
        <w:rPr>
          <w:rFonts w:ascii="仿宋" w:eastAsia="仿宋" w:cs="楷体_GB2312" w:hint="eastAsia"/>
          <w:bCs/>
          <w:sz w:val="32"/>
          <w:szCs w:val="32"/>
          <w:lang w:val="en-US" w:eastAsia="zh-CN"/>
        </w:rPr>
        <w:t>局</w:t>
      </w:r>
      <w:r>
        <w:rPr>
          <w:rFonts w:ascii="仿宋_GB2312" w:eastAsia="仿宋_GB2312" w:cs="仿宋_GB2312" w:hint="eastAsia"/>
          <w:sz w:val="32"/>
          <w:szCs w:val="32"/>
          <w:lang w:eastAsia="zh-CN"/>
        </w:rPr>
        <w:t>经过调查研究和科学论证，制定与法律法规、政策和社会发展要求相符的目标任务，目标任务清晰明确，能够体现部门目标任务完成情况和部门预期实现的效益；按照</w:t>
      </w:r>
      <w:r>
        <w:rPr>
          <w:rFonts w:ascii="仿宋_GB2312" w:eastAsia="仿宋_GB2312" w:cs="仿宋_GB2312" w:hint="eastAsia"/>
          <w:sz w:val="32"/>
          <w:szCs w:val="32"/>
          <w:lang w:val="en-US" w:eastAsia="zh-CN"/>
        </w:rPr>
        <w:t>县</w:t>
      </w:r>
      <w:r>
        <w:rPr>
          <w:rFonts w:ascii="仿宋_GB2312" w:eastAsia="仿宋_GB2312" w:cs="仿宋_GB2312" w:hint="eastAsia"/>
          <w:sz w:val="32"/>
          <w:szCs w:val="32"/>
          <w:lang w:eastAsia="zh-CN"/>
        </w:rPr>
        <w:t>财政局预算编制要求，按时完成</w:t>
      </w:r>
      <w:r>
        <w:rPr>
          <w:rFonts w:ascii="仿宋_GB2312" w:eastAsia="仿宋_GB2312" w:cs="仿宋_GB2312" w:hint="eastAsia"/>
          <w:sz w:val="32"/>
          <w:szCs w:val="32"/>
          <w:lang w:val="en-US" w:eastAsia="zh-CN"/>
        </w:rPr>
        <w:t>本部门</w:t>
      </w:r>
      <w:r>
        <w:rPr>
          <w:rFonts w:ascii="仿宋_GB2312" w:eastAsia="仿宋_GB2312" w:cs="仿宋_GB2312" w:hint="eastAsia"/>
          <w:sz w:val="32"/>
          <w:szCs w:val="32"/>
          <w:lang w:eastAsia="zh-CN"/>
        </w:rPr>
        <w:t>的预算编制工作并提交</w:t>
      </w:r>
      <w:r>
        <w:rPr>
          <w:rFonts w:ascii="仿宋_GB2312" w:eastAsia="仿宋_GB2312" w:cs="仿宋_GB2312" w:hint="eastAsia"/>
          <w:sz w:val="32"/>
          <w:szCs w:val="32"/>
          <w:lang w:val="en-US" w:eastAsia="zh-CN"/>
        </w:rPr>
        <w:t>县</w:t>
      </w:r>
      <w:r>
        <w:rPr>
          <w:rFonts w:ascii="仿宋_GB2312" w:eastAsia="仿宋_GB2312" w:cs="仿宋_GB2312" w:hint="eastAsia"/>
          <w:sz w:val="32"/>
          <w:szCs w:val="32"/>
          <w:lang w:eastAsia="zh-CN"/>
        </w:rPr>
        <w:t>财政局，部门预算编制完整、准确、规范；按要求开展预算执行中期评估工作；严格预算执行管理；部门利用资产管理信息系统完成资产占有、使用、处置等动态管理情况，并完成年度国有资产报告编报工作；除涉密信息外，及时向社会公开本部门预算、决算；按要求公开部门整体支出绩效自评报告及其他按要求应公开的绩效信息。按部门职能职责和年度总体目标细化设置履职成效指标；社会公众、相关协同部门、部门管理对象等对部门绩效情况满意度较高；年底基本能够到达年初制定的绩效目标</w:t>
      </w:r>
      <w:r>
        <w:rPr>
          <w:rFonts w:ascii="仿宋_GB2312" w:eastAsia="仿宋_GB2312" w:cs="仿宋_GB2312" w:hint="eastAsia"/>
          <w:sz w:val="32"/>
          <w:szCs w:val="32"/>
          <w:lang w:val="en-US" w:eastAsia="zh-CN"/>
        </w:rPr>
        <w:t>,绩效综合自评95分</w:t>
      </w:r>
      <w:r>
        <w:rPr>
          <w:rFonts w:ascii="仿宋_GB2312" w:eastAsia="仿宋_GB2312" w:cs="仿宋_GB2312" w:hint="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int="eastAsia"/>
          <w:sz w:val="32"/>
          <w:szCs w:val="32"/>
          <w:lang w:eastAsia="zh-CN"/>
        </w:rPr>
      </w:pPr>
      <w:r>
        <w:rPr>
          <w:rFonts w:ascii="楷体_GB2312" w:eastAsia="楷体_GB2312" w:cs="楷体_GB2312" w:hint="eastAsia"/>
          <w:b/>
          <w:bCs/>
          <w:sz w:val="32"/>
          <w:szCs w:val="32"/>
          <w:lang w:eastAsia="zh-CN"/>
        </w:rPr>
        <w:t>（</w:t>
      </w:r>
      <w:r>
        <w:rPr>
          <w:rFonts w:ascii="楷体_GB2312" w:eastAsia="楷体_GB2312" w:cs="楷体_GB2312" w:hint="eastAsia"/>
          <w:b/>
          <w:bCs/>
          <w:sz w:val="32"/>
          <w:szCs w:val="32"/>
          <w:lang w:val="en-US" w:eastAsia="zh-CN"/>
        </w:rPr>
        <w:t>二）</w:t>
      </w:r>
      <w:r>
        <w:rPr>
          <w:rFonts w:ascii="楷体_GB2312" w:eastAsia="楷体_GB2312" w:cs="楷体_GB2312" w:hint="eastAsia"/>
          <w:b/>
          <w:bCs/>
          <w:sz w:val="32"/>
          <w:szCs w:val="32"/>
          <w:lang w:eastAsia="zh-CN"/>
        </w:rPr>
        <w:t>存在问题</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int="eastAsia"/>
          <w:sz w:val="32"/>
          <w:szCs w:val="32"/>
        </w:rPr>
      </w:pPr>
      <w:r>
        <w:rPr>
          <w:rFonts w:ascii="仿宋_GB2312" w:eastAsia="仿宋_GB2312" w:cs="仿宋_GB2312" w:hint="eastAsia"/>
          <w:sz w:val="32"/>
          <w:szCs w:val="32"/>
          <w:lang w:eastAsia="zh-CN"/>
        </w:rPr>
        <w:t>绩效目标制定不够完善，预算编制不够科学合理。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楷体_GB2312" w:eastAsia="楷体_GB2312" w:cs="楷体_GB2312" w:hint="eastAsia"/>
          <w:b/>
          <w:bCs/>
          <w:sz w:val="32"/>
          <w:szCs w:val="32"/>
          <w:lang w:eastAsia="zh-CN"/>
        </w:rPr>
      </w:pPr>
      <w:r>
        <w:rPr>
          <w:rFonts w:ascii="楷体_GB2312" w:eastAsia="楷体_GB2312" w:cs="楷体_GB2312" w:hint="eastAsia"/>
          <w:b/>
          <w:bCs/>
          <w:sz w:val="32"/>
          <w:szCs w:val="32"/>
          <w:lang w:val="en-US" w:eastAsia="zh-CN"/>
        </w:rPr>
        <w:t>（三）</w:t>
      </w:r>
      <w:r>
        <w:rPr>
          <w:rFonts w:ascii="楷体_GB2312" w:eastAsia="楷体_GB2312" w:cs="楷体_GB2312" w:hint="eastAsia"/>
          <w:b/>
          <w:bCs/>
          <w:sz w:val="32"/>
          <w:szCs w:val="32"/>
          <w:lang w:eastAsia="zh-CN"/>
        </w:rPr>
        <w:t>改进建议</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Chars="200" w:firstLine="640"/>
        <w:jc w:val="left"/>
        <w:textAlignment w:val="auto"/>
        <w:rPr>
          <w:rFonts w:ascii="仿宋_GB2312" w:eastAsia="仿宋_GB2312" w:cs="仿宋_GB2312"/>
          <w:kern w:val="2"/>
          <w:sz w:val="32"/>
          <w:szCs w:val="32"/>
          <w:lang w:val="en-US" w:eastAsia="zh-CN" w:bidi="ar-SA"/>
        </w:rPr>
      </w:pPr>
      <w:r>
        <w:rPr>
          <w:rFonts w:ascii="仿宋_GB2312" w:eastAsia="仿宋_GB2312" w:cs="仿宋_GB2312" w:hint="eastAsia"/>
          <w:kern w:val="2"/>
          <w:sz w:val="32"/>
          <w:szCs w:val="32"/>
          <w:lang w:val="en-US" w:eastAsia="zh-CN" w:bidi="ar-SA"/>
        </w:rPr>
        <w:t>进一步完善绩效目标填报工作，强化绩效指标实用性。绩效目标是整个预算绩效管理的起点，与部门履职效率形成直接关系，在接下来工作中，严格按照经济型、效率性及效益性原则设置对应指标，提高绩效指标实用性。认真履行预算编报要求，提高预算编报的科学性。严格按照相关预算编报文件要求，结合近年来执行情况，合理编制各项预算，提高预算的科学性和准确性。</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ascii="Arial" w:hAnsi="Arial"/>
          <w:b w:val="0"/>
          <w:bCs w:val="0"/>
          <w:i w:val="0"/>
          <w:iCs w:val="0"/>
          <w:caps w:val="0"/>
          <w:smallCaps w:val="0"/>
          <w:vanish w:val="0"/>
          <w:color w:val="000000"/>
          <w:spacing w:val="0"/>
          <w:sz w:val="24"/>
          <w:szCs w:val="24"/>
        </w:rPr>
      </w:pPr>
      <w:bookmarkStart w:id="1" w:name="_GoBack"/>
      <w:bookmarkEnd w:id="1"/>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Chars="200" w:firstLine="480"/>
        <w:jc w:val="right"/>
        <w:textAlignment w:val="auto"/>
        <w:rPr>
          <w:rFonts w:ascii="仿宋_GB2312" w:eastAsia="仿宋_GB2312" w:cs="仿宋_GB2312" w:hint="eastAsia"/>
          <w:kern w:val="2"/>
          <w:sz w:val="32"/>
          <w:szCs w:val="32"/>
          <w:lang w:val="en-US" w:eastAsia="zh-CN" w:bidi="ar-SA"/>
        </w:rPr>
      </w:pPr>
      <w:r>
        <w:rPr>
          <w:rFonts w:ascii="Arial" w:hAnsi="Arial"/>
          <w:b w:val="0"/>
          <w:bCs w:val="0"/>
          <w:i w:val="0"/>
          <w:iCs w:val="0"/>
          <w:caps w:val="0"/>
          <w:smallCaps w:val="0"/>
          <w:vanish w:val="0"/>
          <w:color w:val="000000"/>
          <w:spacing w:val="0"/>
          <w:sz w:val="24"/>
          <w:szCs w:val="24"/>
        </w:rPr>
        <w:br/>
      </w:r>
      <w:r>
        <w:rPr>
          <w:rFonts w:ascii="仿宋_GB2312" w:eastAsia="仿宋_GB2312" w:cs="仿宋_GB2312" w:hint="eastAsia"/>
          <w:kern w:val="2"/>
          <w:sz w:val="32"/>
          <w:szCs w:val="32"/>
          <w:lang w:val="en-US" w:eastAsia="zh-CN" w:bidi="ar-SA"/>
        </w:rPr>
        <w:t>黑水县审计局</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Chars="200" w:firstLine="640"/>
        <w:jc w:val="right"/>
        <w:textAlignment w:val="auto"/>
        <w:rPr>
          <w:rFonts w:ascii="仿宋_GB2312" w:eastAsia="仿宋_GB2312" w:cs="仿宋_GB2312"/>
          <w:kern w:val="2"/>
          <w:sz w:val="32"/>
          <w:szCs w:val="32"/>
          <w:lang w:val="en-US" w:eastAsia="zh-CN" w:bidi="ar-SA"/>
        </w:rPr>
      </w:pPr>
      <w:r>
        <w:rPr>
          <w:rFonts w:ascii="仿宋_GB2312" w:eastAsia="仿宋_GB2312" w:cs="仿宋_GB2312" w:hint="eastAsia"/>
          <w:kern w:val="2"/>
          <w:sz w:val="32"/>
          <w:szCs w:val="32"/>
          <w:lang w:val="en-US" w:eastAsia="zh-CN" w:bidi="ar-SA"/>
        </w:rPr>
        <w:t>2023年8月30日</w:t>
      </w:r>
    </w:p>
    <w:sectPr>
      <w:footerReference w:type="default" r:id="rId2"/>
      <w:pgSz w:w="11906" w:h="16838"/>
      <w:pgMar w:top="2098" w:right="1474" w:bottom="1984" w:left="1587"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宋体">
    <w:altName w:val="方正书宋_GBK"/>
    <w:panose1 w:val="02010600030101010101"/>
    <w:charset w:val="7A"/>
    <w:family w:val="auto"/>
    <w:pitch w:val="variable"/>
    <w:sig w:usb0="00000003" w:usb1="288F0000" w:usb2="00000006" w:usb3="00000000" w:csb0="00040001" w:csb1="00000000"/>
  </w:font>
  <w:font w:name="方正小标宋简体">
    <w:altName w:val="仿宋_GB2312"/>
    <w:panose1 w:val="02000000000000000000"/>
    <w:charset w:val="86"/>
    <w:family w:val="auto"/>
    <w:pitch w:val="variable"/>
    <w:sig w:usb0="00000000" w:usb1="00000000" w:usb2="00000000" w:usb3="00000000" w:csb0="00040000" w:csb1="00000000"/>
  </w:font>
  <w:font w:name="方正小标宋_GBK">
    <w:panose1 w:val="03000509000000000000"/>
    <w:charset w:val="86"/>
    <w:family w:val="auto"/>
    <w:pitch w:val="variable"/>
    <w:sig w:usb0="00000001" w:usb1="080E0000" w:usb2="00000000" w:usb3="00000000" w:csb0="00040000" w:csb1="00000000"/>
  </w:font>
  <w:font w:name="黑体">
    <w:altName w:val="方正黑体_GBK"/>
    <w:panose1 w:val="02010609060101010101"/>
    <w:charset w:val="86"/>
    <w:family w:val="auto"/>
    <w:pitch w:val="variable"/>
    <w:sig w:usb0="800002BF" w:usb1="38CF7CFA" w:usb2="00000016" w:usb3="00000000" w:csb0="00040001" w:csb1="00000000"/>
  </w:font>
  <w:font w:name="楷体_GB2312">
    <w:panose1 w:val="02010609030101010101"/>
    <w:charset w:val="86"/>
    <w:family w:val="auto"/>
    <w:pitch w:val="variable"/>
    <w:sig w:usb0="00000001" w:usb1="080E0000" w:usb2="00000000" w:usb3="00000000" w:csb0="00040000" w:csb1="00000000"/>
  </w:font>
  <w:font w:name="仿宋_GB2312">
    <w:panose1 w:val="02010609030101010101"/>
    <w:charset w:val="86"/>
    <w:family w:val="modern"/>
    <w:pitch w:val="variable"/>
    <w:sig w:usb0="00000001" w:usb1="080E0000" w:usb2="00000000" w:usb3="00000000" w:csb0="00040000" w:csb1="00000000"/>
  </w:font>
  <w:font w:name="仿宋">
    <w:altName w:val="仿宋_GB2312"/>
    <w:panose1 w:val="02010609060101010101"/>
    <w:charset w:val="86"/>
    <w:family w:val="modern"/>
    <w:pitch w:val="variable"/>
    <w:sig w:usb0="800002BF" w:usb1="38CF7CFA" w:usb2="00000016" w:usb3="00000000" w:csb0="00040001" w:csb1="00000000"/>
  </w:font>
  <w:font w:name="Arial">
    <w:altName w:val="DejaVu Sans"/>
    <w:panose1 w:val="020B0604020202020204"/>
    <w:charset w:val="01"/>
    <w:family w:val="swiss"/>
    <w:pitch w:val="variable"/>
    <w:sig w:usb0="E0002AFF" w:usb1="C0007843" w:usb2="00000009" w:usb3="00000000" w:csb0="400001FF" w:csb1="FFFF0000"/>
  </w:font>
  <w:font w:name="Times New Roman">
    <w:altName w:val="DejaVu Sans"/>
    <w:panose1 w:val="02020603050405020304"/>
    <w:charset w:val="01"/>
    <w:family w:val="swiss"/>
    <w:pitch w:val="variable"/>
    <w:sig w:usb0="E0002AFF" w:usb1="C0007841" w:usb2="00000009" w:usb3="00000000" w:csb0="400001FF" w:csb1="FFFF0000"/>
  </w:font>
  <w:font w:name="Luxi Sans">
    <w:altName w:val="DejaVu Sans"/>
    <w:panose1 w:val="00000000000000000000"/>
    <w:charset w:val="00"/>
    <w:family w:val="auto"/>
    <w:pitch w:val="variable"/>
    <w:sig w:usb0="00000000" w:usb1="00000000" w:usb2="00000000" w:usb3="00000000" w:csb0="00000000" w:csb1="00000000"/>
  </w:font>
  <w:font w:name="Calibri">
    <w:altName w:val="DejaVu Sans"/>
    <w:panose1 w:val="020F0502020204030204"/>
    <w:charset w:val="00"/>
    <w:family w:val="swiss"/>
    <w:pitch w:val="variable"/>
    <w:sig w:usb0="E00002FF" w:usb1="4000ACFF" w:usb2="00000001" w:usb3="00000000" w:csb0="200001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tabs>
        <w:tab w:val="center" w:pos="4153"/>
        <w:tab w:val="right" w:pos="8306"/>
      </w:tabs>
    </w:pPr>
    <w:r>
      <w:rPr>
        <w:sz w:val="18"/>
      </w:rPr>
      <mc:AlternateContent>
        <mc:Choice Requires="wps">
          <w:drawing>
            <wp:anchor distT="0" distB="0" distL="114298" distR="114298" simplePos="0" relativeHeight="15" behindDoc="0" locked="0" layoutInCell="1" hidden="0" allowOverlap="1">
              <wp:simplePos x="0" y="0"/>
              <wp:positionH relativeFrom="margin">
                <wp:align>center</wp:align>
              </wp:positionH>
              <wp:positionV relativeFrom="paragraph">
                <wp:posOffset>0</wp:posOffset>
              </wp:positionV>
              <wp:extent cx="72694" cy="133159"/>
              <wp:effectExtent l="0" t="0" r="0" b="0"/>
              <wp:wrapNone/>
              <wp:docPr id="1" name="_x0000_s2050"/>
              <wp:cNvGraphicFramePr>
                <a:graphicFrameLocks noChangeAspect="0"/>
              </wp:cNvGraphicFramePr>
              <a:graphic>
                <a:graphicData uri="http://schemas.microsoft.com/office/word/2010/wordprocessingShape">
                  <wps:wsp>
                    <wps:cNvSpPr/>
                    <wps:spPr>
                      <a:xfrm rot="0">
                        <a:off x="0" y="0"/>
                        <a:ext cx="72694" cy="133159"/>
                      </a:xfrm>
                      <a:prstGeom prst="rect"/>
                      <a:noFill/>
                      <a:ln w="9525" cmpd="sng" cap="flat">
                        <a:noFill/>
                        <a:prstDash val="solid"/>
                        <a:miter/>
                      </a:ln>
                    </wps:spPr>
                    <wps:txbx id="2">
                      <w:txbxContent>
                        <w:p>
                          <w:pPr>
                            <w:pStyle w:val="15"/>
                            <w:tabs>
                              <w:tab w:val="center" w:pos="4153"/>
                              <w:tab w:val="right" w:pos="8306"/>
                            </w:tabs>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1">
                      <a:spAutoFit/>
                    </wps:bodyPr>
                  </wps:wsp>
                </a:graphicData>
              </a:graphic>
            </wp:anchor>
          </w:drawing>
        </mc:Choice>
        <mc:Fallback>
          <w:pict>
            <v:rect type="#_x0000_t1" id="_x0000_s2050 3" o:spid="_x0000_s3" filled="f" stroked="f" style="position:absolute;margin-left:0.0pt;margin-top:0.0pt;width:5.724pt;height:10.485001pt;z-index:15;mso-position-horizontal:center;mso-position-horizontal-relative:margin;mso-position-vertical:absolute;mso-wrap-distance-left:8.999863pt;mso-wrap-distance-right:8.999863pt;mso-wrap-style:none;">
              <v:stroke color="#000000"/>
              <v:textbox id="849" inset="0mm,0mm,0mm,0mm" o:insetmode="custom" style="layout-flow:horizontal;v-text-anchor:top;mso-fit-shape-to-text:t;">
                <w:txbxContent>
                  <w:p>
                    <w:pPr>
                      <w:pStyle w:val="15"/>
                      <w:tabs>
                        <w:tab w:val="center" w:pos="4153"/>
                        <w:tab w:val="right" w:pos="8306"/>
                      </w:tabs>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20"/>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2"/>
  </w:compat>
  <w:docVars>
    <w:docVar w:name="commondata" w:val="eyJoZGlkIjoiMTRjYTc5ZGQ5YzlkY2Q3Y2RiZTdmODY2YWIwNjQ2MDk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rPr>
  </w:style>
  <w:style w:type="paragraph" w:styleId="2">
    <w:name w:val="heading 2"/>
    <w:basedOn w:val="0"/>
    <w:next w:val="0"/>
    <w:pPr>
      <w:keepNext/>
      <w:keepLines/>
      <w:widowControl w:val="0"/>
      <w:spacing w:before="260" w:after="260" w:line="415" w:lineRule="auto"/>
      <w:outlineLvl w:val="1"/>
    </w:pPr>
    <w:rPr>
      <w:rFonts w:ascii="Luxi Sans" w:eastAsia="黑体" w:hAnsi="Luxi Sans"/>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footer"/>
    <w:basedOn w:val="0"/>
    <w:pPr>
      <w:tabs>
        <w:tab w:val="center" w:pos="4153"/>
        <w:tab w:val="right" w:pos="8306"/>
      </w:tabs>
      <w:snapToGrid w:val="0"/>
      <w:jc w:val="left"/>
    </w:pPr>
    <w:rPr>
      <w:rFonts w:ascii="Calibri" w:eastAsia="宋体" w:cs="Arial" w:hAnsi="Calibri"/>
      <w:sz w:val="18"/>
      <w:szCs w:val="18"/>
    </w:rPr>
  </w:style>
  <w:style w:type="paragraph" w:styleId="16">
    <w:name w:val="header"/>
    <w:basedOn w:val="0"/>
    <w:pPr>
      <w:pBdr>
        <w:bottom w:val="single" w:sz="6" w:space="1" w:color="auto"/>
      </w:pBdr>
      <w:tabs>
        <w:tab w:val="center" w:pos="4153"/>
        <w:tab w:val="right" w:pos="8306"/>
      </w:tabs>
      <w:snapToGrid w:val="0"/>
      <w:jc w:val="center"/>
    </w:pPr>
    <w:rPr>
      <w:rFonts w:ascii="Calibri" w:eastAsia="宋体" w:cs="Arial" w:hAnsi="Calibri"/>
      <w:sz w:val="18"/>
      <w:szCs w:val="18"/>
    </w:rPr>
  </w:style>
  <w:style w:type="paragraph" w:styleId="17">
    <w:name w:val="table of figures"/>
    <w:basedOn w:val="0"/>
    <w:next w:val="0"/>
    <w:pPr>
      <w:ind w:leftChars="200" w:left="400" w:hangingChars="200" w:hanging="200"/>
    </w:pPr>
  </w:style>
  <w:style w:type="paragraph" w:styleId="18">
    <w:name w:val="Normal (Web)"/>
    <w:basedOn w:val="0"/>
    <w:pPr>
      <w:spacing w:before="100" w:beforeAutospacing="1" w:after="100" w:afterAutospacing="1"/>
      <w:jc w:val="left"/>
    </w:pPr>
    <w:rPr>
      <w:rFonts w:eastAsia="宋体"/>
      <w:kern w:val="0"/>
      <w:sz w:val="24"/>
      <w:szCs w:val="24"/>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image" Target="media/5.png"/><Relationship Id="rId4" Type="http://schemas.openxmlformats.org/officeDocument/2006/relationships/styles" Target="styles.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33</TotalTime>
  <Application>Yozo_Office27021597764231179</Application>
  <Pages>4</Pages>
  <Words>1635</Words>
  <Characters>1735</Characters>
  <Lines>83</Lines>
  <Paragraphs>32</Paragraphs>
  <CharactersWithSpaces>1737</CharactersWithSpaces>
  <Company>Sky123.Org</Company>
</Properties>
</file>

<file path=docProps/core.xml><?xml version="1.0" encoding="utf-8"?>
<cp:coreProperties xmlns:cp="http://schemas.openxmlformats.org/package/2006/metadata/core-properties" xmlns:dc="http://purl.org/dc/elements/1.1/" xmlns:dcterms="http://purl.org/dc/terms/" xmlns:xsi="http://www.w3.org/2001/XMLSchema-instance">
  <dc:creator>Sky123.Org</dc:creator>
  <cp:lastModifiedBy>user</cp:lastModifiedBy>
  <cp:revision>3</cp:revision>
  <dcterms:created xsi:type="dcterms:W3CDTF">2019-08-19T01:06:00Z</dcterms:created>
  <dcterms:modified xsi:type="dcterms:W3CDTF">2023-09-09T02:32:40Z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2052-11.1.0.13703</vt:lpwstr>
  </property>
  <property fmtid="{D5CDD505-2E9C-101B-9397-08002B2CF9AE}" pid="3" name="ICV">
    <vt:lpwstr>C0FD8F207129418E957F274EA98D553D</vt:lpwstr>
  </property>
</Properties>
</file>