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eastAsia="宋体" w:cs="宋体"/>
          <w:u w:val="single" w:color="FF0000"/>
        </w:rPr>
      </w:pPr>
      <w:bookmarkStart w:id="0" w:name="_Toc15396616"/>
      <w:r>
        <w:rPr>
          <w:rFonts w:ascii="宋体" w:eastAsia="宋体" w:cs="宋体"/>
          <w:u w:val="single" w:color="FF0000"/>
        </w:rPr>
        <w:drawing>
          <wp:anchor distT="0" distB="0" distL="114300" distR="114300" simplePos="0" relativeHeight="251659264" behindDoc="0" locked="0" layoutInCell="1" allowOverlap="1">
            <wp:simplePos x="0" y="0"/>
            <wp:positionH relativeFrom="column">
              <wp:posOffset>-542925</wp:posOffset>
            </wp:positionH>
            <wp:positionV relativeFrom="paragraph">
              <wp:posOffset>122555</wp:posOffset>
            </wp:positionV>
            <wp:extent cx="6686550" cy="1457960"/>
            <wp:effectExtent l="0" t="0" r="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6686550" cy="1457960"/>
                    </a:xfrm>
                    <a:prstGeom prst="rect">
                      <a:avLst/>
                    </a:prstGeom>
                    <a:noFill/>
                    <a:ln w="9525" cap="flat" cmpd="sng">
                      <a:noFill/>
                      <a:prstDash val="solid"/>
                      <a:round/>
                    </a:ln>
                  </pic:spPr>
                </pic:pic>
              </a:graphicData>
            </a:graphic>
          </wp:anchor>
        </w:drawing>
      </w:r>
    </w:p>
    <w:p>
      <w:pPr>
        <w:keepNext w:val="0"/>
        <w:keepLines w:val="0"/>
        <w:pageBreakBefore w:val="0"/>
        <w:widowControl w:val="0"/>
        <w:kinsoku/>
        <w:wordWrap/>
        <w:overflowPunct/>
        <w:topLinePunct w:val="0"/>
        <w:autoSpaceDE/>
        <w:autoSpaceDN/>
        <w:bidi w:val="0"/>
        <w:snapToGrid/>
        <w:spacing w:line="560" w:lineRule="exact"/>
        <w:jc w:val="center"/>
        <w:textAlignment w:val="auto"/>
        <w:outlineLvl w:val="0"/>
        <w:rPr>
          <w:rFonts w:asci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outlineLvl w:val="0"/>
        <w:rPr>
          <w:rFonts w:hint="eastAsia" w:asci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eastAsia="方正小标宋_GBK" w:cs="方正小标宋_GBK"/>
          <w:b w:val="0"/>
          <w:bCs/>
          <w:sz w:val="44"/>
          <w:szCs w:val="44"/>
          <w:lang w:val="en-US" w:eastAsia="zh-CN"/>
        </w:rPr>
      </w:pPr>
      <w:bookmarkStart w:id="1" w:name="_GoBack"/>
      <w:r>
        <w:rPr>
          <w:rFonts w:hint="eastAsia" w:ascii="方正小标宋_GBK" w:eastAsia="方正小标宋_GBK" w:cs="方正小标宋_GBK"/>
          <w:b w:val="0"/>
          <w:bCs/>
          <w:sz w:val="44"/>
          <w:szCs w:val="44"/>
          <w:lang w:val="en-US" w:eastAsia="zh-CN"/>
        </w:rPr>
        <w:t>黑水县审计局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eastAsia="方正小标宋_GBK" w:cs="方正小标宋_GBK"/>
          <w:b/>
          <w:sz w:val="44"/>
          <w:szCs w:val="44"/>
        </w:rPr>
      </w:pPr>
      <w:r>
        <w:rPr>
          <w:rFonts w:hint="eastAsia" w:ascii="方正小标宋_GBK" w:eastAsia="方正小标宋_GBK" w:cs="方正小标宋_GBK"/>
          <w:b w:val="0"/>
          <w:bCs/>
          <w:sz w:val="44"/>
          <w:szCs w:val="44"/>
        </w:rPr>
        <w:t>20</w:t>
      </w:r>
      <w:r>
        <w:rPr>
          <w:rFonts w:hint="eastAsia" w:ascii="方正小标宋_GBK" w:eastAsia="方正小标宋_GBK" w:cs="方正小标宋_GBK"/>
          <w:b w:val="0"/>
          <w:bCs/>
          <w:sz w:val="44"/>
          <w:szCs w:val="44"/>
          <w:lang w:val="en-US" w:eastAsia="zh-CN"/>
        </w:rPr>
        <w:t>22</w:t>
      </w:r>
      <w:r>
        <w:rPr>
          <w:rFonts w:hint="eastAsia" w:ascii="方正小标宋_GBK" w:eastAsia="方正小标宋_GBK" w:cs="方正小标宋_GBK"/>
          <w:b w:val="0"/>
          <w:bCs/>
          <w:sz w:val="44"/>
          <w:szCs w:val="44"/>
        </w:rPr>
        <w:t>年部门整体支出绩效评价报告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一、部门（单位）概况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sz w:val="32"/>
          <w:szCs w:val="32"/>
        </w:rPr>
      </w:pPr>
      <w:r>
        <w:rPr>
          <w:rFonts w:hint="eastAsia" w:ascii="楷体_GB2312" w:eastAsia="楷体_GB2312" w:cs="楷体_GB2312"/>
          <w:b/>
          <w:bCs/>
          <w:sz w:val="32"/>
          <w:szCs w:val="32"/>
        </w:rPr>
        <w:t>（一）机构组成。</w:t>
      </w:r>
    </w:p>
    <w:p>
      <w:pPr>
        <w:pStyle w:val="8"/>
        <w:widowControl/>
        <w:spacing w:before="0" w:beforeAutospacing="0" w:after="0" w:afterAutospacing="0" w:line="560" w:lineRule="exact"/>
        <w:ind w:firstLine="640" w:firstLineChars="200"/>
        <w:rPr>
          <w:rFonts w:hint="eastAsia" w:ascii="仿宋_GB2312" w:eastAsia="仿宋_GB2312" w:cs="仿宋_GB2312"/>
          <w:sz w:val="32"/>
          <w:szCs w:val="32"/>
        </w:rPr>
      </w:pPr>
      <w:r>
        <w:rPr>
          <w:rFonts w:hint="eastAsia" w:ascii="仿宋_GB2312" w:eastAsia="仿宋_GB2312" w:cs="仿宋_GB2312"/>
          <w:kern w:val="2"/>
          <w:sz w:val="32"/>
          <w:szCs w:val="32"/>
        </w:rPr>
        <w:t>办公室负责文电、财务、信访、干部人事、国有资产管理等机关日常运转工</w:t>
      </w:r>
      <w:r>
        <w:rPr>
          <w:rFonts w:hint="eastAsia" w:ascii="仿宋_GB2312" w:eastAsia="仿宋_GB2312" w:cs="仿宋_GB2312"/>
          <w:sz w:val="32"/>
          <w:szCs w:val="32"/>
        </w:rPr>
        <w:t>作。审计股承担机关有关规范性文件的合法性审查工作、规章草案工作，承担机关行政复议、行政应诉等工作。组织开展普法宣传、依法行政工作。</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eastAsia="仿宋_GB2312" w:cs="仿宋_GB2312"/>
          <w:b/>
          <w:color w:val="auto"/>
          <w:sz w:val="32"/>
          <w:szCs w:val="32"/>
        </w:rPr>
      </w:pPr>
      <w:r>
        <w:rPr>
          <w:rFonts w:hint="eastAsia" w:ascii="楷体_GB2312" w:eastAsia="楷体_GB2312" w:cs="楷体_GB2312"/>
          <w:b/>
          <w:bCs/>
          <w:sz w:val="32"/>
          <w:szCs w:val="32"/>
          <w:lang w:eastAsia="zh-CN"/>
        </w:rPr>
        <w:t>（二）</w:t>
      </w:r>
      <w:r>
        <w:rPr>
          <w:rFonts w:hint="eastAsia" w:ascii="楷体_GB2312" w:eastAsia="楷体_GB2312" w:cs="楷体_GB2312"/>
          <w:b/>
          <w:bCs/>
          <w:sz w:val="32"/>
          <w:szCs w:val="32"/>
        </w:rPr>
        <w:t>主要职能</w:t>
      </w:r>
      <w:r>
        <w:rPr>
          <w:rFonts w:hint="eastAsia" w:ascii="仿宋_GB2312" w:eastAsia="仿宋_GB2312" w:cs="仿宋_GB2312"/>
          <w:b/>
          <w:color w:val="auto"/>
          <w:sz w:val="32"/>
          <w:szCs w:val="32"/>
        </w:rPr>
        <w:t>。</w:t>
      </w:r>
    </w:p>
    <w:p>
      <w:pPr>
        <w:pStyle w:val="8"/>
        <w:widowControl/>
        <w:spacing w:before="0" w:beforeAutospacing="0" w:after="0" w:afterAutospacing="0" w:line="560" w:lineRule="exact"/>
        <w:ind w:firstLine="640" w:firstLineChars="20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eastAsia="zh-CN"/>
        </w:rPr>
        <w:t>主管全县审计工作。负责对县级财政收支和法律法规规定属于审计监督范围的财务收支的真实、合法和效益进行审计监督，对公共资金、国有资产、国有资源和领导干部履行经济责任情况实行审计全覆盖，对领导干部实行自然资源资产离任审计，对国家和省、州、县有关重大政策措施贯彻落实情况进行跟踪审计。对审计、专项审计调查和核查社会审计机构相关审计报告的结果承担责任，并负有督促被审计单位整改的责任。</w:t>
      </w:r>
    </w:p>
    <w:p>
      <w:pPr>
        <w:pStyle w:val="8"/>
        <w:widowControl/>
        <w:spacing w:before="0" w:beforeAutospacing="0" w:after="0" w:afterAutospacing="0" w:line="560" w:lineRule="exact"/>
        <w:ind w:firstLine="640" w:firstLineChars="20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eastAsia="zh-CN"/>
        </w:rPr>
        <w:t>贯彻执行国家、省、州、县有关审计工作的方针政策和法律法规。制定并组织实施全县专业领域审计工作规划。对直接审计、调查和核查的事项依法进行审计评价，做出审计决定或提出审计建议。</w:t>
      </w:r>
    </w:p>
    <w:p>
      <w:pPr>
        <w:pStyle w:val="8"/>
        <w:widowControl/>
        <w:spacing w:before="0" w:beforeAutospacing="0" w:after="0" w:afterAutospacing="0" w:line="560" w:lineRule="exact"/>
        <w:ind w:firstLine="640" w:firstLineChars="20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eastAsia="zh-CN"/>
        </w:rPr>
        <w:t>向县委审计委员会提出年度县级预算执行和其他财政支出情况审计报告。向县政府和州审计局提出年度县级预算执行及其他财政收支情况的审计结果报告。</w:t>
      </w:r>
    </w:p>
    <w:p>
      <w:pPr>
        <w:pStyle w:val="8"/>
        <w:widowControl/>
        <w:spacing w:before="0" w:beforeAutospacing="0" w:after="0" w:afterAutospacing="0" w:line="560" w:lineRule="exact"/>
        <w:ind w:firstLine="640" w:firstLineChars="20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eastAsia="zh-CN"/>
        </w:rPr>
        <w:t>直接审计下列事项，出具审计报告，在法定职权范围内做出审计决定。包括国家、省、州、县有关重大政策措施贯彻落实情况；县级预算执行和其他财政收支，县直各部门（含直属单位）预算执行情况、决算草案和其他财政收支；乡（镇）政府预算执行情况、决算和其他财政收支，县级财政转移支付资金；使用县级财政资金的事业单位（含直属单位）和社会团体的财务收支；县级政府投资和以县级政府投资为主的建设项目的预算执行情况和决算，县级重大公共工程项目的资金管理使用和建设运营情况以及法律法规规定的其他事项。</w:t>
      </w:r>
    </w:p>
    <w:p>
      <w:pPr>
        <w:pStyle w:val="8"/>
        <w:widowControl/>
        <w:spacing w:before="0" w:beforeAutospacing="0" w:after="0" w:afterAutospacing="0" w:line="560" w:lineRule="exact"/>
        <w:ind w:firstLine="640" w:firstLineChars="20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eastAsia="zh-CN"/>
        </w:rPr>
        <w:t>按规定对县管党政主要领导干部及其他单位主要负责人实施经济责任审计和自然资源资产离任审计。</w:t>
      </w:r>
    </w:p>
    <w:p>
      <w:pPr>
        <w:pStyle w:val="8"/>
        <w:widowControl/>
        <w:spacing w:before="0" w:beforeAutospacing="0" w:after="0" w:afterAutospacing="0" w:line="560" w:lineRule="exact"/>
        <w:ind w:firstLine="640" w:firstLineChars="20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eastAsia="zh-CN"/>
        </w:rPr>
        <w:t>组织实施对国家财经法律法规、规章、政策和宏观调控措施执行情况、财政预算管理及国有资产管理使用等与县级财政收支有关的特定事项进行专项审计调查。</w:t>
      </w:r>
    </w:p>
    <w:p>
      <w:pPr>
        <w:pStyle w:val="8"/>
        <w:widowControl/>
        <w:spacing w:before="0" w:beforeAutospacing="0" w:after="0" w:afterAutospacing="0" w:line="560" w:lineRule="exact"/>
        <w:ind w:firstLine="640" w:firstLineChars="20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eastAsia="zh-CN"/>
        </w:rPr>
        <w:t>依法检查审计决定执行情况，督促整改审计查出的问题，依法办理被审计单位对审计决定提请行政复议、行政诉讼或县政府裁决中的有关事项，协助配合有关部门查处相关重大案件。</w:t>
      </w:r>
    </w:p>
    <w:p>
      <w:pPr>
        <w:pStyle w:val="8"/>
        <w:widowControl/>
        <w:spacing w:before="0" w:beforeAutospacing="0" w:after="0" w:afterAutospacing="0" w:line="560" w:lineRule="exact"/>
        <w:ind w:firstLine="640" w:firstLineChars="20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eastAsia="zh-CN"/>
        </w:rPr>
        <w:t>指导和监督内部审计工作，核查社会审计机构对依法属于审计监督对象的单位出具的相关审计报告。</w:t>
      </w:r>
    </w:p>
    <w:p>
      <w:pPr>
        <w:pStyle w:val="8"/>
        <w:widowControl/>
        <w:spacing w:before="0" w:beforeAutospacing="0" w:after="0" w:afterAutospacing="0" w:line="560" w:lineRule="exact"/>
        <w:ind w:firstLine="640" w:firstLineChars="20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eastAsia="zh-CN"/>
        </w:rPr>
        <w:t>负责实施范围内的安全生产和职业健康、生态环境保护、审批服务便民化等工作。</w:t>
      </w:r>
    </w:p>
    <w:p>
      <w:pPr>
        <w:pStyle w:val="8"/>
        <w:widowControl/>
        <w:spacing w:before="0" w:beforeAutospacing="0" w:after="0" w:afterAutospacing="0" w:line="560" w:lineRule="exact"/>
        <w:ind w:firstLine="640" w:firstLineChars="20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eastAsia="zh-CN"/>
        </w:rPr>
        <w:t>完成县委、县政府交办的其他任务。</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（三）人员概况。</w:t>
      </w:r>
    </w:p>
    <w:p>
      <w:pPr>
        <w:pStyle w:val="8"/>
        <w:widowControl/>
        <w:spacing w:before="0" w:beforeAutospacing="0" w:after="0" w:afterAutospacing="0" w:line="560" w:lineRule="exact"/>
        <w:ind w:firstLine="640" w:firstLineChars="200"/>
        <w:rPr>
          <w:rFonts w:hint="eastAsia" w:ascii="仿宋_GB2312" w:eastAsia="仿宋_GB2312" w:cs="仿宋_GB2312"/>
          <w:kern w:val="2"/>
          <w:sz w:val="32"/>
          <w:szCs w:val="32"/>
          <w:lang w:eastAsia="zh-CN"/>
        </w:rPr>
      </w:pPr>
      <w:r>
        <w:rPr>
          <w:rFonts w:hint="eastAsia" w:ascii="仿宋_GB2312" w:eastAsia="仿宋_GB2312" w:cs="仿宋_GB2312"/>
          <w:kern w:val="2"/>
          <w:sz w:val="32"/>
          <w:szCs w:val="32"/>
          <w:lang w:eastAsia="zh-CN"/>
        </w:rPr>
        <w:t>黑水县审计局属一级预算单位，下属二级预算单位0个，编制9名，行政编制6名，工勤3名。在职人员总数</w:t>
      </w:r>
      <w:r>
        <w:rPr>
          <w:rFonts w:hint="eastAsia" w:ascii="仿宋_GB2312" w:eastAsia="仿宋_GB2312" w:cs="仿宋_GB2312"/>
          <w:kern w:val="2"/>
          <w:sz w:val="32"/>
          <w:szCs w:val="32"/>
          <w:lang w:val="en-US" w:eastAsia="zh-CN"/>
        </w:rPr>
        <w:t>11</w:t>
      </w:r>
      <w:r>
        <w:rPr>
          <w:rFonts w:hint="eastAsia" w:ascii="仿宋_GB2312" w:eastAsia="仿宋_GB2312" w:cs="仿宋_GB2312"/>
          <w:kern w:val="2"/>
          <w:sz w:val="32"/>
          <w:szCs w:val="32"/>
          <w:lang w:eastAsia="zh-CN"/>
        </w:rPr>
        <w:t>人，退休人员7人。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二、部门财政资金收支情况</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eastAsia="仿宋_GB2312" w:cs="仿宋_GB2312"/>
          <w:kern w:val="2"/>
          <w:sz w:val="32"/>
          <w:szCs w:val="32"/>
          <w:lang w:val="en-US" w:eastAsia="zh-CN" w:bidi="ar-SA"/>
        </w:rPr>
      </w:pPr>
      <w:r>
        <w:rPr>
          <w:rFonts w:hint="eastAsia" w:ascii="楷体_GB2312" w:eastAsia="楷体_GB2312" w:cs="楷体_GB2312"/>
          <w:b/>
          <w:bCs/>
          <w:color w:val="auto"/>
          <w:sz w:val="32"/>
          <w:szCs w:val="32"/>
        </w:rPr>
        <w:t>（一）部门财政资金收入情况</w:t>
      </w:r>
      <w:r>
        <w:rPr>
          <w:rFonts w:hint="eastAsia" w:ascii="楷体_GB2312" w:eastAsia="楷体_GB2312" w:cs="楷体_GB2312"/>
          <w:b/>
          <w:bCs/>
          <w:color w:val="auto"/>
          <w:sz w:val="32"/>
          <w:szCs w:val="32"/>
          <w:lang w:eastAsia="zh-CN"/>
        </w:rPr>
        <w:t>。</w:t>
      </w: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年初收入</w:t>
      </w:r>
      <w:r>
        <w:rPr>
          <w:rFonts w:ascii="仿宋_GB2312" w:eastAsia="仿宋_GB2312"/>
          <w:sz w:val="32"/>
          <w:szCs w:val="32"/>
        </w:rPr>
        <w:t>311.91</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较20</w:t>
      </w:r>
      <w:r>
        <w:rPr>
          <w:rFonts w:hint="eastAsia" w:ascii="仿宋_GB2312" w:eastAsia="仿宋_GB2312"/>
          <w:sz w:val="32"/>
          <w:szCs w:val="32"/>
          <w:lang w:val="en-US" w:eastAsia="zh-CN"/>
        </w:rPr>
        <w:t>2</w:t>
      </w:r>
      <w:r>
        <w:rPr>
          <w:rFonts w:ascii="仿宋_GB2312" w:eastAsia="仿宋_GB2312"/>
          <w:sz w:val="32"/>
          <w:szCs w:val="32"/>
          <w:lang w:val="en-US" w:eastAsia="zh-CN"/>
        </w:rPr>
        <w:t>1</w:t>
      </w:r>
      <w:r>
        <w:rPr>
          <w:rFonts w:hint="eastAsia" w:ascii="仿宋_GB2312" w:eastAsia="仿宋_GB2312"/>
          <w:sz w:val="32"/>
          <w:szCs w:val="32"/>
        </w:rPr>
        <w:t>年预算收入</w:t>
      </w:r>
      <w:r>
        <w:rPr>
          <w:rFonts w:ascii="仿宋_GB2312" w:eastAsia="仿宋_GB2312"/>
          <w:sz w:val="32"/>
          <w:szCs w:val="32"/>
        </w:rPr>
        <w:t>240.65</w:t>
      </w:r>
      <w:r>
        <w:rPr>
          <w:rFonts w:hint="eastAsia" w:ascii="仿宋_GB2312" w:eastAsia="仿宋_GB2312"/>
          <w:sz w:val="32"/>
          <w:szCs w:val="32"/>
        </w:rPr>
        <w:t>万元增加了</w:t>
      </w:r>
      <w:r>
        <w:rPr>
          <w:rFonts w:ascii="仿宋_GB2312" w:eastAsia="仿宋_GB2312"/>
          <w:sz w:val="32"/>
          <w:szCs w:val="32"/>
          <w:lang w:val="en-US" w:eastAsia="zh-CN"/>
        </w:rPr>
        <w:t>71.26</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增长</w:t>
      </w:r>
      <w:r>
        <w:rPr>
          <w:rFonts w:ascii="仿宋_GB2312" w:eastAsia="仿宋_GB2312"/>
          <w:sz w:val="32"/>
          <w:szCs w:val="32"/>
        </w:rPr>
        <w:t>29.61</w:t>
      </w:r>
      <w:r>
        <w:rPr>
          <w:rFonts w:hint="eastAsia" w:ascii="仿宋_GB2312" w:eastAsia="仿宋_GB2312"/>
          <w:sz w:val="32"/>
          <w:szCs w:val="32"/>
        </w:rPr>
        <w:t>%。</w:t>
      </w:r>
    </w:p>
    <w:p>
      <w:pPr>
        <w:spacing w:line="600" w:lineRule="exact"/>
        <w:ind w:firstLine="640"/>
        <w:rPr>
          <w:rFonts w:ascii="仿宋_GB2312" w:eastAsia="仿宋_GB2312"/>
          <w:color w:val="000000"/>
          <w:sz w:val="32"/>
          <w:szCs w:val="32"/>
          <w:shd w:val="pct10" w:color="auto" w:fill="FFFFFF"/>
        </w:rPr>
      </w:pPr>
      <w:r>
        <w:rPr>
          <w:rFonts w:hint="eastAsia" w:ascii="楷体_GB2312" w:eastAsia="楷体_GB2312" w:cs="楷体_GB2312"/>
          <w:b/>
          <w:bCs/>
          <w:color w:val="auto"/>
          <w:sz w:val="32"/>
          <w:szCs w:val="32"/>
          <w:lang w:eastAsia="zh-CN"/>
        </w:rPr>
        <w:t>（</w:t>
      </w:r>
      <w:r>
        <w:rPr>
          <w:rFonts w:hint="eastAsia" w:ascii="楷体_GB2312" w:eastAsia="楷体_GB2312" w:cs="楷体_GB2312"/>
          <w:b/>
          <w:bCs/>
          <w:color w:val="auto"/>
          <w:sz w:val="32"/>
          <w:szCs w:val="32"/>
          <w:lang w:val="en-US" w:eastAsia="zh-CN"/>
        </w:rPr>
        <w:t>二</w:t>
      </w:r>
      <w:r>
        <w:rPr>
          <w:rFonts w:hint="eastAsia" w:ascii="楷体_GB2312" w:eastAsia="楷体_GB2312" w:cs="楷体_GB2312"/>
          <w:b/>
          <w:bCs/>
          <w:color w:val="auto"/>
          <w:sz w:val="32"/>
          <w:szCs w:val="32"/>
          <w:lang w:eastAsia="zh-CN"/>
        </w:rPr>
        <w:t>）</w:t>
      </w:r>
      <w:r>
        <w:rPr>
          <w:rFonts w:hint="eastAsia" w:ascii="楷体_GB2312" w:eastAsia="楷体_GB2312" w:cs="楷体_GB2312"/>
          <w:b/>
          <w:bCs/>
          <w:color w:val="auto"/>
          <w:sz w:val="32"/>
          <w:szCs w:val="32"/>
        </w:rPr>
        <w:t>部门财政资金支出情况</w:t>
      </w:r>
      <w:r>
        <w:rPr>
          <w:rFonts w:hint="eastAsia" w:ascii="楷体_GB2312" w:eastAsia="楷体_GB2312" w:cs="楷体_GB2312"/>
          <w:b/>
          <w:bCs/>
          <w:color w:val="auto"/>
          <w:sz w:val="32"/>
          <w:szCs w:val="32"/>
          <w:lang w:eastAsia="zh-CN"/>
        </w:rPr>
        <w:t>。</w:t>
      </w:r>
      <w:r>
        <w:rPr>
          <w:rFonts w:hint="eastAsia" w:ascii="仿宋_GB2312" w:eastAsia="仿宋_GB2312"/>
          <w:color w:val="000000"/>
          <w:sz w:val="32"/>
          <w:szCs w:val="32"/>
        </w:rPr>
        <w:t>202</w:t>
      </w:r>
      <w:r>
        <w:rPr>
          <w:rFonts w:ascii="仿宋_GB2312" w:eastAsia="仿宋_GB2312"/>
          <w:color w:val="000000"/>
          <w:sz w:val="32"/>
          <w:szCs w:val="32"/>
        </w:rPr>
        <w:t>2</w:t>
      </w:r>
      <w:r>
        <w:rPr>
          <w:rFonts w:hint="eastAsia" w:ascii="仿宋_GB2312" w:eastAsia="仿宋_GB2312"/>
          <w:color w:val="000000"/>
          <w:sz w:val="32"/>
          <w:szCs w:val="32"/>
        </w:rPr>
        <w:t>年支出合计</w:t>
      </w:r>
      <w:r>
        <w:rPr>
          <w:rFonts w:ascii="仿宋_GB2312" w:eastAsia="仿宋_GB2312"/>
          <w:color w:val="000000"/>
          <w:sz w:val="32"/>
          <w:szCs w:val="32"/>
        </w:rPr>
        <w:t>370.75</w:t>
      </w:r>
      <w:r>
        <w:rPr>
          <w:rFonts w:hint="eastAsia" w:ascii="仿宋_GB2312" w:eastAsia="仿宋_GB2312"/>
          <w:color w:val="000000"/>
          <w:sz w:val="32"/>
          <w:szCs w:val="32"/>
        </w:rPr>
        <w:t>万元，其基本支出</w:t>
      </w:r>
      <w:r>
        <w:rPr>
          <w:rFonts w:ascii="仿宋_GB2312" w:eastAsia="仿宋_GB2312"/>
          <w:color w:val="000000"/>
          <w:sz w:val="32"/>
          <w:szCs w:val="32"/>
        </w:rPr>
        <w:t>326.77</w:t>
      </w:r>
      <w:r>
        <w:rPr>
          <w:rFonts w:hint="eastAsia" w:ascii="仿宋_GB2312" w:eastAsia="仿宋_GB2312"/>
          <w:color w:val="000000"/>
          <w:sz w:val="32"/>
          <w:szCs w:val="32"/>
        </w:rPr>
        <w:t>万元，占</w:t>
      </w:r>
      <w:r>
        <w:rPr>
          <w:rFonts w:ascii="仿宋_GB2312" w:eastAsia="仿宋_GB2312"/>
          <w:color w:val="000000"/>
          <w:sz w:val="32"/>
          <w:szCs w:val="32"/>
          <w:lang w:val="en-US" w:eastAsia="zh-CN"/>
        </w:rPr>
        <w:t>88.13</w:t>
      </w:r>
      <w:r>
        <w:rPr>
          <w:rFonts w:hint="eastAsia" w:ascii="仿宋_GB2312" w:eastAsia="仿宋_GB2312"/>
          <w:color w:val="000000"/>
          <w:sz w:val="32"/>
          <w:szCs w:val="32"/>
        </w:rPr>
        <w:t>%；项目支出</w:t>
      </w:r>
      <w:r>
        <w:rPr>
          <w:rFonts w:ascii="仿宋_GB2312" w:eastAsia="仿宋_GB2312"/>
          <w:color w:val="000000"/>
          <w:sz w:val="32"/>
          <w:szCs w:val="32"/>
        </w:rPr>
        <w:t>43.98</w:t>
      </w:r>
      <w:r>
        <w:rPr>
          <w:rFonts w:hint="eastAsia" w:ascii="仿宋_GB2312" w:eastAsia="仿宋_GB2312"/>
          <w:color w:val="000000"/>
          <w:sz w:val="32"/>
          <w:szCs w:val="32"/>
        </w:rPr>
        <w:t>万元，占</w:t>
      </w:r>
      <w:r>
        <w:rPr>
          <w:rFonts w:ascii="仿宋_GB2312" w:eastAsia="仿宋_GB2312"/>
          <w:color w:val="000000"/>
          <w:sz w:val="32"/>
          <w:szCs w:val="32"/>
          <w:lang w:val="en-US" w:eastAsia="zh-CN"/>
        </w:rPr>
        <w:t>11.86</w:t>
      </w:r>
      <w:r>
        <w:rPr>
          <w:rFonts w:hint="eastAsia" w:ascii="仿宋_GB2312" w:eastAsia="仿宋_GB2312"/>
          <w:color w:val="000000"/>
          <w:sz w:val="32"/>
          <w:szCs w:val="32"/>
        </w:rPr>
        <w:t>%；上缴上级支出0万元，占0%；经营支出0万元，占0%；对附属单位补助支出0万元，占0%。</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黑体" w:eastAsia="黑体" w:cs="黑体"/>
          <w:b/>
          <w:bCs/>
          <w:sz w:val="32"/>
          <w:szCs w:val="32"/>
        </w:rPr>
      </w:pPr>
      <w:r>
        <w:rPr>
          <w:rFonts w:hint="eastAsia" w:ascii="黑体" w:eastAsia="黑体" w:cs="黑体"/>
          <w:b/>
          <w:bCs/>
          <w:sz w:val="32"/>
          <w:szCs w:val="32"/>
          <w:lang w:val="en-US" w:eastAsia="zh-CN"/>
        </w:rPr>
        <w:t>三、</w:t>
      </w:r>
      <w:r>
        <w:rPr>
          <w:rFonts w:hint="eastAsia" w:ascii="黑体" w:eastAsia="黑体" w:cs="黑体"/>
          <w:b/>
          <w:bCs/>
          <w:sz w:val="32"/>
          <w:szCs w:val="32"/>
        </w:rPr>
        <w:t>部门整体预算绩效管理情况</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eastAsia="仿宋_GB2312" w:cs="仿宋_GB2312"/>
          <w:sz w:val="32"/>
          <w:szCs w:val="32"/>
        </w:rPr>
      </w:pPr>
      <w:r>
        <w:rPr>
          <w:rFonts w:hint="eastAsia" w:ascii="楷体_GB2312" w:eastAsia="楷体_GB2312" w:cs="楷体_GB2312"/>
          <w:b/>
          <w:bCs/>
          <w:sz w:val="32"/>
          <w:szCs w:val="32"/>
        </w:rPr>
        <w:t>（一）部门预算管理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lang w:val="zh-CN" w:eastAsia="zh-CN"/>
        </w:rPr>
        <w:t>预算编制情况。</w:t>
      </w:r>
      <w:r>
        <w:rPr>
          <w:rFonts w:hint="eastAsia" w:ascii="仿宋_GB2312" w:eastAsia="仿宋_GB2312"/>
          <w:color w:val="000000"/>
          <w:sz w:val="32"/>
          <w:szCs w:val="32"/>
          <w:lang w:eastAsia="zh-CN"/>
        </w:rPr>
        <w:t>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lang w:eastAsia="zh-CN"/>
        </w:rPr>
        <w:t>年</w:t>
      </w:r>
      <w:r>
        <w:rPr>
          <w:rFonts w:hint="eastAsia" w:ascii="仿宋_GB2312" w:eastAsia="仿宋_GB2312"/>
          <w:color w:val="000000"/>
          <w:sz w:val="32"/>
          <w:szCs w:val="32"/>
          <w:lang w:val="en-US" w:eastAsia="zh-CN"/>
        </w:rPr>
        <w:t>我局</w:t>
      </w:r>
      <w:r>
        <w:rPr>
          <w:rFonts w:hint="eastAsia" w:ascii="仿宋_GB2312" w:eastAsia="仿宋_GB2312"/>
          <w:color w:val="000000"/>
          <w:sz w:val="32"/>
          <w:szCs w:val="32"/>
          <w:lang w:eastAsia="zh-CN"/>
        </w:rPr>
        <w:t>严格按照财政预算编制要求，准确录入相关信息，各项业务经费参照上两年支出和下年预计开展工作情况合理编制，</w:t>
      </w:r>
      <w:r>
        <w:rPr>
          <w:rFonts w:hint="eastAsia" w:ascii="仿宋_GB2312" w:eastAsia="仿宋_GB2312"/>
          <w:color w:val="000000"/>
          <w:sz w:val="32"/>
          <w:szCs w:val="32"/>
          <w:lang w:val="zh-CN" w:eastAsia="zh-CN"/>
        </w:rPr>
        <w:t>较好的完成了</w:t>
      </w:r>
      <w:r>
        <w:rPr>
          <w:rFonts w:hint="eastAsia" w:ascii="仿宋_GB2312" w:eastAsia="仿宋_GB2312"/>
          <w:color w:val="000000"/>
          <w:sz w:val="32"/>
          <w:szCs w:val="32"/>
          <w:lang w:val="en-US" w:eastAsia="zh-CN"/>
        </w:rPr>
        <w:t>县审计局</w:t>
      </w:r>
      <w:r>
        <w:rPr>
          <w:rFonts w:hint="eastAsia" w:ascii="仿宋_GB2312" w:eastAsia="仿宋_GB2312"/>
          <w:color w:val="000000"/>
          <w:sz w:val="32"/>
          <w:szCs w:val="32"/>
          <w:lang w:val="zh-CN" w:eastAsia="zh-CN"/>
        </w:rPr>
        <w:t>预算编制工作，无违规行为</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lang w:val="zh-CN" w:eastAsia="zh-CN"/>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val="zh-CN" w:eastAsia="zh-CN"/>
        </w:rPr>
        <w:t>执行管理情况。</w:t>
      </w:r>
      <w:r>
        <w:rPr>
          <w:rFonts w:hint="eastAsia" w:ascii="仿宋_GB2312" w:eastAsia="仿宋_GB2312"/>
          <w:color w:val="000000"/>
          <w:sz w:val="32"/>
          <w:szCs w:val="32"/>
          <w:lang w:val="en-US" w:eastAsia="zh-CN"/>
        </w:rPr>
        <w:t>我局严格按照规定执行年度预算。</w:t>
      </w:r>
      <w:r>
        <w:rPr>
          <w:rFonts w:hint="eastAsia" w:ascii="仿宋_GB2312" w:eastAsia="仿宋_GB2312"/>
          <w:color w:val="000000"/>
          <w:sz w:val="32"/>
          <w:szCs w:val="32"/>
          <w:lang w:eastAsia="zh-CN"/>
        </w:rPr>
        <w:t>2022年初收入</w:t>
      </w:r>
      <w:r>
        <w:rPr>
          <w:rFonts w:ascii="仿宋_GB2312" w:eastAsia="仿宋_GB2312"/>
          <w:sz w:val="32"/>
          <w:szCs w:val="32"/>
        </w:rPr>
        <w:t>311.91</w:t>
      </w:r>
      <w:r>
        <w:rPr>
          <w:rFonts w:hint="eastAsia" w:ascii="仿宋_GB2312" w:eastAsia="仿宋_GB2312"/>
          <w:sz w:val="32"/>
          <w:szCs w:val="32"/>
        </w:rPr>
        <w:t>万元</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2022年支出数均为</w:t>
      </w:r>
      <w:r>
        <w:rPr>
          <w:rFonts w:ascii="仿宋_GB2312" w:eastAsia="仿宋_GB2312"/>
          <w:color w:val="000000"/>
          <w:sz w:val="32"/>
          <w:szCs w:val="32"/>
        </w:rPr>
        <w:t>370.75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，当年预算支出完成率</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val="zh-CN" w:eastAsia="zh-CN"/>
        </w:rPr>
        <w:t>资金支出和使用完全按照相关规定操作，无违纪现象发生。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lang w:val="zh-CN" w:eastAsia="zh-CN"/>
        </w:rPr>
      </w:pPr>
      <w:r>
        <w:rPr>
          <w:rFonts w:hint="eastAsia" w:ascii="仿宋_GB2312" w:eastAsia="仿宋_GB2312"/>
          <w:color w:val="000000"/>
          <w:sz w:val="32"/>
          <w:szCs w:val="32"/>
          <w:lang w:val="en-US" w:eastAsia="zh-CN"/>
        </w:rPr>
        <w:t>3.综合管理情况。我局现由专人负责预算绩效管理，并</w:t>
      </w:r>
      <w:r>
        <w:rPr>
          <w:rFonts w:hint="eastAsia" w:ascii="仿宋_GB2312" w:eastAsia="仿宋_GB2312"/>
          <w:color w:val="000000"/>
          <w:sz w:val="32"/>
          <w:szCs w:val="32"/>
          <w:lang w:val="zh-CN" w:eastAsia="zh-CN"/>
        </w:rPr>
        <w:t>根据财政局下发的文件要求</w:t>
      </w:r>
      <w:r>
        <w:rPr>
          <w:rFonts w:hint="eastAsia" w:ascii="仿宋_GB2312" w:eastAsia="仿宋_GB2312"/>
          <w:color w:val="000000"/>
          <w:sz w:val="32"/>
          <w:szCs w:val="32"/>
          <w:lang w:val="en-US" w:eastAsia="zh-CN"/>
        </w:rPr>
        <w:t>，建立“预算编制有目标、预算执行有监控、预算完成有评价、评价结果有反馈、反馈结果有应用”的全过程预算绩效管理机制，</w:t>
      </w:r>
      <w:r>
        <w:rPr>
          <w:rFonts w:hint="eastAsia" w:ascii="仿宋_GB2312" w:eastAsia="仿宋_GB2312"/>
          <w:color w:val="000000"/>
          <w:sz w:val="32"/>
          <w:szCs w:val="32"/>
          <w:lang w:val="zh-CN" w:eastAsia="zh-CN"/>
        </w:rPr>
        <w:t>做好财政收支工作，做好预算及决算工作，保证县</w:t>
      </w:r>
      <w:r>
        <w:rPr>
          <w:rFonts w:hint="eastAsia" w:ascii="仿宋_GB2312" w:eastAsia="仿宋_GB2312"/>
          <w:color w:val="000000"/>
          <w:sz w:val="32"/>
          <w:szCs w:val="32"/>
          <w:lang w:val="en-US" w:eastAsia="zh-CN"/>
        </w:rPr>
        <w:t>审计局</w:t>
      </w:r>
      <w:r>
        <w:rPr>
          <w:rFonts w:hint="eastAsia" w:ascii="仿宋_GB2312" w:eastAsia="仿宋_GB2312"/>
          <w:color w:val="000000"/>
          <w:sz w:val="32"/>
          <w:szCs w:val="32"/>
          <w:lang w:val="zh-CN" w:eastAsia="zh-CN"/>
        </w:rPr>
        <w:t>财务工作公开透明规范运行。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我局现已完成部门预算编制工作，绩效目标指向明确，符合国民经济和社会发展规划、结合部门职能及事业发展规划等,特别在数量、质量、成本、时效、效益等方面进行了具体量化。</w:t>
      </w:r>
      <w:r>
        <w:rPr>
          <w:rFonts w:hint="eastAsia" w:ascii="仿宋_GB2312" w:eastAsia="仿宋_GB2312"/>
          <w:color w:val="000000"/>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楷体_GB2312" w:eastAsia="楷体_GB2312" w:cs="楷体_GB2312"/>
          <w:b/>
          <w:bCs/>
          <w:sz w:val="32"/>
          <w:szCs w:val="32"/>
        </w:rPr>
      </w:pPr>
      <w:r>
        <w:rPr>
          <w:rFonts w:hint="eastAsia" w:ascii="楷体_GB2312" w:eastAsia="楷体_GB2312" w:cs="楷体_GB2312"/>
          <w:b/>
          <w:bCs/>
          <w:sz w:val="32"/>
          <w:szCs w:val="32"/>
        </w:rPr>
        <w:t>（二）专项预算管理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color w:val="auto"/>
          <w:sz w:val="32"/>
          <w:szCs w:val="32"/>
          <w:lang w:val="en-US" w:eastAsia="zh-CN"/>
        </w:rPr>
        <w:t>2022年</w:t>
      </w:r>
      <w:r>
        <w:rPr>
          <w:rFonts w:ascii="仿宋_GB2312" w:eastAsia="仿宋_GB2312" w:cs="仿宋_GB2312"/>
          <w:color w:val="auto"/>
          <w:sz w:val="32"/>
          <w:szCs w:val="32"/>
          <w:lang w:val="en-US" w:eastAsia="zh-CN"/>
        </w:rPr>
        <w:t>审计</w:t>
      </w:r>
      <w:r>
        <w:rPr>
          <w:rFonts w:hint="eastAsia" w:ascii="仿宋_GB2312" w:eastAsia="仿宋_GB2312" w:cs="仿宋_GB2312"/>
          <w:color w:val="auto"/>
          <w:sz w:val="32"/>
          <w:szCs w:val="32"/>
          <w:lang w:val="en-US" w:eastAsia="zh-CN"/>
        </w:rPr>
        <w:t>转移支付资金为</w:t>
      </w:r>
      <w:r>
        <w:rPr>
          <w:rFonts w:ascii="仿宋_GB2312" w:eastAsia="仿宋_GB2312" w:cs="仿宋_GB2312"/>
          <w:color w:val="auto"/>
          <w:sz w:val="32"/>
          <w:szCs w:val="32"/>
          <w:lang w:val="en-US" w:eastAsia="zh-CN"/>
        </w:rPr>
        <w:t>5</w:t>
      </w:r>
      <w:r>
        <w:rPr>
          <w:rFonts w:hint="eastAsia" w:ascii="仿宋_GB2312" w:eastAsia="仿宋_GB2312" w:cs="仿宋_GB2312"/>
          <w:color w:val="auto"/>
          <w:sz w:val="32"/>
          <w:szCs w:val="32"/>
          <w:lang w:val="en-US" w:eastAsia="zh-CN"/>
        </w:rPr>
        <w:t>万元，本级资金为</w:t>
      </w:r>
      <w:r>
        <w:rPr>
          <w:rFonts w:ascii="仿宋_GB2312" w:eastAsia="仿宋_GB2312" w:cs="仿宋_GB2312"/>
          <w:color w:val="auto"/>
          <w:sz w:val="32"/>
          <w:szCs w:val="32"/>
          <w:lang w:val="en-US" w:eastAsia="zh-CN"/>
        </w:rPr>
        <w:t>38.98</w:t>
      </w:r>
      <w:r>
        <w:rPr>
          <w:rFonts w:hint="eastAsia" w:ascii="仿宋_GB2312" w:eastAsia="仿宋_GB2312" w:cs="仿宋_GB2312"/>
          <w:color w:val="auto"/>
          <w:sz w:val="32"/>
          <w:szCs w:val="32"/>
          <w:lang w:val="en-US" w:eastAsia="zh-CN"/>
        </w:rPr>
        <w:t>万元，本年项目支付</w:t>
      </w:r>
      <w:r>
        <w:rPr>
          <w:rFonts w:ascii="仿宋_GB2312" w:eastAsia="仿宋_GB2312" w:cs="仿宋_GB2312"/>
          <w:color w:val="auto"/>
          <w:sz w:val="32"/>
          <w:szCs w:val="32"/>
          <w:lang w:val="en-US" w:eastAsia="zh-CN"/>
        </w:rPr>
        <w:t>43.98</w:t>
      </w:r>
      <w:r>
        <w:rPr>
          <w:rFonts w:hint="eastAsia" w:ascii="仿宋_GB2312" w:eastAsia="仿宋_GB2312" w:cs="仿宋_GB2312"/>
          <w:color w:val="auto"/>
          <w:sz w:val="32"/>
          <w:szCs w:val="32"/>
          <w:lang w:val="en-US" w:eastAsia="zh-CN"/>
        </w:rPr>
        <w:t>万元，年末结余0万元。项目经费为</w:t>
      </w:r>
      <w:r>
        <w:rPr>
          <w:rFonts w:ascii="仿宋_GB2312" w:eastAsia="仿宋_GB2312" w:cs="仿宋_GB2312"/>
          <w:color w:val="auto"/>
          <w:sz w:val="32"/>
          <w:szCs w:val="32"/>
          <w:lang w:val="en-US" w:eastAsia="zh-CN"/>
        </w:rPr>
        <w:t>一般行政管理事务</w:t>
      </w:r>
      <w:r>
        <w:rPr>
          <w:rFonts w:hint="eastAsia" w:ascii="仿宋_GB2312" w:eastAsia="仿宋_GB2312" w:cs="仿宋_GB2312"/>
          <w:sz w:val="32"/>
          <w:szCs w:val="32"/>
          <w:lang w:val="en-US" w:eastAsia="zh-CN"/>
        </w:rPr>
        <w:t>、</w:t>
      </w:r>
      <w:r>
        <w:rPr>
          <w:rFonts w:ascii="仿宋_GB2312" w:eastAsia="仿宋_GB2312" w:cs="仿宋_GB2312"/>
          <w:color w:val="auto"/>
          <w:sz w:val="32"/>
          <w:szCs w:val="32"/>
          <w:lang w:val="en-US" w:eastAsia="zh-CN"/>
        </w:rPr>
        <w:t>审计业务，</w:t>
      </w:r>
      <w:r>
        <w:rPr>
          <w:rFonts w:hint="eastAsia" w:ascii="仿宋_GB2312" w:eastAsia="仿宋_GB2312" w:cs="仿宋_GB2312"/>
          <w:sz w:val="32"/>
          <w:szCs w:val="32"/>
          <w:lang w:val="en-US" w:eastAsia="zh-CN"/>
        </w:rPr>
        <w:t>我局严格按照资金用途专款专用。无违规违纪现象发生。</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楷体_GB2312" w:eastAsia="楷体_GB2312" w:cs="楷体_GB2312"/>
          <w:b/>
          <w:bCs/>
          <w:sz w:val="32"/>
          <w:szCs w:val="32"/>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结果应用情况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我</w:t>
      </w:r>
      <w:r>
        <w:rPr>
          <w:rFonts w:hint="eastAsia" w:ascii="仿宋_GB2312" w:eastAsia="仿宋_GB2312" w:cs="仿宋_GB2312"/>
          <w:sz w:val="32"/>
          <w:szCs w:val="32"/>
          <w:lang w:eastAsia="zh-CN"/>
        </w:rPr>
        <w:t>局</w:t>
      </w:r>
      <w:r>
        <w:rPr>
          <w:rFonts w:hint="eastAsia" w:ascii="仿宋_GB2312" w:eastAsia="仿宋_GB2312" w:cs="仿宋_GB2312"/>
          <w:sz w:val="32"/>
          <w:szCs w:val="32"/>
        </w:rPr>
        <w:t>依据财政编审要求,在年度终了后,结合本单位当年全部预算收入、财政拨款收入及支出等,对全口径的资金收入、支出和预算管理、资产管理等工作进行全面总结。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zh-CN" w:eastAsia="zh-CN"/>
        </w:rPr>
      </w:pPr>
      <w:r>
        <w:rPr>
          <w:rFonts w:hint="eastAsia" w:ascii="仿宋_GB2312" w:eastAsia="仿宋_GB2312" w:cs="仿宋_GB2312"/>
          <w:sz w:val="32"/>
          <w:szCs w:val="32"/>
        </w:rPr>
        <w:t>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四、评价结论及建议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（一）评价结论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 w:eastAsia="仿宋" w:cs="楷体_GB2312"/>
          <w:bCs/>
          <w:sz w:val="32"/>
          <w:szCs w:val="32"/>
          <w:lang w:val="zh-CN"/>
        </w:rPr>
        <w:t>我</w:t>
      </w:r>
      <w:r>
        <w:rPr>
          <w:rFonts w:hint="eastAsia" w:ascii="仿宋" w:eastAsia="仿宋" w:cs="楷体_GB2312"/>
          <w:bCs/>
          <w:sz w:val="32"/>
          <w:szCs w:val="32"/>
          <w:lang w:val="en-US" w:eastAsia="zh-CN"/>
        </w:rPr>
        <w:t>局</w:t>
      </w:r>
      <w:r>
        <w:rPr>
          <w:rFonts w:hint="eastAsia" w:ascii="仿宋_GB2312" w:eastAsia="仿宋_GB2312" w:cs="仿宋_GB2312"/>
          <w:sz w:val="32"/>
          <w:szCs w:val="32"/>
          <w:lang w:eastAsia="zh-CN"/>
        </w:rPr>
        <w:t>经过调查研究和科学论证，制定与法律法规、政策和社会发展要求相符的目标任务，目标任务清晰明确，能够体现部门目标任务完成情况和部门预期实现的效益；按照</w:t>
      </w:r>
      <w:r>
        <w:rPr>
          <w:rFonts w:hint="eastAsia" w:ascii="仿宋_GB2312" w:eastAsia="仿宋_GB2312" w:cs="仿宋_GB2312"/>
          <w:sz w:val="32"/>
          <w:szCs w:val="32"/>
          <w:lang w:val="en-US" w:eastAsia="zh-CN"/>
        </w:rPr>
        <w:t>县</w:t>
      </w:r>
      <w:r>
        <w:rPr>
          <w:rFonts w:hint="eastAsia" w:ascii="仿宋_GB2312" w:eastAsia="仿宋_GB2312" w:cs="仿宋_GB2312"/>
          <w:sz w:val="32"/>
          <w:szCs w:val="32"/>
          <w:lang w:eastAsia="zh-CN"/>
        </w:rPr>
        <w:t>财政局预算编制要求，按时完成</w:t>
      </w:r>
      <w:r>
        <w:rPr>
          <w:rFonts w:hint="eastAsia" w:ascii="仿宋_GB2312" w:eastAsia="仿宋_GB2312" w:cs="仿宋_GB2312"/>
          <w:sz w:val="32"/>
          <w:szCs w:val="32"/>
          <w:lang w:val="en-US" w:eastAsia="zh-CN"/>
        </w:rPr>
        <w:t>本部门</w:t>
      </w:r>
      <w:r>
        <w:rPr>
          <w:rFonts w:hint="eastAsia" w:ascii="仿宋_GB2312" w:eastAsia="仿宋_GB2312" w:cs="仿宋_GB2312"/>
          <w:sz w:val="32"/>
          <w:szCs w:val="32"/>
          <w:lang w:eastAsia="zh-CN"/>
        </w:rPr>
        <w:t>的预算编制工作并提交</w:t>
      </w:r>
      <w:r>
        <w:rPr>
          <w:rFonts w:hint="eastAsia" w:ascii="仿宋_GB2312" w:eastAsia="仿宋_GB2312" w:cs="仿宋_GB2312"/>
          <w:sz w:val="32"/>
          <w:szCs w:val="32"/>
          <w:lang w:val="en-US" w:eastAsia="zh-CN"/>
        </w:rPr>
        <w:t>县</w:t>
      </w:r>
      <w:r>
        <w:rPr>
          <w:rFonts w:hint="eastAsia" w:ascii="仿宋_GB2312" w:eastAsia="仿宋_GB2312" w:cs="仿宋_GB2312"/>
          <w:sz w:val="32"/>
          <w:szCs w:val="32"/>
          <w:lang w:eastAsia="zh-CN"/>
        </w:rPr>
        <w:t>财政局，部门预算编制完整、准确、规范；按要求开展预算执行中期评估工作；严格预算执行管理；部门利用资产管理信息系统完成资产占有、使用、处置等动态管理情况，并完成年度国有资产报告编报工作；除涉密信息外，及时向社会公开本部门预算、决算；按要求公开部门整体支出绩效自评报告及其他按要求应公开的绩效信息。按部门职能职责和年度总体目标细化设置履职成效指标；社会公众、相关协同部门、部门管理对象等对部门绩效情况满意度较高；年底基本能够到达年初制定的绩效目标</w:t>
      </w:r>
      <w:r>
        <w:rPr>
          <w:rFonts w:hint="eastAsia" w:ascii="仿宋_GB2312" w:eastAsia="仿宋_GB2312" w:cs="仿宋_GB2312"/>
          <w:sz w:val="32"/>
          <w:szCs w:val="32"/>
          <w:lang w:val="en-US" w:eastAsia="zh-CN"/>
        </w:rPr>
        <w:t>,绩效综合自评95分</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二）</w:t>
      </w:r>
      <w:r>
        <w:rPr>
          <w:rFonts w:hint="eastAsia" w:ascii="楷体_GB2312" w:eastAsia="楷体_GB2312" w:cs="楷体_GB2312"/>
          <w:b/>
          <w:bCs/>
          <w:sz w:val="32"/>
          <w:szCs w:val="32"/>
          <w:lang w:eastAsia="zh-CN"/>
        </w:rPr>
        <w:t>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绩效目标制定不够完善，预算编制不够科学合理。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eastAsia="楷体_GB2312" w:cs="楷体_GB2312"/>
          <w:b/>
          <w:bCs/>
          <w:sz w:val="32"/>
          <w:szCs w:val="32"/>
          <w:lang w:eastAsia="zh-CN"/>
        </w:rPr>
      </w:pP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lang w:eastAsia="zh-CN"/>
        </w:rPr>
        <w:t>改进建议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进一步完善绩效目标填报工作，强化绩效指标实用性。绩效目标是整个预算绩效管理的起点，与部门履职效率形成直接关系，在接下来工作中，严格按照经济型、效率性及效益性原则设置对应指标，提高绩效指标实用性。认真履行预算编报要求，提高预算编报的科学性。严格按照相关预算编报文件要求，结合近年来执行情况，合理编制各项预算，提高预算的科学性和准确性。</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jc w:val="right"/>
        <w:textAlignment w:val="auto"/>
        <w:rPr>
          <w:rFonts w:ascii="Arial" w:hAnsi="Arial"/>
          <w:b w:val="0"/>
          <w:bCs w:val="0"/>
          <w:i w:val="0"/>
          <w:iCs w:val="0"/>
          <w:caps w:val="0"/>
          <w:smallCaps w:val="0"/>
          <w:vanish w:val="0"/>
          <w:color w:val="000000"/>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jc w:val="right"/>
        <w:textAlignment w:val="auto"/>
        <w:rPr>
          <w:rFonts w:ascii="Arial" w:hAnsi="Arial"/>
          <w:b w:val="0"/>
          <w:bCs w:val="0"/>
          <w:i w:val="0"/>
          <w:iCs w:val="0"/>
          <w:caps w:val="0"/>
          <w:smallCaps w:val="0"/>
          <w:vanish w:val="0"/>
          <w:color w:val="000000"/>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jc w:val="right"/>
        <w:textAlignment w:val="auto"/>
        <w:rPr>
          <w:rFonts w:ascii="Arial" w:hAnsi="Arial"/>
          <w:b w:val="0"/>
          <w:bCs w:val="0"/>
          <w:i w:val="0"/>
          <w:iCs w:val="0"/>
          <w:caps w:val="0"/>
          <w:smallCaps w:val="0"/>
          <w:vanish w:val="0"/>
          <w:color w:val="000000"/>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jc w:val="right"/>
        <w:textAlignment w:val="auto"/>
        <w:rPr>
          <w:rFonts w:hint="eastAsia" w:ascii="仿宋_GB2312" w:eastAsia="仿宋_GB2312" w:cs="仿宋_GB2312"/>
          <w:kern w:val="2"/>
          <w:sz w:val="32"/>
          <w:szCs w:val="32"/>
          <w:lang w:val="en-US" w:eastAsia="zh-CN" w:bidi="ar-SA"/>
        </w:rPr>
      </w:pPr>
      <w:r>
        <w:rPr>
          <w:rFonts w:ascii="Arial" w:hAnsi="Arial"/>
          <w:b w:val="0"/>
          <w:bCs w:val="0"/>
          <w:i w:val="0"/>
          <w:iCs w:val="0"/>
          <w:caps w:val="0"/>
          <w:smallCaps w:val="0"/>
          <w:vanish w:val="0"/>
          <w:color w:val="000000"/>
          <w:spacing w:val="0"/>
          <w:sz w:val="24"/>
          <w:szCs w:val="24"/>
        </w:rPr>
        <w:br w:type="textWrapping"/>
      </w:r>
      <w:r>
        <w:rPr>
          <w:rFonts w:hint="eastAsia" w:ascii="仿宋_GB2312" w:eastAsia="仿宋_GB2312" w:cs="仿宋_GB2312"/>
          <w:kern w:val="2"/>
          <w:sz w:val="32"/>
          <w:szCs w:val="32"/>
          <w:lang w:val="en-US" w:eastAsia="zh-CN" w:bidi="ar-SA"/>
        </w:rPr>
        <w:t>黑水县审计局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right"/>
        <w:textAlignment w:val="auto"/>
        <w:rPr>
          <w:rFonts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2023年8月30日</w:t>
      </w:r>
    </w:p>
    <w:bookmarkEnd w:id="1"/>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DejaVu Sans"/>
    <w:panose1 w:val="00000000000000000000"/>
    <w:charset w:val="00"/>
    <w:family w:val="auto"/>
    <w:pitch w:val="default"/>
    <w:sig w:usb0="00000000" w:usb1="00000000" w:usb2="00000000" w:usb3="00000000" w:csb0="00000000" w:csb1="00000000"/>
  </w:font>
  <w:font w:name="方正小标宋简体">
    <w:altName w:val="仿宋_GB2312"/>
    <w:panose1 w:val="02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2390" cy="133350"/>
              <wp:effectExtent l="0" t="0" r="0" b="0"/>
              <wp:wrapNone/>
              <wp:docPr id="1" name="_x0000_s2050"/>
              <wp:cNvGraphicFramePr/>
              <a:graphic xmlns:a="http://schemas.openxmlformats.org/drawingml/2006/main">
                <a:graphicData uri="http://schemas.microsoft.com/office/word/2010/wordprocessingShape">
                  <wps:wsp>
                    <wps:cNvSpPr/>
                    <wps:spPr>
                      <a:xfrm>
                        <a:off x="0" y="0"/>
                        <a:ext cx="72694" cy="133159"/>
                      </a:xfrm>
                      <a:prstGeom prst="rect">
                        <a:avLst/>
                      </a:prstGeom>
                      <a:noFill/>
                      <a:ln w="9525" cap="flat" cmpd="sng">
                        <a:noFill/>
                        <a:prstDash val="solid"/>
                        <a:miter/>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_x0000_s2050" o:spid="_x0000_s1026" o:spt="1" style="position:absolute;left:0pt;margin-top:0pt;height:10.5pt;width:5.7pt;mso-position-horizontal:center;mso-position-horizontal-relative:margin;mso-wrap-style:none;z-index:251659264;mso-width-relative:page;mso-height-relative:page;" filled="f" stroked="f" coordsize="21600,21600" o:gfxdata="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yGpc7tEAAAADAQAADwAAAAAAAAABACAAAAA4AAAAZHJz&#10;L2Rvd25yZXYueG1sUEsBAhQAFAAAAAgAh07iQDlh9Pb1AQAA9AMAAA4AAAAAAAAAAQAgAAAANgEA&#10;AGRycy9lMm9Eb2MueG1sUEsFBgAAAAAGAAYAWQEAAJ0FAAAAAA==&#10;">
              <v:fill on="f" focussize="0,0"/>
              <v:stroke on="f" joinstyle="miter"/>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MTRjYTc5ZGQ5YzlkY2Q3Y2RiZTdmODY2YWIwNjQ2MDkifQ=="/>
  </w:docVars>
  <w:rsids>
    <w:rsidRoot w:val="00000000"/>
    <w:rsid w:val="FBCF9F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Calibri" w:hAnsi="Calibri" w:eastAsia="宋体" w:cs="Arial"/>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paragraph" w:styleId="7">
    <w:name w:val="table of figures"/>
    <w:basedOn w:val="1"/>
    <w:next w:val="1"/>
    <w:qFormat/>
    <w:uiPriority w:val="0"/>
    <w:pPr>
      <w:ind w:left="400" w:leftChars="200" w:hanging="200" w:hangingChars="200"/>
    </w:pPr>
  </w:style>
  <w:style w:type="paragraph" w:styleId="8">
    <w:name w:val="Normal (Web)"/>
    <w:basedOn w:val="1"/>
    <w:qFormat/>
    <w:uiPriority w:val="0"/>
    <w:pPr>
      <w:spacing w:before="100" w:beforeAutospacing="1" w:after="100" w:afterAutospacing="1"/>
      <w:jc w:val="left"/>
    </w:pPr>
    <w:rPr>
      <w:rFonts w:eastAsia="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Sky123.Org</Company>
  <Pages>6</Pages>
  <Words>2505</Words>
  <Characters>2604</Characters>
  <Lines>122</Lines>
  <Paragraphs>41</Paragraphs>
  <TotalTime>27</TotalTime>
  <ScaleCrop>false</ScaleCrop>
  <LinksUpToDate>false</LinksUpToDate>
  <CharactersWithSpaces>2606</CharactersWithSpaces>
  <Application>WPS Office_11.1.0.10702_F1E327BC-269C-435d-A152-05C5408002CA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2023-10-09T15:38:09Z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C0FD8F207129418E957F274EA98D553D</vt:lpwstr>
  </property>
</Properties>
</file>