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u w:val="single" w:color="FF0000"/>
        </w:rPr>
      </w:pPr>
      <w:bookmarkStart w:id="0" w:name="_Toc15396616"/>
      <w:r>
        <w:rPr>
          <w:rFonts w:ascii="宋体" w:eastAsia="宋体" w:cs="宋体"/>
          <w:u w:val="single" w:color="FF0000"/>
        </w:rPr>
        <w:drawing>
          <wp:anchor distT="0" distB="0" distL="114300" distR="114300" simplePos="0" relativeHeight="251659264" behindDoc="0" locked="0" layoutInCell="1" allowOverlap="1">
            <wp:simplePos x="0" y="0"/>
            <wp:positionH relativeFrom="column">
              <wp:posOffset>-542925</wp:posOffset>
            </wp:positionH>
            <wp:positionV relativeFrom="paragraph">
              <wp:posOffset>122555</wp:posOffset>
            </wp:positionV>
            <wp:extent cx="6686550" cy="145796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6686550" cy="1457960"/>
                    </a:xfrm>
                    <a:prstGeom prst="rect">
                      <a:avLst/>
                    </a:prstGeom>
                    <a:noFill/>
                    <a:ln w="9525" cap="flat" cmpd="sng">
                      <a:noFill/>
                      <a:prstDash val="solid"/>
                      <a:round/>
                    </a:ln>
                  </pic:spPr>
                </pic:pic>
              </a:graphicData>
            </a:graphic>
          </wp:anchor>
        </w:drawing>
      </w: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val="0"/>
          <w:bCs/>
          <w:sz w:val="44"/>
          <w:szCs w:val="44"/>
          <w:lang w:val="en-US" w:eastAsia="zh-CN"/>
        </w:rPr>
      </w:pPr>
      <w:r>
        <w:rPr>
          <w:rFonts w:hint="eastAsia" w:ascii="方正小标宋_GBK" w:eastAsia="方正小标宋_GBK" w:cs="方正小标宋_GBK"/>
          <w:b w:val="0"/>
          <w:bCs/>
          <w:sz w:val="44"/>
          <w:szCs w:val="44"/>
          <w:lang w:val="en-US" w:eastAsia="zh-CN"/>
        </w:rPr>
        <w:t>黑水县审计局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sz w:val="44"/>
          <w:szCs w:val="44"/>
        </w:rPr>
      </w:pPr>
      <w:r>
        <w:rPr>
          <w:rFonts w:hint="eastAsia" w:ascii="方正小标宋_GBK" w:eastAsia="方正小标宋_GBK" w:cs="方正小标宋_GBK"/>
          <w:b w:val="0"/>
          <w:bCs/>
          <w:sz w:val="44"/>
          <w:szCs w:val="44"/>
        </w:rPr>
        <w:t>20</w:t>
      </w:r>
      <w:r>
        <w:rPr>
          <w:rFonts w:hint="eastAsia" w:ascii="方正小标宋_GBK" w:eastAsia="方正小标宋_GBK" w:cs="方正小标宋_GBK"/>
          <w:b w:val="0"/>
          <w:bCs/>
          <w:sz w:val="44"/>
          <w:szCs w:val="44"/>
          <w:lang w:val="en-US" w:eastAsia="zh-CN"/>
        </w:rPr>
        <w:t>23</w:t>
      </w:r>
      <w:r>
        <w:rPr>
          <w:rFonts w:hint="eastAsia" w:ascii="方正小标宋_GBK" w:eastAsia="方正小标宋_GBK" w:cs="方正小标宋_GBK"/>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（一）机构组成。</w:t>
      </w:r>
    </w:p>
    <w:p>
      <w:pPr>
        <w:pStyle w:val="8"/>
        <w:widowControl/>
        <w:spacing w:before="0" w:beforeAutospacing="0" w:after="0" w:afterAutospacing="0" w:line="560" w:lineRule="exact"/>
        <w:ind w:firstLine="640" w:firstLineChars="200"/>
        <w:rPr>
          <w:rFonts w:hint="eastAsia" w:ascii="仿宋_GB2312" w:eastAsia="仿宋_GB2312" w:cs="仿宋_GB2312"/>
          <w:sz w:val="32"/>
          <w:szCs w:val="32"/>
        </w:rPr>
      </w:pPr>
      <w:r>
        <w:rPr>
          <w:rFonts w:hint="eastAsia" w:ascii="仿宋_GB2312" w:eastAsia="仿宋_GB2312" w:cs="仿宋_GB2312"/>
          <w:kern w:val="2"/>
          <w:sz w:val="32"/>
          <w:szCs w:val="32"/>
        </w:rPr>
        <w:t>办公室负责文电、财务、信访、干部人事、国有资产管理等机关日常运转工</w:t>
      </w:r>
      <w:r>
        <w:rPr>
          <w:rFonts w:hint="eastAsia" w:ascii="仿宋_GB2312" w:eastAsia="仿宋_GB2312" w:cs="仿宋_GB2312"/>
          <w:sz w:val="32"/>
          <w:szCs w:val="32"/>
        </w:rPr>
        <w:t>作。审计股承担机关有关规范性文件的合法性审查工作、规章草案工作，承担机关行政复议、行政应诉等工作。组织开展普法宣传、依法行政工作。</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eastAsia="仿宋_GB2312" w:cs="仿宋_GB2312"/>
          <w:b/>
          <w:color w:val="auto"/>
          <w:sz w:val="32"/>
          <w:szCs w:val="32"/>
        </w:rPr>
      </w:pPr>
      <w:r>
        <w:rPr>
          <w:rFonts w:hint="eastAsia" w:ascii="楷体_GB2312" w:eastAsia="楷体_GB2312" w:cs="楷体_GB2312"/>
          <w:b/>
          <w:bCs/>
          <w:sz w:val="32"/>
          <w:szCs w:val="32"/>
          <w:lang w:eastAsia="zh-CN"/>
        </w:rPr>
        <w:t>（二）</w:t>
      </w:r>
      <w:r>
        <w:rPr>
          <w:rFonts w:hint="eastAsia" w:ascii="楷体_GB2312" w:eastAsia="楷体_GB2312" w:cs="楷体_GB2312"/>
          <w:b/>
          <w:bCs/>
          <w:sz w:val="32"/>
          <w:szCs w:val="32"/>
        </w:rPr>
        <w:t>主要职能</w:t>
      </w:r>
      <w:r>
        <w:rPr>
          <w:rFonts w:hint="eastAsia" w:ascii="仿宋_GB2312" w:eastAsia="仿宋_GB2312" w:cs="仿宋_GB2312"/>
          <w:b/>
          <w:color w:val="auto"/>
          <w:sz w:val="32"/>
          <w:szCs w:val="32"/>
        </w:rPr>
        <w:t>。</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州、县有关重大政策措施贯彻落实情况进行跟踪审计。对审计、专项审计调查和核查社会审计机构相关审计报告的结果承担责任，并负有督促被审计单位整改的责任。</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贯彻执行国家、省、州、县有关审计工作的方针政策和法律法规。制定并组织实施全县专业领域审计工作规划。对直接审计、调查和核查的事项依法进行审计评价，</w:t>
      </w:r>
      <w:r>
        <w:rPr>
          <w:rFonts w:hint="default" w:ascii="仿宋_GB2312" w:eastAsia="仿宋_GB2312" w:cs="仿宋_GB2312"/>
          <w:kern w:val="2"/>
          <w:sz w:val="32"/>
          <w:szCs w:val="32"/>
          <w:lang w:eastAsia="zh-CN"/>
        </w:rPr>
        <w:t>作</w:t>
      </w:r>
      <w:r>
        <w:rPr>
          <w:rFonts w:hint="eastAsia" w:ascii="仿宋_GB2312" w:eastAsia="仿宋_GB2312" w:cs="仿宋_GB2312"/>
          <w:kern w:val="2"/>
          <w:sz w:val="32"/>
          <w:szCs w:val="32"/>
          <w:lang w:eastAsia="zh-CN"/>
        </w:rPr>
        <w:t>出审计决定或提出审计建议。</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向县委审计委员会提出年度县级预算执行和其他财政支出情况审计报告。向县政府和州审计局提出年度县级预算执行及其他财政收支情况的审计结果报告。</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直接审计下列事项，出具审计报告，在法定职权范围内</w:t>
      </w:r>
      <w:r>
        <w:rPr>
          <w:rFonts w:hint="default" w:ascii="仿宋_GB2312" w:eastAsia="仿宋_GB2312" w:cs="仿宋_GB2312"/>
          <w:kern w:val="2"/>
          <w:sz w:val="32"/>
          <w:szCs w:val="32"/>
          <w:lang w:eastAsia="zh-CN"/>
        </w:rPr>
        <w:t>作</w:t>
      </w:r>
      <w:r>
        <w:rPr>
          <w:rFonts w:hint="eastAsia" w:ascii="仿宋_GB2312" w:eastAsia="仿宋_GB2312" w:cs="仿宋_GB2312"/>
          <w:kern w:val="2"/>
          <w:sz w:val="32"/>
          <w:szCs w:val="32"/>
          <w:lang w:eastAsia="zh-CN"/>
        </w:rPr>
        <w:t>出审计决定。包括国家、省、州、县有关重大政策措施贯彻落实情况；县级预算执行和其他财政收支，县直各部门（含直属单位）预算执行情况、决算草案和其他财政收支；乡（镇）政府预算执行情况、决算和其他财政收支，县级财政转移支付资金；使用县级财政资金的事业单位（含直属单位）和社会团体的财务收支；县级政府投资和以县级政府投资为主的建设项目的预算执行情况和决算，县级重大公共工程项目的资金管理使用和建设运营情况以及法律法规规定的其他事项。</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按规定对县管党政主要领导干部及其他单位主要负责人实施经济责任审计和自然资源资产离任审计。</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组织实施对国家财经法律法规、规章、政策和宏观调控措施执行情况、财政预算管理及国有资产管理使用等与县级财政收支有关的特定事项进行专项审计调查。</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依法检查审计决定执行情况，督促整改审计查出的问题，依法办理被审计单位对审计决定提请行政复议、行政诉讼或县政府裁决中的有关事项，协助配合有关部门查处相关重大案件。</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指导和监督内部审计工作，核查社会审计机构对依法属于审计监督对象的单位出具的相关审计报告。</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负责实施范围内的安全生产和职业健康、生态环境保护、审批服务便民化等工作。</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完成县委、县政府交办的其他任务。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（三）人员概况。</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eastAsia="zh-CN"/>
        </w:rPr>
      </w:pPr>
      <w:r>
        <w:rPr>
          <w:rFonts w:hint="eastAsia" w:ascii="仿宋_GB2312" w:eastAsia="仿宋_GB2312" w:cs="仿宋_GB2312"/>
          <w:kern w:val="2"/>
          <w:sz w:val="32"/>
          <w:szCs w:val="32"/>
          <w:lang w:eastAsia="zh-CN"/>
        </w:rPr>
        <w:t>黑水县审计局属一级预算单位，下属二级预算单位0个，编制9名，行政编制6名，工勤3名。在职人员总数</w:t>
      </w:r>
      <w:r>
        <w:rPr>
          <w:rFonts w:hint="eastAsia" w:ascii="仿宋_GB2312" w:eastAsia="仿宋_GB2312" w:cs="仿宋_GB2312"/>
          <w:kern w:val="2"/>
          <w:sz w:val="32"/>
          <w:szCs w:val="32"/>
          <w:lang w:val="en-US" w:eastAsia="zh-CN"/>
        </w:rPr>
        <w:t>9</w:t>
      </w:r>
      <w:r>
        <w:rPr>
          <w:rFonts w:hint="eastAsia" w:ascii="仿宋_GB2312" w:eastAsia="仿宋_GB2312" w:cs="仿宋_GB2312"/>
          <w:kern w:val="2"/>
          <w:sz w:val="32"/>
          <w:szCs w:val="32"/>
          <w:lang w:eastAsia="zh-CN"/>
        </w:rPr>
        <w:t>人，退休人员7人。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eastAsia="仿宋_GB2312" w:cs="仿宋_GB2312"/>
          <w:kern w:val="2"/>
          <w:sz w:val="32"/>
          <w:szCs w:val="32"/>
          <w:lang w:val="en-US" w:eastAsia="zh-CN" w:bidi="ar-SA"/>
        </w:rPr>
      </w:pPr>
      <w:r>
        <w:rPr>
          <w:rFonts w:hint="eastAsia" w:ascii="楷体_GB2312" w:eastAsia="楷体_GB2312" w:cs="楷体_GB2312"/>
          <w:b/>
          <w:bCs/>
          <w:color w:val="auto"/>
          <w:sz w:val="32"/>
          <w:szCs w:val="32"/>
        </w:rPr>
        <w:t>（一）部门财政资金收入情况</w:t>
      </w:r>
      <w:r>
        <w:rPr>
          <w:rFonts w:hint="eastAsia" w:ascii="楷体_GB2312" w:eastAsia="楷体_GB2312" w:cs="楷体_GB2312"/>
          <w:b/>
          <w:bCs/>
          <w:color w:val="auto"/>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年初收入</w:t>
      </w:r>
      <w:r>
        <w:rPr>
          <w:rFonts w:hint="eastAsia" w:ascii="仿宋_GB2312" w:eastAsia="仿宋_GB2312"/>
          <w:sz w:val="32"/>
          <w:szCs w:val="32"/>
          <w:lang w:val="en-US" w:eastAsia="zh-CN"/>
        </w:rPr>
        <w:t>277.35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较20</w:t>
      </w:r>
      <w:r>
        <w:rPr>
          <w:rFonts w:hint="eastAsia" w:ascii="仿宋_GB2312" w:eastAsia="仿宋_GB2312"/>
          <w:sz w:val="32"/>
          <w:szCs w:val="32"/>
          <w:lang w:val="en-US" w:eastAsia="zh-CN"/>
        </w:rPr>
        <w:t>22</w:t>
      </w:r>
      <w:r>
        <w:rPr>
          <w:rFonts w:hint="eastAsia" w:ascii="仿宋_GB2312" w:eastAsia="仿宋_GB2312"/>
          <w:sz w:val="32"/>
          <w:szCs w:val="32"/>
        </w:rPr>
        <w:t>年预算收入</w:t>
      </w:r>
      <w:r>
        <w:rPr>
          <w:rFonts w:ascii="仿宋_GB2312" w:eastAsia="仿宋_GB2312"/>
          <w:sz w:val="32"/>
          <w:szCs w:val="32"/>
        </w:rPr>
        <w:t>311.91</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33.65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lang w:eastAsia="zh-CN"/>
        </w:rPr>
        <w:t>减少</w:t>
      </w:r>
      <w:r>
        <w:rPr>
          <w:rFonts w:hint="eastAsia" w:ascii="仿宋_GB2312" w:eastAsia="仿宋_GB2312"/>
          <w:sz w:val="32"/>
          <w:szCs w:val="32"/>
          <w:lang w:val="en-US" w:eastAsia="zh-CN"/>
        </w:rPr>
        <w:t>10.78</w:t>
      </w:r>
      <w:r>
        <w:rPr>
          <w:rFonts w:hint="eastAsia" w:ascii="仿宋_GB2312" w:eastAsia="仿宋_GB2312"/>
          <w:sz w:val="32"/>
          <w:szCs w:val="32"/>
        </w:rPr>
        <w:t>%。</w:t>
      </w:r>
    </w:p>
    <w:p>
      <w:pPr>
        <w:spacing w:line="600" w:lineRule="exact"/>
        <w:ind w:firstLine="640"/>
        <w:rPr>
          <w:rFonts w:ascii="仿宋_GB2312" w:eastAsia="仿宋_GB2312"/>
          <w:color w:val="000000"/>
          <w:sz w:val="32"/>
          <w:szCs w:val="32"/>
          <w:shd w:val="pct10" w:color="auto" w:fill="FFFFFF"/>
        </w:rPr>
      </w:pP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lang w:val="en-US" w:eastAsia="zh-CN"/>
        </w:rPr>
        <w:t>二</w:t>
      </w: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rPr>
        <w:t>部门财政资金支出情况</w:t>
      </w:r>
      <w:r>
        <w:rPr>
          <w:rFonts w:hint="eastAsia" w:ascii="楷体_GB2312" w:eastAsia="楷体_GB2312" w:cs="楷体_GB2312"/>
          <w:b/>
          <w:bCs/>
          <w:color w:val="auto"/>
          <w:sz w:val="32"/>
          <w:szCs w:val="32"/>
          <w:lang w:eastAsia="zh-CN"/>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年支出合计286.00万元，其</w:t>
      </w:r>
      <w:r>
        <w:rPr>
          <w:rFonts w:hint="eastAsia" w:ascii="仿宋_GB2312" w:eastAsia="仿宋_GB2312"/>
          <w:color w:val="000000"/>
          <w:sz w:val="32"/>
          <w:szCs w:val="32"/>
          <w:lang w:eastAsia="zh-CN"/>
        </w:rPr>
        <w:t>中：</w:t>
      </w:r>
      <w:r>
        <w:rPr>
          <w:rFonts w:hint="eastAsia" w:ascii="仿宋_GB2312" w:eastAsia="仿宋_GB2312"/>
          <w:color w:val="000000"/>
          <w:sz w:val="32"/>
          <w:szCs w:val="32"/>
        </w:rPr>
        <w:t>基本支出281.00万元，占</w:t>
      </w:r>
      <w:r>
        <w:rPr>
          <w:rFonts w:hint="eastAsia" w:ascii="仿宋_GB2312" w:eastAsia="仿宋_GB2312"/>
          <w:color w:val="000000"/>
          <w:sz w:val="32"/>
          <w:szCs w:val="32"/>
          <w:lang w:val="en-US" w:eastAsia="zh-CN"/>
        </w:rPr>
        <w:t>98.25</w:t>
      </w:r>
      <w:r>
        <w:rPr>
          <w:rFonts w:hint="eastAsia" w:ascii="仿宋_GB2312" w:eastAsia="仿宋_GB2312"/>
          <w:color w:val="000000"/>
          <w:sz w:val="32"/>
          <w:szCs w:val="32"/>
        </w:rPr>
        <w:t>%；项目支出5.00万元，占</w:t>
      </w:r>
      <w:r>
        <w:rPr>
          <w:rFonts w:hint="eastAsia" w:ascii="仿宋_GB2312" w:eastAsia="仿宋_GB2312"/>
          <w:color w:val="000000"/>
          <w:sz w:val="32"/>
          <w:szCs w:val="32"/>
          <w:lang w:val="en-US" w:eastAsia="zh-CN"/>
        </w:rPr>
        <w:t>1.75</w:t>
      </w:r>
      <w:r>
        <w:rPr>
          <w:rFonts w:hint="eastAsia" w:ascii="仿宋_GB2312" w:eastAsia="仿宋_GB2312"/>
          <w:color w:val="000000"/>
          <w:sz w:val="32"/>
          <w:szCs w:val="32"/>
        </w:rPr>
        <w:t>%；上缴上级支出0万元，占0%；经营支出0万元，占0%；对附属单位补助支出0万元，占0%。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黑体" w:eastAsia="黑体" w:cs="黑体"/>
          <w:b/>
          <w:bCs/>
          <w:sz w:val="32"/>
          <w:szCs w:val="32"/>
        </w:rPr>
      </w:pPr>
      <w:r>
        <w:rPr>
          <w:rFonts w:hint="eastAsia" w:ascii="黑体" w:eastAsia="黑体" w:cs="黑体"/>
          <w:b/>
          <w:bCs/>
          <w:sz w:val="32"/>
          <w:szCs w:val="32"/>
          <w:lang w:val="en-US" w:eastAsia="zh-CN"/>
        </w:rPr>
        <w:t>三、</w:t>
      </w:r>
      <w:r>
        <w:rPr>
          <w:rFonts w:hint="eastAsia" w:ascii="黑体" w:eastAsia="黑体" w:cs="黑体"/>
          <w:b/>
          <w:bCs/>
          <w:sz w:val="32"/>
          <w:szCs w:val="32"/>
        </w:rPr>
        <w:t>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val="zh-CN" w:eastAsia="zh-CN"/>
        </w:rPr>
        <w:t>预算编制情况。</w:t>
      </w:r>
      <w:r>
        <w:rPr>
          <w:rFonts w:hint="eastAsia" w:ascii="仿宋_GB2312" w:eastAsia="仿宋_GB2312"/>
          <w:color w:val="000000"/>
          <w:sz w:val="32"/>
          <w:szCs w:val="32"/>
          <w:lang w:eastAsia="zh-CN"/>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年</w:t>
      </w:r>
      <w:r>
        <w:rPr>
          <w:rFonts w:hint="eastAsia" w:ascii="仿宋_GB2312" w:eastAsia="仿宋_GB2312"/>
          <w:color w:val="000000"/>
          <w:sz w:val="32"/>
          <w:szCs w:val="32"/>
          <w:lang w:val="en-US" w:eastAsia="zh-CN"/>
        </w:rPr>
        <w:t>我局</w:t>
      </w:r>
      <w:r>
        <w:rPr>
          <w:rFonts w:hint="eastAsia" w:ascii="仿宋_GB2312" w:eastAsia="仿宋_GB2312"/>
          <w:color w:val="000000"/>
          <w:sz w:val="32"/>
          <w:szCs w:val="32"/>
          <w:lang w:eastAsia="zh-CN"/>
        </w:rPr>
        <w:t>严格按照财政预算编制要求，准确录入相关信息，各项业务经费参照上两年支出和下年预计开展工作情况合理编制，</w:t>
      </w:r>
      <w:r>
        <w:rPr>
          <w:rFonts w:hint="eastAsia" w:ascii="仿宋_GB2312" w:eastAsia="仿宋_GB2312"/>
          <w:color w:val="000000"/>
          <w:sz w:val="32"/>
          <w:szCs w:val="32"/>
          <w:lang w:val="zh-CN" w:eastAsia="zh-CN"/>
        </w:rPr>
        <w:t>较好</w:t>
      </w:r>
      <w:r>
        <w:rPr>
          <w:rFonts w:hint="default" w:ascii="仿宋_GB2312" w:eastAsia="仿宋_GB2312"/>
          <w:color w:val="000000"/>
          <w:sz w:val="32"/>
          <w:szCs w:val="32"/>
          <w:lang w:eastAsia="zh-CN"/>
        </w:rPr>
        <w:t>地</w:t>
      </w:r>
      <w:r>
        <w:rPr>
          <w:rFonts w:hint="eastAsia" w:ascii="仿宋_GB2312" w:eastAsia="仿宋_GB2312"/>
          <w:color w:val="000000"/>
          <w:sz w:val="32"/>
          <w:szCs w:val="32"/>
          <w:lang w:val="zh-CN" w:eastAsia="zh-CN"/>
        </w:rPr>
        <w:t>完成了</w:t>
      </w:r>
      <w:r>
        <w:rPr>
          <w:rFonts w:hint="eastAsia" w:ascii="仿宋_GB2312" w:eastAsia="仿宋_GB2312"/>
          <w:color w:val="000000"/>
          <w:sz w:val="32"/>
          <w:szCs w:val="32"/>
          <w:lang w:val="en-US" w:eastAsia="zh-CN"/>
        </w:rPr>
        <w:t>县审计局</w:t>
      </w:r>
      <w:r>
        <w:rPr>
          <w:rFonts w:hint="eastAsia" w:ascii="仿宋_GB2312" w:eastAsia="仿宋_GB2312"/>
          <w:color w:val="000000"/>
          <w:sz w:val="32"/>
          <w:szCs w:val="32"/>
          <w:lang w:val="zh-CN" w:eastAsia="zh-CN"/>
        </w:rPr>
        <w:t>预算编制工作，无违规行为</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zh-CN"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val="zh-CN" w:eastAsia="zh-CN"/>
        </w:rPr>
        <w:t>执行管理情况。</w:t>
      </w:r>
      <w:r>
        <w:rPr>
          <w:rFonts w:hint="eastAsia" w:ascii="仿宋_GB2312" w:eastAsia="仿宋_GB2312"/>
          <w:color w:val="000000"/>
          <w:sz w:val="32"/>
          <w:szCs w:val="32"/>
          <w:lang w:val="en-US" w:eastAsia="zh-CN"/>
        </w:rPr>
        <w:t>我局严格按照规定执行年度预算。</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年初收入</w:t>
      </w:r>
      <w:r>
        <w:rPr>
          <w:rFonts w:hint="eastAsia" w:ascii="仿宋_GB2312" w:eastAsia="仿宋_GB2312"/>
          <w:sz w:val="32"/>
          <w:szCs w:val="32"/>
          <w:lang w:val="en-US" w:eastAsia="zh-CN"/>
        </w:rPr>
        <w:t>277.35</w:t>
      </w:r>
      <w:r>
        <w:rPr>
          <w:rFonts w:hint="eastAsia" w:ascii="仿宋_GB2312" w:eastAsia="仿宋_GB2312"/>
          <w:sz w:val="32"/>
          <w:szCs w:val="32"/>
        </w:rPr>
        <w:t>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年支出数均为</w:t>
      </w:r>
      <w:r>
        <w:rPr>
          <w:rFonts w:hint="eastAsia" w:ascii="仿宋_GB2312" w:eastAsia="仿宋_GB2312"/>
          <w:color w:val="000000"/>
          <w:sz w:val="32"/>
          <w:szCs w:val="32"/>
        </w:rPr>
        <w:t>286.00万元</w:t>
      </w:r>
      <w:r>
        <w:rPr>
          <w:rFonts w:hint="eastAsia" w:ascii="仿宋_GB2312" w:eastAsia="仿宋_GB2312"/>
          <w:color w:val="000000"/>
          <w:sz w:val="32"/>
          <w:szCs w:val="32"/>
          <w:lang w:eastAsia="zh-CN"/>
        </w:rPr>
        <w:t>，当年预算支出完成率</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val="zh-CN" w:eastAsia="zh-CN"/>
        </w:rPr>
        <w:t>资金支出和使用完全按照相关规定操作，无违纪现象发生。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zh-CN" w:eastAsia="zh-CN"/>
        </w:rPr>
      </w:pPr>
      <w:r>
        <w:rPr>
          <w:rFonts w:hint="eastAsia" w:ascii="仿宋_GB2312" w:eastAsia="仿宋_GB2312"/>
          <w:color w:val="000000"/>
          <w:sz w:val="32"/>
          <w:szCs w:val="32"/>
          <w:lang w:val="en-US" w:eastAsia="zh-CN"/>
        </w:rPr>
        <w:t>3.综合管理情况。我局现由专人负责预算绩效管理，并</w:t>
      </w:r>
      <w:r>
        <w:rPr>
          <w:rFonts w:hint="eastAsia" w:ascii="仿宋_GB2312" w:eastAsia="仿宋_GB2312"/>
          <w:color w:val="000000"/>
          <w:sz w:val="32"/>
          <w:szCs w:val="32"/>
          <w:lang w:val="zh-CN" w:eastAsia="zh-CN"/>
        </w:rPr>
        <w:t>根据财政局下发的文件要求</w:t>
      </w:r>
      <w:r>
        <w:rPr>
          <w:rFonts w:hint="eastAsia" w:ascii="仿宋_GB2312" w:eastAsia="仿宋_GB2312"/>
          <w:color w:val="000000"/>
          <w:sz w:val="32"/>
          <w:szCs w:val="32"/>
          <w:lang w:val="en-US" w:eastAsia="zh-CN"/>
        </w:rPr>
        <w:t>，建立“预算编制有目标、预算执行有监控、预算完成有评价、评价结果有反馈、反馈结果有应用”的全过程预算绩效管理机制，</w:t>
      </w:r>
      <w:r>
        <w:rPr>
          <w:rFonts w:hint="eastAsia" w:ascii="仿宋_GB2312" w:eastAsia="仿宋_GB2312"/>
          <w:color w:val="000000"/>
          <w:sz w:val="32"/>
          <w:szCs w:val="32"/>
          <w:lang w:val="zh-CN" w:eastAsia="zh-CN"/>
        </w:rPr>
        <w:t>做好财政收支工作，做好预算及决算工作，保证县</w:t>
      </w:r>
      <w:r>
        <w:rPr>
          <w:rFonts w:hint="eastAsia" w:ascii="仿宋_GB2312" w:eastAsia="仿宋_GB2312"/>
          <w:color w:val="000000"/>
          <w:sz w:val="32"/>
          <w:szCs w:val="32"/>
          <w:lang w:val="en-US" w:eastAsia="zh-CN"/>
        </w:rPr>
        <w:t>审计局</w:t>
      </w:r>
      <w:r>
        <w:rPr>
          <w:rFonts w:hint="eastAsia" w:ascii="仿宋_GB2312" w:eastAsia="仿宋_GB2312"/>
          <w:color w:val="000000"/>
          <w:sz w:val="32"/>
          <w:szCs w:val="32"/>
          <w:lang w:val="zh-CN" w:eastAsia="zh-CN"/>
        </w:rPr>
        <w:t>财务工作公开透明规范运行。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hint="eastAsia" w:ascii="仿宋_GB2312" w:eastAsia="仿宋_GB2312"/>
          <w:color w:val="00000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2023年</w:t>
      </w:r>
      <w:r>
        <w:rPr>
          <w:rFonts w:ascii="仿宋_GB2312" w:eastAsia="仿宋_GB2312" w:cs="仿宋_GB2312"/>
          <w:color w:val="auto"/>
          <w:sz w:val="32"/>
          <w:szCs w:val="32"/>
          <w:lang w:val="en-US" w:eastAsia="zh-CN"/>
        </w:rPr>
        <w:t>审计</w:t>
      </w:r>
      <w:r>
        <w:rPr>
          <w:rFonts w:hint="eastAsia" w:ascii="仿宋_GB2312" w:eastAsia="仿宋_GB2312" w:cs="仿宋_GB2312"/>
          <w:color w:val="auto"/>
          <w:sz w:val="32"/>
          <w:szCs w:val="32"/>
          <w:lang w:val="en-US" w:eastAsia="zh-CN"/>
        </w:rPr>
        <w:t>转移支付资金为</w:t>
      </w:r>
      <w:r>
        <w:rPr>
          <w:rFonts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val="en-US" w:eastAsia="zh-CN"/>
        </w:rPr>
        <w:t>万元，均为上级补助资金，年末结余0万元。项目经费为</w:t>
      </w:r>
      <w:r>
        <w:rPr>
          <w:rFonts w:ascii="仿宋_GB2312" w:eastAsia="仿宋_GB2312" w:cs="仿宋_GB2312"/>
          <w:color w:val="auto"/>
          <w:sz w:val="32"/>
          <w:szCs w:val="32"/>
          <w:lang w:val="en-US" w:eastAsia="zh-CN"/>
        </w:rPr>
        <w:t>一般行政管理事务</w:t>
      </w:r>
      <w:r>
        <w:rPr>
          <w:rFonts w:hint="eastAsia" w:ascii="仿宋_GB2312" w:eastAsia="仿宋_GB2312" w:cs="仿宋_GB2312"/>
          <w:sz w:val="32"/>
          <w:szCs w:val="32"/>
          <w:lang w:val="en-US" w:eastAsia="zh-CN"/>
        </w:rPr>
        <w:t>、</w:t>
      </w:r>
      <w:r>
        <w:rPr>
          <w:rFonts w:ascii="仿宋_GB2312" w:eastAsia="仿宋_GB2312" w:cs="仿宋_GB2312"/>
          <w:color w:val="auto"/>
          <w:sz w:val="32"/>
          <w:szCs w:val="32"/>
          <w:lang w:val="en-US" w:eastAsia="zh-CN"/>
        </w:rPr>
        <w:t>审计业务，</w:t>
      </w:r>
      <w:r>
        <w:rPr>
          <w:rFonts w:hint="eastAsia" w:ascii="仿宋_GB2312" w:eastAsia="仿宋_GB2312" w:cs="仿宋_GB2312"/>
          <w:sz w:val="32"/>
          <w:szCs w:val="32"/>
          <w:lang w:val="en-US" w:eastAsia="zh-CN"/>
        </w:rPr>
        <w:t>我局严格按照资金用途专款专用。无违规违纪现象发生。</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我</w:t>
      </w:r>
      <w:r>
        <w:rPr>
          <w:rFonts w:hint="eastAsia" w:ascii="仿宋_GB2312" w:eastAsia="仿宋_GB2312" w:cs="仿宋_GB2312"/>
          <w:sz w:val="32"/>
          <w:szCs w:val="32"/>
          <w:lang w:eastAsia="zh-CN"/>
        </w:rPr>
        <w:t>局</w:t>
      </w:r>
      <w:r>
        <w:rPr>
          <w:rFonts w:hint="eastAsia" w:ascii="仿宋_GB2312" w:eastAsia="仿宋_GB2312" w:cs="仿宋_GB2312"/>
          <w:sz w:val="32"/>
          <w:szCs w:val="32"/>
        </w:rPr>
        <w:t>依据财政编审要求,在年度终了后,结合本单位当年全部预算收入、财政拨款收入及支出等,对全口径的资金收入、支出和预算管理、资产管理等工作进行全面总结。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rPr>
        <w:t>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 w:eastAsia="仿宋" w:cs="楷体_GB2312"/>
          <w:bCs/>
          <w:sz w:val="32"/>
          <w:szCs w:val="32"/>
          <w:lang w:val="zh-CN"/>
        </w:rPr>
        <w:t>我</w:t>
      </w:r>
      <w:r>
        <w:rPr>
          <w:rFonts w:hint="eastAsia" w:ascii="仿宋" w:eastAsia="仿宋" w:cs="楷体_GB2312"/>
          <w:bCs/>
          <w:sz w:val="32"/>
          <w:szCs w:val="32"/>
          <w:lang w:val="en-US" w:eastAsia="zh-CN"/>
        </w:rPr>
        <w:t>局</w:t>
      </w:r>
      <w:r>
        <w:rPr>
          <w:rFonts w:hint="eastAsia" w:ascii="仿宋_GB2312"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财政局预算编制要求，按时完成</w:t>
      </w:r>
      <w:r>
        <w:rPr>
          <w:rFonts w:hint="eastAsia" w:ascii="仿宋_GB2312" w:eastAsia="仿宋_GB2312" w:cs="仿宋_GB2312"/>
          <w:sz w:val="32"/>
          <w:szCs w:val="32"/>
          <w:lang w:val="en-US" w:eastAsia="zh-CN"/>
        </w:rPr>
        <w:t>本部门</w:t>
      </w:r>
      <w:r>
        <w:rPr>
          <w:rFonts w:hint="eastAsia" w:ascii="仿宋_GB2312" w:eastAsia="仿宋_GB2312" w:cs="仿宋_GB2312"/>
          <w:sz w:val="32"/>
          <w:szCs w:val="32"/>
          <w:lang w:eastAsia="zh-CN"/>
        </w:rPr>
        <w:t>的预算编制工作并提交</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财政局，</w:t>
      </w:r>
      <w:r>
        <w:rPr>
          <w:rFonts w:hint="default" w:ascii="仿宋_GB2312" w:eastAsia="仿宋_GB2312" w:cs="仿宋_GB2312"/>
          <w:sz w:val="32"/>
          <w:szCs w:val="32"/>
          <w:lang w:eastAsia="zh-CN"/>
        </w:rPr>
        <w:t>确保</w:t>
      </w:r>
      <w:r>
        <w:rPr>
          <w:rFonts w:hint="eastAsia" w:ascii="仿宋_GB2312" w:eastAsia="仿宋_GB2312" w:cs="仿宋_GB2312"/>
          <w:sz w:val="32"/>
          <w:szCs w:val="32"/>
          <w:lang w:eastAsia="zh-CN"/>
        </w:rPr>
        <w:t>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r>
        <w:rPr>
          <w:rFonts w:hint="eastAsia" w:ascii="仿宋_GB2312" w:eastAsia="仿宋_GB2312" w:cs="仿宋_GB2312"/>
          <w:sz w:val="32"/>
          <w:szCs w:val="32"/>
          <w:lang w:val="en-US" w:eastAsia="zh-CN"/>
        </w:rPr>
        <w:t>,绩效综合自评95分</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绩效目标制定不够完善，预算编制不够科学合理。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lang w:eastAsia="zh-CN"/>
        </w:rPr>
        <w:t>改进建议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w:t>
      </w:r>
      <w:r>
        <w:rPr>
          <w:rFonts w:hint="default" w:ascii="仿宋_GB2312" w:eastAsia="仿宋_GB2312" w:cs="仿宋_GB2312"/>
          <w:kern w:val="2"/>
          <w:sz w:val="32"/>
          <w:szCs w:val="32"/>
          <w:lang w:eastAsia="zh-CN" w:bidi="ar-SA"/>
        </w:rPr>
        <w:t>性</w:t>
      </w:r>
      <w:bookmarkStart w:id="1" w:name="_GoBack"/>
      <w:bookmarkEnd w:id="1"/>
      <w:r>
        <w:rPr>
          <w:rFonts w:hint="eastAsia" w:ascii="仿宋_GB2312" w:eastAsia="仿宋_GB2312" w:cs="仿宋_GB2312"/>
          <w:kern w:val="2"/>
          <w:sz w:val="32"/>
          <w:szCs w:val="32"/>
          <w:lang w:val="en-US" w:eastAsia="zh-CN" w:bidi="ar-SA"/>
        </w:rPr>
        <w:t>、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ascii="Arial" w:hAnsi="Arial"/>
          <w:b w:val="0"/>
          <w:bCs w:val="0"/>
          <w:i w:val="0"/>
          <w:iCs w:val="0"/>
          <w:caps w:val="0"/>
          <w:smallCaps w:val="0"/>
          <w:vanish w:val="0"/>
          <w:color w:val="000000"/>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ascii="Arial" w:hAnsi="Arial"/>
          <w:b w:val="0"/>
          <w:bCs w:val="0"/>
          <w:i w:val="0"/>
          <w:iCs w:val="0"/>
          <w:caps w:val="0"/>
          <w:smallCaps w:val="0"/>
          <w:vanish w:val="0"/>
          <w:color w:val="000000"/>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ascii="Arial" w:hAnsi="Arial"/>
          <w:b w:val="0"/>
          <w:bCs w:val="0"/>
          <w:i w:val="0"/>
          <w:iCs w:val="0"/>
          <w:caps w:val="0"/>
          <w:smallCaps w:val="0"/>
          <w:vanish w:val="0"/>
          <w:color w:val="000000"/>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hint="eastAsia" w:ascii="仿宋_GB2312" w:eastAsia="仿宋_GB2312" w:cs="仿宋_GB2312"/>
          <w:kern w:val="2"/>
          <w:sz w:val="32"/>
          <w:szCs w:val="32"/>
          <w:lang w:val="en-US" w:eastAsia="zh-CN" w:bidi="ar-SA"/>
        </w:rPr>
      </w:pPr>
      <w:r>
        <w:rPr>
          <w:rFonts w:ascii="Arial" w:hAnsi="Arial"/>
          <w:b w:val="0"/>
          <w:bCs w:val="0"/>
          <w:i w:val="0"/>
          <w:iCs w:val="0"/>
          <w:caps w:val="0"/>
          <w:smallCaps w:val="0"/>
          <w:vanish w:val="0"/>
          <w:color w:val="000000"/>
          <w:spacing w:val="0"/>
          <w:sz w:val="24"/>
          <w:szCs w:val="24"/>
        </w:rPr>
        <w:br w:type="textWrapping"/>
      </w:r>
      <w:r>
        <w:rPr>
          <w:rFonts w:hint="eastAsia" w:ascii="仿宋_GB2312" w:eastAsia="仿宋_GB2312" w:cs="仿宋_GB2312"/>
          <w:kern w:val="2"/>
          <w:sz w:val="32"/>
          <w:szCs w:val="32"/>
          <w:lang w:val="en-US" w:eastAsia="zh-CN" w:bidi="ar-SA"/>
        </w:rPr>
        <w:t>黑水县审计局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2024年9月25日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仿宋_GB2312"/>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_x0000_s2050"/>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0.5pt;width:5.7pt;mso-position-horizontal:center;mso-position-horizontal-relative:margin;mso-wrap-style:none;z-index:251659264;mso-width-relative:page;mso-height-relative:page;" filled="f" stroked="f" coordsize="21600,21600" o:gfxdata="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yGpc7tEAAAADAQAADwAAAAAAAAABACAAAAA4AAAAZHJz&#10;L2Rvd25yZXYueG1sUEsBAhQAFAAAAAgAh07iQDlh9Pb1AQAA9AMAAA4AAAAAAAAAAQAgAAAANgEA&#10;AGRycy9lMm9Eb2MueG1sUEsFBgAAAAAGAAYAWQEAAJ0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TRjYTc5ZGQ5YzlkY2Q3Y2RiZTdmODY2YWIwNjQ2MDkifQ=="/>
  </w:docVars>
  <w:rsids>
    <w:rsidRoot w:val="00000000"/>
    <w:rsid w:val="09300B06"/>
    <w:rsid w:val="0E142A7A"/>
    <w:rsid w:val="267267AA"/>
    <w:rsid w:val="2BCA3DCE"/>
    <w:rsid w:val="2CCE400E"/>
    <w:rsid w:val="2DD37B2E"/>
    <w:rsid w:val="436E662C"/>
    <w:rsid w:val="47C04D5A"/>
    <w:rsid w:val="6E405E13"/>
    <w:rsid w:val="7EBDF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7">
    <w:name w:val="table of figures"/>
    <w:basedOn w:val="1"/>
    <w:next w:val="1"/>
    <w:qFormat/>
    <w:uiPriority w:val="0"/>
    <w:pPr>
      <w:ind w:left="400" w:leftChars="200" w:hanging="200" w:hangingChars="200"/>
    </w:pPr>
  </w:style>
  <w:style w:type="paragraph" w:styleId="8">
    <w:name w:val="Normal (Web)"/>
    <w:basedOn w:val="1"/>
    <w:qFormat/>
    <w:uiPriority w:val="0"/>
    <w:pPr>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6</Pages>
  <Words>2507</Words>
  <Characters>2604</Characters>
  <Lines>122</Lines>
  <Paragraphs>41</Paragraphs>
  <TotalTime>10</TotalTime>
  <ScaleCrop>false</ScaleCrop>
  <LinksUpToDate>false</LinksUpToDate>
  <CharactersWithSpaces>2604</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2025-06-03T17:12:04Z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C0FD8F207129418E957F274EA98D553D</vt:lpwstr>
  </property>
</Properties>
</file>