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2C5B0">
      <w:pPr>
        <w:spacing w:line="560" w:lineRule="exact"/>
        <w:jc w:val="center"/>
        <w:rPr>
          <w:rFonts w:hint="eastAsia" w:ascii="方正小标宋_GBK" w:eastAsia="方正小标宋_GBK" w:cs="方正小标宋_GBK"/>
          <w:sz w:val="44"/>
          <w:szCs w:val="44"/>
        </w:rPr>
      </w:pPr>
      <w:r>
        <w:rPr>
          <w:sz w:val="44"/>
          <w:szCs w:val="44"/>
        </w:rPr>
        <w:drawing>
          <wp:anchor distT="0" distB="0" distL="114300" distR="114300" simplePos="0" relativeHeight="251659264" behindDoc="0" locked="0" layoutInCell="1" allowOverlap="1">
            <wp:simplePos x="0" y="0"/>
            <wp:positionH relativeFrom="column">
              <wp:posOffset>-593090</wp:posOffset>
            </wp:positionH>
            <wp:positionV relativeFrom="paragraph">
              <wp:posOffset>224790</wp:posOffset>
            </wp:positionV>
            <wp:extent cx="6684645" cy="1457960"/>
            <wp:effectExtent l="0" t="0" r="1905" b="8890"/>
            <wp:wrapSquare wrapText="bothSides"/>
            <wp:docPr id="1"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
                    <pic:cNvPicPr>
                      <a:picLocks noChangeAspect="1"/>
                    </pic:cNvPicPr>
                  </pic:nvPicPr>
                  <pic:blipFill>
                    <a:blip r:embed="rId4"/>
                    <a:stretch>
                      <a:fillRect/>
                    </a:stretch>
                  </pic:blipFill>
                  <pic:spPr>
                    <a:xfrm>
                      <a:off x="0" y="0"/>
                      <a:ext cx="6684645" cy="1457960"/>
                    </a:xfrm>
                    <a:prstGeom prst="rect">
                      <a:avLst/>
                    </a:prstGeom>
                    <a:noFill/>
                    <a:ln>
                      <a:noFill/>
                    </a:ln>
                  </pic:spPr>
                </pic:pic>
              </a:graphicData>
            </a:graphic>
          </wp:anchor>
        </w:drawing>
      </w:r>
    </w:p>
    <w:p w14:paraId="70BA8B67">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w:t>
      </w:r>
      <w:r>
        <w:rPr>
          <w:rFonts w:hint="eastAsia" w:ascii="方正小标宋_GBK" w:eastAsia="方正小标宋_GBK" w:cs="方正小标宋_GBK"/>
          <w:sz w:val="44"/>
          <w:szCs w:val="44"/>
          <w:lang w:eastAsia="zh-CN"/>
        </w:rPr>
        <w:t>审计局</w:t>
      </w:r>
      <w:r>
        <w:rPr>
          <w:rFonts w:hint="eastAsia" w:ascii="方正小标宋_GBK" w:eastAsia="方正小标宋_GBK" w:cs="方正小标宋_GBK"/>
          <w:sz w:val="44"/>
          <w:szCs w:val="44"/>
        </w:rPr>
        <w:t>部门2024年项目支出绩效</w:t>
      </w:r>
    </w:p>
    <w:p w14:paraId="67690138">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自评报告</w:t>
      </w:r>
    </w:p>
    <w:p w14:paraId="6C97AAAB">
      <w:pPr>
        <w:spacing w:line="580" w:lineRule="exact"/>
        <w:ind w:firstLine="640" w:firstLineChars="200"/>
        <w:rPr>
          <w:rFonts w:ascii="仿宋_GB2312" w:hAnsi="仿宋" w:eastAsia="仿宋_GB2312" w:cs="仿宋_GB2312"/>
          <w:sz w:val="32"/>
          <w:szCs w:val="32"/>
        </w:rPr>
      </w:pPr>
    </w:p>
    <w:p w14:paraId="0E574EA2">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一、评价工作开展及项目情况</w:t>
      </w:r>
    </w:p>
    <w:p w14:paraId="319689D2">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（一）项目基本情况</w:t>
      </w:r>
    </w:p>
    <w:p w14:paraId="27E3DF4C">
      <w:pPr>
        <w:adjustRightInd w:val="0"/>
        <w:snapToGrid w:val="0"/>
        <w:spacing w:line="520" w:lineRule="exact"/>
        <w:ind w:firstLine="640" w:firstLineChars="200"/>
        <w:rPr>
          <w:rFonts w:ascii="仿宋_GB2312" w:hAnsi="仿宋_GB2312" w:eastAsia="仿宋_GB2312" w:cs="仿宋_GB2312"/>
          <w:color w:val="333333"/>
          <w:sz w:val="32"/>
          <w:szCs w:val="32"/>
          <w:lang w:val="zh-CN"/>
        </w:rPr>
      </w:pPr>
      <w:r>
        <w:rPr>
          <w:rFonts w:hint="eastAsia" w:ascii="仿宋_GB2312" w:hAnsi="仿宋_GB2312" w:eastAsia="仿宋_GB2312" w:cs="仿宋_GB2312"/>
          <w:color w:val="333333"/>
          <w:sz w:val="32"/>
          <w:szCs w:val="32"/>
          <w:lang w:val="zh-CN"/>
        </w:rPr>
        <w:t>1、专项转移支付资金：主要用于：财经资金审计、专项资金审计、经济责任、自然资源、内审、跟踪审计、审计整改等日常工作开展的经费。</w:t>
      </w:r>
    </w:p>
    <w:p w14:paraId="05DDCF84">
      <w:pPr>
        <w:pStyle w:val="13"/>
        <w:spacing w:line="540" w:lineRule="exact"/>
        <w:ind w:firstLine="640" w:firstLineChars="200"/>
        <w:rPr>
          <w:rFonts w:hint="eastAsia" w:ascii="仿宋_GB2312" w:hAnsi="仿宋_GB2312" w:eastAsia="仿宋_GB2312" w:cs="仿宋_GB2312"/>
          <w:color w:val="333333"/>
          <w:kern w:val="2"/>
          <w:sz w:val="32"/>
          <w:szCs w:val="32"/>
          <w:lang w:val="zh-CN" w:eastAsia="zh-CN" w:bidi="ar-SA"/>
        </w:rPr>
      </w:pPr>
      <w:r>
        <w:rPr>
          <w:rFonts w:hint="eastAsia" w:ascii="仿宋_GB2312" w:hAnsi="仿宋_GB2312" w:eastAsia="仿宋_GB2312" w:cs="仿宋_GB2312"/>
          <w:color w:val="333333"/>
          <w:kern w:val="2"/>
          <w:sz w:val="32"/>
          <w:szCs w:val="32"/>
          <w:lang w:val="zh-CN" w:eastAsia="zh-CN" w:bidi="ar-SA"/>
        </w:rPr>
        <w:t>2、购置办公用品：主要用于日常工作开展，提高办公效率。</w:t>
      </w:r>
    </w:p>
    <w:p w14:paraId="7B98A4AC">
      <w:pPr>
        <w:rPr>
          <w:rFonts w:hint="default"/>
          <w:lang w:val="en-US" w:eastAsia="zh-CN"/>
        </w:rPr>
      </w:pPr>
      <w:r>
        <w:rPr>
          <w:rFonts w:hint="eastAsia" w:ascii="仿宋_GB2312" w:hAnsi="仿宋_GB2312" w:eastAsia="仿宋_GB2312" w:cs="仿宋_GB2312"/>
          <w:color w:val="333333"/>
          <w:kern w:val="2"/>
          <w:sz w:val="32"/>
          <w:szCs w:val="32"/>
          <w:lang w:val="en-US" w:eastAsia="zh-CN" w:bidi="ar-SA"/>
        </w:rPr>
        <w:t xml:space="preserve">    3、维修会议室：主要用于开展日常工作，提高办公环境。</w:t>
      </w:r>
    </w:p>
    <w:p w14:paraId="0AF35157">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（二）自评工作开展情况</w:t>
      </w:r>
    </w:p>
    <w:p w14:paraId="763F9696">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项目采取自评方式，成立项目自评小组，结合评价内容，做到有计划，有安排，扎实开展本次自评工作。按照预算下达的项目支出绩效评价指标体系，针对申报内容、实施情况、资金兑现、财务管理、社会效益等做出自我评价，做好自评工作。</w:t>
      </w:r>
    </w:p>
    <w:p w14:paraId="391D01DF">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二、评价结论及绩效分析</w:t>
      </w:r>
    </w:p>
    <w:p w14:paraId="6DC19010">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（一）评价结论</w:t>
      </w:r>
    </w:p>
    <w:p w14:paraId="712FAE5D">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根据绩效评价指标体系，2024年自评得分为9</w:t>
      </w:r>
      <w:r>
        <w:rPr>
          <w:rFonts w:hint="eastAsia" w:ascii="仿宋_GB2312" w:hAnsi="仿宋" w:eastAsia="仿宋_GB2312" w:cs="仿宋"/>
          <w:sz w:val="32"/>
          <w:szCs w:val="32"/>
          <w:lang w:val="en-US" w:eastAsia="zh-CN"/>
        </w:rPr>
        <w:t>2</w:t>
      </w:r>
      <w:r>
        <w:rPr>
          <w:rFonts w:hint="eastAsia" w:ascii="仿宋_GB2312" w:hAnsi="仿宋" w:eastAsia="仿宋_GB2312" w:cs="仿宋"/>
          <w:sz w:val="32"/>
          <w:szCs w:val="32"/>
        </w:rPr>
        <w:t>分，评价等级为“优”。我局财务管理制度健全，设置了分管领导、会计、出纳，按照财务管理制度，严格执行“收支两条线”管理，会计人员依照合法、有效的会计凭证进行账务处理，会计核算规范，会计处理按照规定的要素完整准确地反映各项业务活动，做到账账、账表、账单相符。资金拨付具有完整的审批程序和手续，不存在截留、挤占、挪用、虚列支出等情况，确保资金使用效益、资金安全。</w:t>
      </w:r>
    </w:p>
    <w:p w14:paraId="70D0B5EF">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（二）绩效分析</w:t>
      </w:r>
    </w:p>
    <w:p w14:paraId="2AD2B79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1.项目决策</w:t>
      </w:r>
    </w:p>
    <w:p w14:paraId="18CAD02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（1）决策程序。</w:t>
      </w:r>
      <w:r>
        <w:rPr>
          <w:rFonts w:hint="eastAsia" w:ascii="仿宋_GB2312" w:hAnsi="仿宋" w:eastAsia="仿宋_GB2312" w:cs="仿宋_GB2312"/>
          <w:sz w:val="32"/>
          <w:szCs w:val="32"/>
          <w:lang w:eastAsia="zh-CN"/>
        </w:rPr>
        <w:t>办公设备采购</w:t>
      </w:r>
      <w:r>
        <w:rPr>
          <w:rFonts w:hint="eastAsia" w:ascii="仿宋_GB2312" w:hAnsi="仿宋" w:eastAsia="仿宋_GB2312" w:cs="仿宋_GB2312"/>
          <w:sz w:val="32"/>
          <w:szCs w:val="32"/>
        </w:rPr>
        <w:t>，经过局务会通过，申报程序合理，按规定开展事前评估论证、与部门“三定”方案确定的职责和部门中长期发展规划相匹配，符合部门年度工作任务。</w:t>
      </w:r>
    </w:p>
    <w:p w14:paraId="4DABF7A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（2）目标设置。在设置</w:t>
      </w:r>
      <w:r>
        <w:rPr>
          <w:rFonts w:hint="eastAsia" w:ascii="仿宋_GB2312" w:hAnsi="仿宋" w:eastAsia="仿宋_GB2312" w:cs="仿宋_GB2312"/>
          <w:sz w:val="32"/>
          <w:szCs w:val="32"/>
          <w:lang w:eastAsia="zh-CN"/>
        </w:rPr>
        <w:t>办公设备采购</w:t>
      </w:r>
      <w:r>
        <w:rPr>
          <w:rFonts w:hint="eastAsia" w:ascii="仿宋_GB2312" w:hAnsi="仿宋" w:eastAsia="仿宋_GB2312" w:cs="仿宋_GB2312"/>
          <w:sz w:val="32"/>
          <w:szCs w:val="32"/>
        </w:rPr>
        <w:t>绩效目标时，根据202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年度工作总结及2024年度工作计划、部门职能职责、重点工作安排部署等资料设定部门预算绩效目标，绩效目标设置科学合理，规范完整，量化细化，与预算匹配。</w:t>
      </w:r>
    </w:p>
    <w:p w14:paraId="0F96684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2.项目管理</w:t>
      </w:r>
    </w:p>
    <w:p w14:paraId="1C893721">
      <w:pPr>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 w:eastAsia="仿宋_GB2312" w:cs="仿宋_GB2312"/>
          <w:sz w:val="32"/>
          <w:szCs w:val="32"/>
        </w:rPr>
        <w:t>（1）资金分配情况。①</w:t>
      </w:r>
      <w:r>
        <w:rPr>
          <w:rFonts w:hint="eastAsia" w:ascii="仿宋_GB2312" w:hAnsi="仿宋" w:eastAsia="仿宋_GB2312" w:cs="仿宋_GB2312"/>
          <w:sz w:val="32"/>
          <w:szCs w:val="32"/>
          <w:lang w:eastAsia="zh-CN"/>
        </w:rPr>
        <w:t>专项转移支付</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上级下达</w:t>
      </w:r>
      <w:r>
        <w:rPr>
          <w:rFonts w:hint="eastAsia" w:ascii="仿宋_GB2312" w:hAnsi="仿宋" w:eastAsia="仿宋_GB2312" w:cs="仿宋_GB2312"/>
          <w:sz w:val="32"/>
          <w:szCs w:val="32"/>
        </w:rPr>
        <w:t>资金申报</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万元，资金批复</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万元，到位率100%；②</w:t>
      </w:r>
      <w:r>
        <w:rPr>
          <w:rFonts w:hint="eastAsia" w:ascii="仿宋_GB2312" w:hAnsi="宋体" w:eastAsia="仿宋_GB2312"/>
          <w:sz w:val="32"/>
          <w:szCs w:val="32"/>
          <w:lang w:eastAsia="zh-CN"/>
        </w:rPr>
        <w:t>办公设备采购</w:t>
      </w:r>
      <w:r>
        <w:rPr>
          <w:rFonts w:ascii="仿宋_GB2312" w:hAnsi="宋体" w:eastAsia="仿宋_GB2312"/>
          <w:sz w:val="32"/>
          <w:szCs w:val="32"/>
        </w:rPr>
        <w:t>项目</w:t>
      </w:r>
      <w:r>
        <w:rPr>
          <w:rFonts w:hint="eastAsia" w:ascii="仿宋_GB2312" w:hAnsi="宋体" w:eastAsia="仿宋_GB2312"/>
          <w:sz w:val="32"/>
          <w:szCs w:val="32"/>
        </w:rPr>
        <w:t>；</w:t>
      </w:r>
      <w:r>
        <w:rPr>
          <w:rFonts w:hint="eastAsia" w:ascii="仿宋_GB2312" w:hAnsi="仿宋" w:eastAsia="仿宋_GB2312" w:cs="仿宋_GB2312"/>
          <w:sz w:val="32"/>
          <w:szCs w:val="32"/>
        </w:rPr>
        <w:t>资金申报</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万元，资金批复</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万元，到位率</w:t>
      </w:r>
      <w:r>
        <w:rPr>
          <w:rFonts w:hint="eastAsia" w:ascii="仿宋_GB2312" w:hAnsi="仿宋" w:eastAsia="仿宋_GB2312" w:cs="仿宋_GB2312"/>
          <w:sz w:val="32"/>
          <w:szCs w:val="32"/>
          <w:lang w:val="en-US" w:eastAsia="zh-CN"/>
        </w:rPr>
        <w:t>10</w:t>
      </w:r>
      <w:r>
        <w:rPr>
          <w:rFonts w:hint="eastAsia" w:ascii="仿宋_GB2312" w:hAnsi="仿宋" w:eastAsia="仿宋_GB2312" w:cs="仿宋_GB2312"/>
          <w:sz w:val="32"/>
          <w:szCs w:val="32"/>
        </w:rPr>
        <w:t>0%；</w:t>
      </w:r>
      <w:r>
        <w:rPr>
          <w:rFonts w:hint="default" w:ascii="Calibri" w:hAnsi="Calibri" w:eastAsia="仿宋_GB2312" w:cs="Calibri"/>
          <w:sz w:val="32"/>
          <w:szCs w:val="32"/>
        </w:rPr>
        <w:t>③</w:t>
      </w:r>
      <w:r>
        <w:rPr>
          <w:rFonts w:hint="eastAsia" w:ascii="Calibri" w:hAnsi="Calibri" w:eastAsia="仿宋_GB2312" w:cs="Calibri"/>
          <w:sz w:val="32"/>
          <w:szCs w:val="32"/>
          <w:lang w:eastAsia="zh-CN"/>
        </w:rPr>
        <w:t>会议室维修，申报资金</w:t>
      </w:r>
      <w:r>
        <w:rPr>
          <w:rFonts w:hint="eastAsia" w:ascii="Calibri" w:hAnsi="Calibri" w:eastAsia="仿宋_GB2312" w:cs="Calibri"/>
          <w:sz w:val="32"/>
          <w:szCs w:val="32"/>
          <w:lang w:val="en-US" w:eastAsia="zh-CN"/>
        </w:rPr>
        <w:t>8.5万元，到位资金8.5万元，到位率100%。</w:t>
      </w:r>
    </w:p>
    <w:p w14:paraId="29DF6E36">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rPr>
        <w:t>（2）资金使用情况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①</w:t>
      </w:r>
      <w:r>
        <w:rPr>
          <w:rFonts w:hint="eastAsia" w:ascii="仿宋_GB2312" w:hAnsi="仿宋" w:eastAsia="仿宋_GB2312" w:cs="仿宋_GB2312"/>
          <w:sz w:val="32"/>
          <w:szCs w:val="32"/>
          <w:lang w:eastAsia="zh-CN"/>
        </w:rPr>
        <w:t>专项转移支付</w:t>
      </w:r>
      <w:r>
        <w:rPr>
          <w:rFonts w:hint="eastAsia" w:ascii="仿宋_GB2312" w:hAnsi="仿宋" w:eastAsia="仿宋_GB2312" w:cs="仿宋_GB2312"/>
          <w:sz w:val="32"/>
          <w:szCs w:val="32"/>
        </w:rPr>
        <w:t>，资金下达</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万元，中期调整</w:t>
      </w:r>
      <w:r>
        <w:rPr>
          <w:rFonts w:hint="eastAsia" w:ascii="仿宋_GB2312" w:hAnsi="仿宋" w:eastAsia="仿宋_GB2312" w:cs="仿宋_GB2312"/>
          <w:sz w:val="32"/>
          <w:szCs w:val="32"/>
          <w:lang w:val="en-US" w:eastAsia="zh-CN"/>
        </w:rPr>
        <w:t>0</w:t>
      </w:r>
      <w:r>
        <w:rPr>
          <w:rFonts w:hint="eastAsia" w:ascii="仿宋_GB2312" w:hAnsi="仿宋" w:eastAsia="仿宋_GB2312" w:cs="仿宋_GB2312"/>
          <w:sz w:val="32"/>
          <w:szCs w:val="32"/>
        </w:rPr>
        <w:t>万元，支出</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万元，支出率100%；②</w:t>
      </w:r>
      <w:r>
        <w:rPr>
          <w:rFonts w:hint="eastAsia" w:ascii="仿宋_GB2312" w:hAnsi="宋体" w:eastAsia="仿宋_GB2312"/>
          <w:sz w:val="32"/>
          <w:szCs w:val="32"/>
          <w:lang w:eastAsia="zh-CN"/>
        </w:rPr>
        <w:t>办公设备采购</w:t>
      </w:r>
      <w:r>
        <w:rPr>
          <w:rFonts w:ascii="仿宋_GB2312" w:hAnsi="宋体" w:eastAsia="仿宋_GB2312"/>
          <w:sz w:val="32"/>
          <w:szCs w:val="32"/>
        </w:rPr>
        <w:t>项目</w:t>
      </w:r>
      <w:r>
        <w:rPr>
          <w:rFonts w:hint="eastAsia" w:ascii="仿宋_GB2312" w:hAnsi="宋体" w:eastAsia="仿宋_GB2312"/>
          <w:sz w:val="32"/>
          <w:szCs w:val="32"/>
          <w:lang w:val="en-US" w:eastAsia="zh-CN"/>
        </w:rPr>
        <w:t>,</w:t>
      </w:r>
      <w:r>
        <w:rPr>
          <w:rFonts w:hint="eastAsia" w:ascii="仿宋_GB2312" w:hAnsi="仿宋" w:eastAsia="仿宋_GB2312" w:cs="仿宋_GB2312"/>
          <w:sz w:val="32"/>
          <w:szCs w:val="32"/>
        </w:rPr>
        <w:t>资金下达</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万元，已支出</w:t>
      </w:r>
      <w:r>
        <w:rPr>
          <w:rFonts w:hint="eastAsia" w:ascii="仿宋_GB2312" w:hAnsi="仿宋" w:eastAsia="仿宋_GB2312" w:cs="仿宋_GB2312"/>
          <w:sz w:val="32"/>
          <w:szCs w:val="32"/>
          <w:lang w:val="en-US" w:eastAsia="zh-CN"/>
        </w:rPr>
        <w:t>5.95</w:t>
      </w:r>
      <w:r>
        <w:rPr>
          <w:rFonts w:hint="eastAsia" w:ascii="仿宋_GB2312" w:hAnsi="仿宋" w:eastAsia="仿宋_GB2312" w:cs="仿宋_GB2312"/>
          <w:sz w:val="32"/>
          <w:szCs w:val="32"/>
        </w:rPr>
        <w:t>万元，支出率100%</w:t>
      </w:r>
      <w:r>
        <w:rPr>
          <w:rFonts w:hint="eastAsia" w:ascii="仿宋_GB2312" w:hAnsi="仿宋" w:eastAsia="仿宋_GB2312" w:cs="仿宋_GB2312"/>
          <w:sz w:val="32"/>
          <w:szCs w:val="32"/>
          <w:lang w:eastAsia="zh-CN"/>
        </w:rPr>
        <w:t>；</w:t>
      </w:r>
      <w:r>
        <w:rPr>
          <w:rFonts w:hint="default" w:ascii="Calibri" w:hAnsi="Calibri" w:eastAsia="仿宋_GB2312" w:cs="Calibri"/>
          <w:sz w:val="32"/>
          <w:szCs w:val="32"/>
        </w:rPr>
        <w:t>③</w:t>
      </w:r>
      <w:r>
        <w:rPr>
          <w:rFonts w:hint="eastAsia" w:ascii="Calibri" w:hAnsi="Calibri" w:eastAsia="仿宋_GB2312" w:cs="Calibri"/>
          <w:sz w:val="32"/>
          <w:szCs w:val="32"/>
          <w:lang w:eastAsia="zh-CN"/>
        </w:rPr>
        <w:t>会议室维修，</w:t>
      </w:r>
      <w:r>
        <w:rPr>
          <w:rFonts w:hint="eastAsia" w:ascii="仿宋_GB2312" w:hAnsi="仿宋" w:eastAsia="仿宋_GB2312" w:cs="仿宋_GB2312"/>
          <w:sz w:val="32"/>
          <w:szCs w:val="32"/>
        </w:rPr>
        <w:t>资金下达</w:t>
      </w:r>
      <w:r>
        <w:rPr>
          <w:rFonts w:hint="eastAsia" w:ascii="仿宋_GB2312" w:hAnsi="仿宋" w:eastAsia="仿宋_GB2312" w:cs="仿宋_GB2312"/>
          <w:sz w:val="32"/>
          <w:szCs w:val="32"/>
          <w:lang w:val="en-US" w:eastAsia="zh-CN"/>
        </w:rPr>
        <w:t>8.5万元，支出8.5万元，支出率100%。</w:t>
      </w:r>
    </w:p>
    <w:p w14:paraId="20AB3FE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3.项目绩效</w:t>
      </w:r>
    </w:p>
    <w:p w14:paraId="4A3687A5">
      <w:pPr>
        <w:spacing w:line="560" w:lineRule="exact"/>
        <w:ind w:firstLine="640" w:firstLineChars="200"/>
        <w:jc w:val="left"/>
        <w:rPr>
          <w:rFonts w:ascii="仿宋_GB2312" w:hAnsi="仿宋_GB2312" w:cs="仿宋_GB2312"/>
          <w:color w:val="0000FF"/>
          <w:szCs w:val="32"/>
        </w:rPr>
      </w:pPr>
      <w:r>
        <w:rPr>
          <w:rFonts w:hint="eastAsia" w:ascii="仿宋_GB2312" w:hAnsi="仿宋" w:eastAsia="仿宋_GB2312" w:cs="仿宋_GB2312"/>
          <w:sz w:val="32"/>
          <w:szCs w:val="32"/>
        </w:rPr>
        <w:t>根据项目目标完成情况、项目效益情况，并分解为30条绩效指标，其中：数量指标14条、质量指标5条、时效指标3条，可持续影响指标4条，服务对象满意度指标1条、满意度指标3条。具体情况见下表：</w:t>
      </w:r>
    </w:p>
    <w:tbl>
      <w:tblPr>
        <w:tblStyle w:val="7"/>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14:paraId="31B1217D">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A6AE3A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14:paraId="484FD8C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14:paraId="325C858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14:paraId="1726F2F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14:paraId="2DB41DE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14:paraId="205005D1">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2F1E3F5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3A5536C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14:paraId="6BF2D17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大财政审计</w:t>
            </w:r>
          </w:p>
        </w:tc>
        <w:tc>
          <w:tcPr>
            <w:tcW w:w="2190" w:type="dxa"/>
            <w:tcBorders>
              <w:top w:val="nil"/>
              <w:left w:val="nil"/>
              <w:bottom w:val="single" w:color="auto" w:sz="4" w:space="0"/>
              <w:right w:val="single" w:color="auto" w:sz="4" w:space="0"/>
            </w:tcBorders>
            <w:shd w:val="clear" w:color="auto" w:fill="auto"/>
            <w:noWrap/>
            <w:vAlign w:val="bottom"/>
          </w:tcPr>
          <w:p w14:paraId="15D6D0A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7FBE408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80CC2B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9E34B46">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9CA834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22CE33F">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自然资源审计</w:t>
            </w:r>
          </w:p>
        </w:tc>
        <w:tc>
          <w:tcPr>
            <w:tcW w:w="2190" w:type="dxa"/>
            <w:tcBorders>
              <w:top w:val="nil"/>
              <w:left w:val="nil"/>
              <w:bottom w:val="single" w:color="auto" w:sz="4" w:space="0"/>
              <w:right w:val="single" w:color="auto" w:sz="4" w:space="0"/>
            </w:tcBorders>
            <w:shd w:val="clear" w:color="auto" w:fill="auto"/>
            <w:noWrap/>
            <w:vAlign w:val="bottom"/>
          </w:tcPr>
          <w:p w14:paraId="357F2424">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427B27C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2978522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22DA0E0">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34716D7">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5E3875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经济责任审计</w:t>
            </w:r>
          </w:p>
        </w:tc>
        <w:tc>
          <w:tcPr>
            <w:tcW w:w="2190" w:type="dxa"/>
            <w:tcBorders>
              <w:top w:val="nil"/>
              <w:left w:val="nil"/>
              <w:bottom w:val="single" w:color="auto" w:sz="4" w:space="0"/>
              <w:right w:val="single" w:color="auto" w:sz="4" w:space="0"/>
            </w:tcBorders>
            <w:shd w:val="clear" w:color="auto" w:fill="auto"/>
            <w:noWrap/>
            <w:vAlign w:val="bottom"/>
          </w:tcPr>
          <w:p w14:paraId="35DF973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1F8D1E6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6CD5C8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E194CE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951E2F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28949A9">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内部审计</w:t>
            </w:r>
          </w:p>
        </w:tc>
        <w:tc>
          <w:tcPr>
            <w:tcW w:w="2190" w:type="dxa"/>
            <w:tcBorders>
              <w:top w:val="nil"/>
              <w:left w:val="nil"/>
              <w:bottom w:val="single" w:color="auto" w:sz="4" w:space="0"/>
              <w:right w:val="single" w:color="auto" w:sz="4" w:space="0"/>
            </w:tcBorders>
            <w:shd w:val="clear" w:color="auto" w:fill="auto"/>
            <w:noWrap/>
            <w:vAlign w:val="bottom"/>
          </w:tcPr>
          <w:p w14:paraId="5EA0F3DD">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36E3A19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FA13C2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0197B49">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37F711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6682F24">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寺庙审计</w:t>
            </w:r>
          </w:p>
        </w:tc>
        <w:tc>
          <w:tcPr>
            <w:tcW w:w="2190" w:type="dxa"/>
            <w:tcBorders>
              <w:top w:val="nil"/>
              <w:left w:val="nil"/>
              <w:bottom w:val="single" w:color="auto" w:sz="4" w:space="0"/>
              <w:right w:val="single" w:color="auto" w:sz="4" w:space="0"/>
            </w:tcBorders>
            <w:shd w:val="clear" w:color="auto" w:fill="auto"/>
            <w:noWrap/>
            <w:vAlign w:val="bottom"/>
          </w:tcPr>
          <w:p w14:paraId="54CEA4C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≥1个</w:t>
            </w:r>
          </w:p>
        </w:tc>
        <w:tc>
          <w:tcPr>
            <w:tcW w:w="1210" w:type="dxa"/>
            <w:tcBorders>
              <w:top w:val="nil"/>
              <w:left w:val="nil"/>
              <w:bottom w:val="single" w:color="auto" w:sz="4" w:space="0"/>
              <w:right w:val="single" w:color="auto" w:sz="4" w:space="0"/>
            </w:tcBorders>
            <w:shd w:val="clear" w:color="000000" w:fill="FFFFFF"/>
            <w:noWrap/>
            <w:vAlign w:val="bottom"/>
          </w:tcPr>
          <w:p w14:paraId="6D9C87C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A8B6F1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38FC46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76757B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BA6E33E">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固定资产审计</w:t>
            </w:r>
          </w:p>
        </w:tc>
        <w:tc>
          <w:tcPr>
            <w:tcW w:w="2190" w:type="dxa"/>
            <w:tcBorders>
              <w:top w:val="nil"/>
              <w:left w:val="nil"/>
              <w:bottom w:val="single" w:color="auto" w:sz="4" w:space="0"/>
              <w:right w:val="single" w:color="auto" w:sz="4" w:space="0"/>
            </w:tcBorders>
            <w:shd w:val="clear" w:color="auto" w:fill="auto"/>
            <w:noWrap/>
            <w:vAlign w:val="bottom"/>
          </w:tcPr>
          <w:p w14:paraId="3CCCD38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51F7246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5898E8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1818E9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15549F2">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65200D9">
            <w:pPr>
              <w:ind w:firstLine="1050" w:firstLineChars="5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跟踪审计</w:t>
            </w:r>
          </w:p>
        </w:tc>
        <w:tc>
          <w:tcPr>
            <w:tcW w:w="2190" w:type="dxa"/>
            <w:tcBorders>
              <w:top w:val="nil"/>
              <w:left w:val="nil"/>
              <w:bottom w:val="single" w:color="auto" w:sz="4" w:space="0"/>
              <w:right w:val="single" w:color="auto" w:sz="4" w:space="0"/>
            </w:tcBorders>
            <w:shd w:val="clear" w:color="auto" w:fill="auto"/>
            <w:noWrap/>
            <w:vAlign w:val="bottom"/>
          </w:tcPr>
          <w:p w14:paraId="7FE3301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≥2个</w:t>
            </w:r>
          </w:p>
        </w:tc>
        <w:tc>
          <w:tcPr>
            <w:tcW w:w="1210" w:type="dxa"/>
            <w:tcBorders>
              <w:top w:val="nil"/>
              <w:left w:val="nil"/>
              <w:bottom w:val="single" w:color="auto" w:sz="4" w:space="0"/>
              <w:right w:val="single" w:color="auto" w:sz="4" w:space="0"/>
            </w:tcBorders>
            <w:shd w:val="clear" w:color="000000" w:fill="FFFFFF"/>
            <w:noWrap/>
            <w:vAlign w:val="bottom"/>
          </w:tcPr>
          <w:p w14:paraId="54698DE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8208A0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F07E9F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CDC54F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DB351F3">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回头看审计整改情况</w:t>
            </w:r>
          </w:p>
        </w:tc>
        <w:tc>
          <w:tcPr>
            <w:tcW w:w="2190" w:type="dxa"/>
            <w:tcBorders>
              <w:top w:val="nil"/>
              <w:left w:val="nil"/>
              <w:bottom w:val="single" w:color="auto" w:sz="4" w:space="0"/>
              <w:right w:val="single" w:color="auto" w:sz="4" w:space="0"/>
            </w:tcBorders>
            <w:shd w:val="clear" w:color="auto" w:fill="auto"/>
            <w:noWrap/>
            <w:vAlign w:val="bottom"/>
          </w:tcPr>
          <w:p w14:paraId="2D5EDA5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40A3B65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EEBAC9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29E8C09">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1FB35FA">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F7A42E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14:paraId="4477682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19FC443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169DC0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84450DF">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D8CBC3C">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BBDDB87">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部门预算审计</w:t>
            </w:r>
          </w:p>
        </w:tc>
        <w:tc>
          <w:tcPr>
            <w:tcW w:w="2190" w:type="dxa"/>
            <w:tcBorders>
              <w:top w:val="nil"/>
              <w:left w:val="nil"/>
              <w:bottom w:val="single" w:color="auto" w:sz="4" w:space="0"/>
              <w:right w:val="single" w:color="auto" w:sz="4" w:space="0"/>
            </w:tcBorders>
            <w:shd w:val="clear" w:color="auto" w:fill="auto"/>
            <w:noWrap/>
            <w:vAlign w:val="bottom"/>
          </w:tcPr>
          <w:p w14:paraId="125247F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202A18A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D84FA9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A703B9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4D3485C">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43E386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上下联动审计</w:t>
            </w:r>
          </w:p>
        </w:tc>
        <w:tc>
          <w:tcPr>
            <w:tcW w:w="2190" w:type="dxa"/>
            <w:tcBorders>
              <w:top w:val="nil"/>
              <w:left w:val="nil"/>
              <w:bottom w:val="single" w:color="auto" w:sz="4" w:space="0"/>
              <w:right w:val="single" w:color="auto" w:sz="4" w:space="0"/>
            </w:tcBorders>
            <w:shd w:val="clear" w:color="auto" w:fill="auto"/>
            <w:noWrap/>
            <w:vAlign w:val="bottom"/>
          </w:tcPr>
          <w:p w14:paraId="11975D69">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3C50B56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148391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1A4B5C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23EDF44">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48EECEF">
            <w:pPr>
              <w:widowControl/>
              <w:ind w:firstLine="420" w:firstLineChars="200"/>
              <w:jc w:val="both"/>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聘请第三方人员</w:t>
            </w:r>
          </w:p>
        </w:tc>
        <w:tc>
          <w:tcPr>
            <w:tcW w:w="2190" w:type="dxa"/>
            <w:tcBorders>
              <w:top w:val="nil"/>
              <w:left w:val="nil"/>
              <w:bottom w:val="single" w:color="auto" w:sz="4" w:space="0"/>
              <w:right w:val="single" w:color="auto" w:sz="4" w:space="0"/>
            </w:tcBorders>
            <w:shd w:val="clear" w:color="auto" w:fill="auto"/>
            <w:noWrap/>
            <w:vAlign w:val="bottom"/>
          </w:tcPr>
          <w:p w14:paraId="10916FDD">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6</w:t>
            </w:r>
            <w:r>
              <w:rPr>
                <w:rFonts w:hint="eastAsia" w:ascii="宋体" w:hAnsi="宋体" w:cs="宋体"/>
                <w:color w:val="000000"/>
                <w:kern w:val="0"/>
                <w:sz w:val="21"/>
                <w:szCs w:val="21"/>
                <w:lang w:val="en-US" w:eastAsia="zh-CN"/>
              </w:rPr>
              <w:t>人</w:t>
            </w:r>
          </w:p>
        </w:tc>
        <w:tc>
          <w:tcPr>
            <w:tcW w:w="1210" w:type="dxa"/>
            <w:tcBorders>
              <w:top w:val="nil"/>
              <w:left w:val="nil"/>
              <w:bottom w:val="single" w:color="auto" w:sz="4" w:space="0"/>
              <w:right w:val="single" w:color="auto" w:sz="4" w:space="0"/>
            </w:tcBorders>
            <w:shd w:val="clear" w:color="000000" w:fill="FFFFFF"/>
            <w:noWrap/>
            <w:vAlign w:val="bottom"/>
          </w:tcPr>
          <w:p w14:paraId="0CEA796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6人</w:t>
            </w:r>
          </w:p>
        </w:tc>
      </w:tr>
      <w:tr w14:paraId="055C8F2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BB49EFF">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2B8A00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3239D4F">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eastAsia="zh-CN"/>
              </w:rPr>
              <w:t>会议室维修</w:t>
            </w:r>
          </w:p>
        </w:tc>
        <w:tc>
          <w:tcPr>
            <w:tcW w:w="2190" w:type="dxa"/>
            <w:tcBorders>
              <w:top w:val="nil"/>
              <w:left w:val="nil"/>
              <w:bottom w:val="single" w:color="auto" w:sz="4" w:space="0"/>
              <w:right w:val="single" w:color="auto" w:sz="4" w:space="0"/>
            </w:tcBorders>
            <w:shd w:val="clear" w:color="auto" w:fill="auto"/>
            <w:noWrap/>
            <w:vAlign w:val="bottom"/>
          </w:tcPr>
          <w:p w14:paraId="421C096D">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55平方米</w:t>
            </w:r>
          </w:p>
        </w:tc>
        <w:tc>
          <w:tcPr>
            <w:tcW w:w="1210" w:type="dxa"/>
            <w:tcBorders>
              <w:top w:val="nil"/>
              <w:left w:val="nil"/>
              <w:bottom w:val="single" w:color="auto" w:sz="4" w:space="0"/>
              <w:right w:val="single" w:color="auto" w:sz="4" w:space="0"/>
            </w:tcBorders>
            <w:shd w:val="clear" w:color="000000" w:fill="FFFFFF"/>
            <w:noWrap/>
            <w:vAlign w:val="bottom"/>
          </w:tcPr>
          <w:p w14:paraId="2E21F0A8">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55平方米</w:t>
            </w:r>
          </w:p>
        </w:tc>
      </w:tr>
      <w:tr w14:paraId="18064FD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A2D8F2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730F5CE">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ADF0319">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大数据审计项目</w:t>
            </w:r>
          </w:p>
        </w:tc>
        <w:tc>
          <w:tcPr>
            <w:tcW w:w="2190" w:type="dxa"/>
            <w:tcBorders>
              <w:top w:val="nil"/>
              <w:left w:val="nil"/>
              <w:bottom w:val="single" w:color="auto" w:sz="4" w:space="0"/>
              <w:right w:val="single" w:color="auto" w:sz="4" w:space="0"/>
            </w:tcBorders>
            <w:shd w:val="clear" w:color="auto" w:fill="auto"/>
            <w:noWrap/>
            <w:vAlign w:val="bottom"/>
          </w:tcPr>
          <w:p w14:paraId="5AD3484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0EF32BB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5387F42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633F015">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DBB79C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14:paraId="2704519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14:paraId="6CDDC34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14:paraId="2BBDF50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1F4A0EC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E8F6CC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4F85AE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6FC777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14:paraId="46ABEC5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1947EC5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1341001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075DB49">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9B1809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B28CA3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审计项目完成</w:t>
            </w:r>
            <w:r>
              <w:rPr>
                <w:rFonts w:hint="eastAsia" w:ascii="宋体" w:hAnsi="宋体" w:eastAsia="宋体" w:cs="宋体"/>
                <w:color w:val="000000"/>
                <w:kern w:val="0"/>
                <w:sz w:val="21"/>
                <w:szCs w:val="21"/>
              </w:rPr>
              <w:t>时率</w:t>
            </w:r>
          </w:p>
        </w:tc>
        <w:tc>
          <w:tcPr>
            <w:tcW w:w="2190" w:type="dxa"/>
            <w:tcBorders>
              <w:top w:val="nil"/>
              <w:left w:val="nil"/>
              <w:bottom w:val="single" w:color="auto" w:sz="4" w:space="0"/>
              <w:right w:val="single" w:color="auto" w:sz="4" w:space="0"/>
            </w:tcBorders>
            <w:shd w:val="clear" w:color="auto" w:fill="auto"/>
            <w:noWrap/>
            <w:vAlign w:val="bottom"/>
          </w:tcPr>
          <w:p w14:paraId="1D770B8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w:t>
            </w:r>
            <w:bookmarkStart w:id="0" w:name="_GoBack"/>
            <w:bookmarkEnd w:id="0"/>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3C1D960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r>
      <w:tr w14:paraId="14A75E9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61B59D1">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FAE4E3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14:paraId="206588E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项目完成</w:t>
            </w:r>
            <w:r>
              <w:rPr>
                <w:rFonts w:hint="eastAsia" w:ascii="宋体" w:hAnsi="宋体" w:eastAsia="宋体" w:cs="宋体"/>
                <w:color w:val="000000"/>
                <w:kern w:val="0"/>
                <w:sz w:val="21"/>
                <w:szCs w:val="21"/>
              </w:rPr>
              <w:t>时间</w:t>
            </w:r>
          </w:p>
        </w:tc>
        <w:tc>
          <w:tcPr>
            <w:tcW w:w="2190" w:type="dxa"/>
            <w:tcBorders>
              <w:top w:val="nil"/>
              <w:left w:val="nil"/>
              <w:bottom w:val="single" w:color="auto" w:sz="4" w:space="0"/>
              <w:right w:val="single" w:color="auto" w:sz="4" w:space="0"/>
            </w:tcBorders>
            <w:shd w:val="clear" w:color="auto" w:fill="auto"/>
            <w:noWrap/>
            <w:vAlign w:val="bottom"/>
          </w:tcPr>
          <w:p w14:paraId="18D6DED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2024年</w:t>
            </w:r>
          </w:p>
        </w:tc>
        <w:tc>
          <w:tcPr>
            <w:tcW w:w="1210" w:type="dxa"/>
            <w:tcBorders>
              <w:top w:val="nil"/>
              <w:left w:val="nil"/>
              <w:bottom w:val="single" w:color="auto" w:sz="4" w:space="0"/>
              <w:right w:val="single" w:color="auto" w:sz="4" w:space="0"/>
            </w:tcBorders>
            <w:shd w:val="clear" w:color="000000" w:fill="FFFFFF"/>
            <w:noWrap/>
            <w:vAlign w:val="bottom"/>
          </w:tcPr>
          <w:p w14:paraId="4C4AA7D6">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w:t>
            </w:r>
          </w:p>
        </w:tc>
      </w:tr>
      <w:tr w14:paraId="0BDF6AF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1D4FECB">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FBBA78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82C7370">
            <w:pPr>
              <w:widowControl/>
              <w:ind w:firstLine="840" w:firstLineChars="400"/>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项目质量达到</w:t>
            </w:r>
          </w:p>
        </w:tc>
        <w:tc>
          <w:tcPr>
            <w:tcW w:w="2190" w:type="dxa"/>
            <w:tcBorders>
              <w:top w:val="nil"/>
              <w:left w:val="nil"/>
              <w:bottom w:val="single" w:color="auto" w:sz="4" w:space="0"/>
              <w:right w:val="single" w:color="auto" w:sz="4" w:space="0"/>
            </w:tcBorders>
            <w:shd w:val="clear" w:color="auto" w:fill="auto"/>
            <w:noWrap/>
            <w:vAlign w:val="bottom"/>
          </w:tcPr>
          <w:p w14:paraId="66B822F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00CB654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568F124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5F7C46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E9B08EC">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5196AD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审计整改复回头看</w:t>
            </w:r>
          </w:p>
        </w:tc>
        <w:tc>
          <w:tcPr>
            <w:tcW w:w="2190" w:type="dxa"/>
            <w:tcBorders>
              <w:top w:val="nil"/>
              <w:left w:val="nil"/>
              <w:bottom w:val="single" w:color="auto" w:sz="4" w:space="0"/>
              <w:right w:val="single" w:color="auto" w:sz="4" w:space="0"/>
            </w:tcBorders>
            <w:shd w:val="clear" w:color="auto" w:fill="auto"/>
            <w:noWrap/>
            <w:vAlign w:val="bottom"/>
          </w:tcPr>
          <w:p w14:paraId="60D83F3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3D1E90A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579F165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C25A9D1">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DD55330">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936A3D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提出审计建议</w:t>
            </w:r>
          </w:p>
        </w:tc>
        <w:tc>
          <w:tcPr>
            <w:tcW w:w="2190" w:type="dxa"/>
            <w:tcBorders>
              <w:top w:val="nil"/>
              <w:left w:val="nil"/>
              <w:bottom w:val="single" w:color="auto" w:sz="4" w:space="0"/>
              <w:right w:val="single" w:color="auto" w:sz="4" w:space="0"/>
            </w:tcBorders>
            <w:shd w:val="clear" w:color="auto" w:fill="auto"/>
            <w:noWrap/>
            <w:vAlign w:val="bottom"/>
          </w:tcPr>
          <w:p w14:paraId="3F410316">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25条左右</w:t>
            </w:r>
          </w:p>
        </w:tc>
        <w:tc>
          <w:tcPr>
            <w:tcW w:w="1210" w:type="dxa"/>
            <w:tcBorders>
              <w:top w:val="nil"/>
              <w:left w:val="nil"/>
              <w:bottom w:val="single" w:color="auto" w:sz="4" w:space="0"/>
              <w:right w:val="single" w:color="auto" w:sz="4" w:space="0"/>
            </w:tcBorders>
            <w:shd w:val="clear" w:color="000000" w:fill="FFFFFF"/>
            <w:noWrap/>
            <w:vAlign w:val="bottom"/>
          </w:tcPr>
          <w:p w14:paraId="6050A81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w:t>
            </w:r>
          </w:p>
        </w:tc>
      </w:tr>
      <w:tr w14:paraId="7E3F9A9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814B26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09E690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860C294">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审计问题发现在</w:t>
            </w:r>
            <w:r>
              <w:rPr>
                <w:rFonts w:hint="eastAsia" w:ascii="宋体" w:hAnsi="宋体" w:eastAsia="宋体" w:cs="宋体"/>
                <w:color w:val="000000"/>
                <w:kern w:val="0"/>
                <w:sz w:val="21"/>
                <w:szCs w:val="21"/>
                <w:lang w:val="en-US" w:eastAsia="zh-CN"/>
              </w:rPr>
              <w:t>40个左右</w:t>
            </w:r>
          </w:p>
        </w:tc>
        <w:tc>
          <w:tcPr>
            <w:tcW w:w="2190" w:type="dxa"/>
            <w:tcBorders>
              <w:top w:val="nil"/>
              <w:left w:val="nil"/>
              <w:bottom w:val="single" w:color="auto" w:sz="4" w:space="0"/>
              <w:right w:val="single" w:color="auto" w:sz="4" w:space="0"/>
            </w:tcBorders>
            <w:shd w:val="clear" w:color="auto" w:fill="auto"/>
            <w:noWrap/>
            <w:vAlign w:val="bottom"/>
          </w:tcPr>
          <w:p w14:paraId="2044B712">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p>
        </w:tc>
        <w:tc>
          <w:tcPr>
            <w:tcW w:w="1210" w:type="dxa"/>
            <w:tcBorders>
              <w:top w:val="nil"/>
              <w:left w:val="nil"/>
              <w:bottom w:val="single" w:color="auto" w:sz="4" w:space="0"/>
              <w:right w:val="single" w:color="auto" w:sz="4" w:space="0"/>
            </w:tcBorders>
            <w:shd w:val="clear" w:color="000000" w:fill="FFFFFF"/>
            <w:noWrap/>
            <w:vAlign w:val="bottom"/>
          </w:tcPr>
          <w:p w14:paraId="5CBCCD3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p>
        </w:tc>
      </w:tr>
      <w:tr w14:paraId="601CE8A0">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766B0ED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3C892738">
            <w:pPr>
              <w:spacing w:line="240" w:lineRule="exact"/>
              <w:jc w:val="center"/>
            </w:pPr>
            <w:r>
              <w:rPr>
                <w:rFonts w:hint="eastAsia" w:ascii="宋体" w:hAnsi="宋体" w:eastAsia="宋体" w:cs="宋体"/>
                <w:color w:val="000000"/>
                <w:kern w:val="0"/>
                <w:sz w:val="21"/>
                <w:szCs w:val="21"/>
              </w:rPr>
              <w:t>可持续影响指标</w:t>
            </w:r>
          </w:p>
          <w:p w14:paraId="7C56072A">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48F424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审计项目连续性</w:t>
            </w:r>
          </w:p>
        </w:tc>
        <w:tc>
          <w:tcPr>
            <w:tcW w:w="2190" w:type="dxa"/>
            <w:tcBorders>
              <w:top w:val="nil"/>
              <w:left w:val="nil"/>
              <w:bottom w:val="single" w:color="auto" w:sz="4" w:space="0"/>
              <w:right w:val="single" w:color="auto" w:sz="4" w:space="0"/>
            </w:tcBorders>
            <w:shd w:val="clear" w:color="auto" w:fill="auto"/>
            <w:noWrap/>
            <w:vAlign w:val="bottom"/>
          </w:tcPr>
          <w:p w14:paraId="1A3A4CB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677F5E4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14:paraId="55647A6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7609CF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EE61673">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FDB7A0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14:paraId="26EE61B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691173B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1C401D4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E1D0702">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1295397">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2FDE54E">
            <w:pPr>
              <w:widowControl/>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审计整改问题整改合格率</w:t>
            </w:r>
          </w:p>
        </w:tc>
        <w:tc>
          <w:tcPr>
            <w:tcW w:w="2190" w:type="dxa"/>
            <w:tcBorders>
              <w:top w:val="nil"/>
              <w:left w:val="nil"/>
              <w:bottom w:val="single" w:color="auto" w:sz="4" w:space="0"/>
              <w:right w:val="single" w:color="auto" w:sz="4" w:space="0"/>
            </w:tcBorders>
            <w:shd w:val="clear" w:color="auto" w:fill="auto"/>
            <w:noWrap/>
            <w:vAlign w:val="bottom"/>
          </w:tcPr>
          <w:p w14:paraId="21CD471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0D055C4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r>
      <w:tr w14:paraId="7A27833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DC45ED7">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CF9CC30">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DADB86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14:paraId="3CAEA75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14:paraId="31D4870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14:paraId="14F1A281">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158ED20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14:paraId="117F1566">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14:paraId="09EF50D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14:paraId="519C437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14:paraId="3264196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5781BFA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991C6A1">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2B66793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14:paraId="7268EC2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14:paraId="55CA3A0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14:paraId="62C9D11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14:paraId="1209EFE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C8CCBF8">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8BCDBB0">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7ECE0D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w:t>
            </w:r>
            <w:r>
              <w:rPr>
                <w:rFonts w:hint="eastAsia" w:ascii="宋体" w:hAnsi="宋体" w:eastAsia="宋体" w:cs="宋体"/>
                <w:color w:val="000000"/>
                <w:kern w:val="0"/>
                <w:sz w:val="21"/>
                <w:szCs w:val="21"/>
                <w:lang w:eastAsia="zh-CN"/>
              </w:rPr>
              <w:t>审计单位</w:t>
            </w:r>
            <w:r>
              <w:rPr>
                <w:rFonts w:hint="eastAsia" w:ascii="宋体" w:hAnsi="宋体" w:eastAsia="宋体" w:cs="宋体"/>
                <w:color w:val="000000"/>
                <w:kern w:val="0"/>
                <w:sz w:val="21"/>
                <w:szCs w:val="21"/>
              </w:rPr>
              <w:t>的满意度</w:t>
            </w:r>
          </w:p>
        </w:tc>
        <w:tc>
          <w:tcPr>
            <w:tcW w:w="2190" w:type="dxa"/>
            <w:tcBorders>
              <w:top w:val="nil"/>
              <w:left w:val="nil"/>
              <w:bottom w:val="single" w:color="auto" w:sz="4" w:space="0"/>
              <w:right w:val="single" w:color="auto" w:sz="4" w:space="0"/>
            </w:tcBorders>
            <w:shd w:val="clear" w:color="auto" w:fill="auto"/>
            <w:noWrap/>
            <w:vAlign w:val="bottom"/>
          </w:tcPr>
          <w:p w14:paraId="100FDD6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5B34576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14:paraId="1E458FA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D4D3AC0">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E6509C7">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E36493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w:t>
            </w:r>
            <w:r>
              <w:rPr>
                <w:rFonts w:hint="eastAsia" w:ascii="宋体" w:hAnsi="宋体" w:eastAsia="宋体" w:cs="宋体"/>
                <w:color w:val="000000"/>
                <w:kern w:val="0"/>
                <w:sz w:val="21"/>
                <w:szCs w:val="21"/>
                <w:lang w:eastAsia="zh-CN"/>
              </w:rPr>
              <w:t>审计整改单位的</w:t>
            </w:r>
            <w:r>
              <w:rPr>
                <w:rFonts w:hint="eastAsia" w:ascii="宋体" w:hAnsi="宋体" w:eastAsia="宋体" w:cs="宋体"/>
                <w:color w:val="000000"/>
                <w:kern w:val="0"/>
                <w:sz w:val="21"/>
                <w:szCs w:val="21"/>
              </w:rPr>
              <w:t>满意度</w:t>
            </w:r>
          </w:p>
        </w:tc>
        <w:tc>
          <w:tcPr>
            <w:tcW w:w="2190" w:type="dxa"/>
            <w:tcBorders>
              <w:top w:val="nil"/>
              <w:left w:val="nil"/>
              <w:bottom w:val="single" w:color="auto" w:sz="4" w:space="0"/>
              <w:right w:val="single" w:color="auto" w:sz="4" w:space="0"/>
            </w:tcBorders>
            <w:shd w:val="clear" w:color="auto" w:fill="auto"/>
            <w:noWrap/>
            <w:vAlign w:val="bottom"/>
          </w:tcPr>
          <w:p w14:paraId="00118AC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2DDEAB9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14:paraId="5C070E3F">
      <w:pPr>
        <w:spacing w:line="58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三、存在主要问题</w:t>
      </w:r>
    </w:p>
    <w:p w14:paraId="119A42DD">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一是对预算绩效评价工作的重要性认识有待进一步提高，绩效评价制度建设和规范化管理还有待加强；二是项目支出绩效评价指标体系不完善，绩效目标设立不够明确、细化和量化；三是个别支出支付进度安排不够合理。</w:t>
      </w:r>
    </w:p>
    <w:p w14:paraId="7CCC683C">
      <w:pPr>
        <w:spacing w:line="56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四、相关措施建议</w:t>
      </w:r>
    </w:p>
    <w:p w14:paraId="02855041">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一是及时调整和优化本部门后续项目和以后年度预算支出的方向和结构，合理配置资源。二是强化评价结果在项目申报和预算编制中的有效应用。</w:t>
      </w:r>
    </w:p>
    <w:p w14:paraId="7F6C44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2FF" w:usb1="42002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2EC"/>
    <w:rsid w:val="00091233"/>
    <w:rsid w:val="00123D4A"/>
    <w:rsid w:val="00133DE3"/>
    <w:rsid w:val="0021514D"/>
    <w:rsid w:val="002E31B1"/>
    <w:rsid w:val="002F0D42"/>
    <w:rsid w:val="003261D3"/>
    <w:rsid w:val="00361681"/>
    <w:rsid w:val="00364DF4"/>
    <w:rsid w:val="003B0A0D"/>
    <w:rsid w:val="004905C2"/>
    <w:rsid w:val="004C22EC"/>
    <w:rsid w:val="00556593"/>
    <w:rsid w:val="005D2CB0"/>
    <w:rsid w:val="006A1588"/>
    <w:rsid w:val="006C04BA"/>
    <w:rsid w:val="00776592"/>
    <w:rsid w:val="007B38C6"/>
    <w:rsid w:val="007E2904"/>
    <w:rsid w:val="00834677"/>
    <w:rsid w:val="00864984"/>
    <w:rsid w:val="008E5931"/>
    <w:rsid w:val="009042C1"/>
    <w:rsid w:val="00983003"/>
    <w:rsid w:val="009C2CC6"/>
    <w:rsid w:val="00A11D13"/>
    <w:rsid w:val="00A22C71"/>
    <w:rsid w:val="00AA326A"/>
    <w:rsid w:val="00AC5156"/>
    <w:rsid w:val="00B66EFE"/>
    <w:rsid w:val="00C33876"/>
    <w:rsid w:val="00C3738A"/>
    <w:rsid w:val="00C66EE4"/>
    <w:rsid w:val="00CA2658"/>
    <w:rsid w:val="00E02A78"/>
    <w:rsid w:val="00E459BC"/>
    <w:rsid w:val="00ED52C5"/>
    <w:rsid w:val="031206DD"/>
    <w:rsid w:val="08383FB1"/>
    <w:rsid w:val="0B64718D"/>
    <w:rsid w:val="0DF3752C"/>
    <w:rsid w:val="100566B3"/>
    <w:rsid w:val="14B95E54"/>
    <w:rsid w:val="1715006F"/>
    <w:rsid w:val="1B4A3EC4"/>
    <w:rsid w:val="244E01D1"/>
    <w:rsid w:val="327439C4"/>
    <w:rsid w:val="33DA011B"/>
    <w:rsid w:val="358B1B11"/>
    <w:rsid w:val="36CE3589"/>
    <w:rsid w:val="423607D0"/>
    <w:rsid w:val="4A0B0DD8"/>
    <w:rsid w:val="55704B34"/>
    <w:rsid w:val="57B166CC"/>
    <w:rsid w:val="5DBC40E7"/>
    <w:rsid w:val="5EC80F95"/>
    <w:rsid w:val="60BD745C"/>
    <w:rsid w:val="65DE5320"/>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semiHidden/>
    <w:unhideWhenUsed/>
    <w:qFormat/>
    <w:uiPriority w:val="99"/>
    <w:pPr>
      <w:spacing w:after="120"/>
    </w:p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First Indent"/>
    <w:basedOn w:val="3"/>
    <w:link w:val="15"/>
    <w:semiHidden/>
    <w:unhideWhenUsed/>
    <w:qFormat/>
    <w:uiPriority w:val="99"/>
    <w:pPr>
      <w:ind w:firstLine="420" w:firstLineChars="100"/>
    </w:p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2"/>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无间隔1"/>
    <w:basedOn w:val="5"/>
    <w:next w:val="1"/>
    <w:qFormat/>
    <w:uiPriority w:val="99"/>
    <w:pPr>
      <w:pBdr>
        <w:bottom w:val="none" w:color="auto" w:sz="0" w:space="0"/>
      </w:pBdr>
      <w:tabs>
        <w:tab w:val="clear" w:pos="4153"/>
        <w:tab w:val="clear" w:pos="8306"/>
      </w:tabs>
      <w:snapToGrid/>
      <w:spacing w:after="120" w:line="240" w:lineRule="atLeast"/>
      <w:ind w:firstLine="420" w:firstLineChars="100"/>
      <w:jc w:val="both"/>
    </w:pPr>
    <w:rPr>
      <w:rFonts w:ascii="Calibri" w:hAnsi="Calibri" w:eastAsia="宋体" w:cs="Times New Roman"/>
      <w:sz w:val="21"/>
      <w:szCs w:val="21"/>
    </w:rPr>
  </w:style>
  <w:style w:type="character" w:customStyle="1" w:styleId="14">
    <w:name w:val="正文文本 Char"/>
    <w:basedOn w:val="8"/>
    <w:link w:val="3"/>
    <w:semiHidden/>
    <w:qFormat/>
    <w:uiPriority w:val="99"/>
    <w:rPr>
      <w:rFonts w:ascii="Times New Roman" w:hAnsi="Times New Roman" w:eastAsia="宋体" w:cs="Times New Roman"/>
      <w:kern w:val="2"/>
      <w:sz w:val="21"/>
      <w:szCs w:val="24"/>
    </w:rPr>
  </w:style>
  <w:style w:type="character" w:customStyle="1" w:styleId="15">
    <w:name w:val="正文首行缩进 Char"/>
    <w:basedOn w:val="14"/>
    <w:link w:val="6"/>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4</Pages>
  <Words>1501</Words>
  <Characters>1597</Characters>
  <Lines>18</Lines>
  <Paragraphs>5</Paragraphs>
  <TotalTime>1</TotalTime>
  <ScaleCrop>false</ScaleCrop>
  <LinksUpToDate>false</LinksUpToDate>
  <CharactersWithSpaces>1598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未知</cp:lastModifiedBy>
  <dcterms:modified xsi:type="dcterms:W3CDTF">2025-10-20T02:20:22Z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eyJoZGlkIjoiY2I0MTdkNjMwM2ZiMzU5ZjNjYjRmZDAzY2NiZmQwMDEiLCJ1c2VySWQiOiI0NTE4MDU1NzIifQ==</vt:lpwstr>
  </property>
  <property fmtid="{D5CDD505-2E9C-101B-9397-08002B2CF9AE}" pid="4" name="ICV">
    <vt:lpwstr>77AAEB14F20F4A458F69B55873E0BFFD_13</vt:lpwstr>
  </property>
</Properties>
</file>