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AF835">
      <w:pPr>
        <w:spacing w:line="560" w:lineRule="exact"/>
        <w:jc w:val="center"/>
        <w:textAlignment w:val="baseline"/>
        <w:rPr>
          <w:rFonts w:ascii="方正小标宋_GBK" w:eastAsia="方正小标宋_GBK" w:cs="方正小标宋_GBK"/>
          <w:sz w:val="44"/>
          <w:szCs w:val="44"/>
        </w:rPr>
      </w:pPr>
      <w:r>
        <w:rPr>
          <w:rFonts w:ascii="宋体" w:cs="宋体"/>
          <w:u w:val="single" w:color="FF0000"/>
        </w:rPr>
        <w:drawing>
          <wp:anchor distT="0" distB="0" distL="114300" distR="114300" simplePos="0" relativeHeight="251660288" behindDoc="0" locked="0" layoutInCell="1" allowOverlap="1">
            <wp:simplePos x="0" y="0"/>
            <wp:positionH relativeFrom="column">
              <wp:posOffset>-542925</wp:posOffset>
            </wp:positionH>
            <wp:positionV relativeFrom="paragraph">
              <wp:posOffset>122555</wp:posOffset>
            </wp:positionV>
            <wp:extent cx="6686550" cy="1457960"/>
            <wp:effectExtent l="0" t="0" r="0" b="889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cstate="print"/>
                    <a:stretch>
                      <a:fillRect/>
                    </a:stretch>
                  </pic:blipFill>
                  <pic:spPr>
                    <a:xfrm>
                      <a:off x="0" y="0"/>
                      <a:ext cx="6686550" cy="1457960"/>
                    </a:xfrm>
                    <a:prstGeom prst="rect">
                      <a:avLst/>
                    </a:prstGeom>
                    <a:noFill/>
                    <a:ln w="9525" cap="flat" cmpd="sng">
                      <a:noFill/>
                      <a:prstDash val="solid"/>
                      <a:round/>
                    </a:ln>
                  </pic:spPr>
                </pic:pic>
              </a:graphicData>
            </a:graphic>
          </wp:anchor>
        </w:drawing>
      </w:r>
    </w:p>
    <w:p w14:paraId="7F22397A">
      <w:pPr>
        <w:spacing w:line="560" w:lineRule="exact"/>
        <w:jc w:val="center"/>
        <w:textAlignment w:val="baseline"/>
        <w:rPr>
          <w:rStyle w:val="27"/>
          <w:rFonts w:hint="eastAsia" w:ascii="方正小标宋_GBK" w:hAnsi="方正小标宋_GBK" w:eastAsia="方正小标宋_GBK" w:cs="方正小标宋_GBK"/>
          <w:w w:val="95"/>
          <w:sz w:val="44"/>
          <w:szCs w:val="44"/>
          <w:lang w:val="en-US" w:eastAsia="zh-CN"/>
        </w:rPr>
      </w:pPr>
      <w:r>
        <w:rPr>
          <w:rStyle w:val="27"/>
          <w:rFonts w:hint="eastAsia" w:ascii="方正小标宋_GBK" w:hAnsi="方正小标宋_GBK" w:eastAsia="方正小标宋_GBK" w:cs="方正小标宋_GBK"/>
          <w:w w:val="95"/>
          <w:sz w:val="44"/>
          <w:szCs w:val="44"/>
        </w:rPr>
        <w:t>黑水</w:t>
      </w:r>
      <w:r>
        <w:rPr>
          <w:rStyle w:val="27"/>
          <w:rFonts w:hint="eastAsia" w:ascii="方正小标宋_GBK" w:hAnsi="方正小标宋_GBK" w:eastAsia="方正小标宋_GBK" w:cs="方正小标宋_GBK"/>
          <w:w w:val="95"/>
          <w:sz w:val="44"/>
          <w:szCs w:val="44"/>
          <w:lang w:eastAsia="zh-CN"/>
        </w:rPr>
        <w:t>审计局</w:t>
      </w:r>
    </w:p>
    <w:p w14:paraId="1CDBC8FC">
      <w:pPr>
        <w:spacing w:line="560" w:lineRule="exact"/>
        <w:jc w:val="center"/>
        <w:textAlignment w:val="baseline"/>
        <w:rPr>
          <w:rFonts w:ascii="仿宋_GB2312" w:hAnsi="仿宋_GB2312" w:eastAsia="仿宋_GB2312" w:cs="仿宋_GB2312"/>
          <w:b w:val="0"/>
          <w:color w:val="333333"/>
          <w:sz w:val="32"/>
          <w:szCs w:val="32"/>
        </w:rPr>
      </w:pPr>
      <w:r>
        <w:rPr>
          <w:rStyle w:val="27"/>
          <w:rFonts w:hint="eastAsia" w:ascii="方正小标宋_GBK" w:hAnsi="方正小标宋_GBK" w:eastAsia="方正小标宋_GBK" w:cs="方正小标宋_GBK"/>
          <w:w w:val="95"/>
          <w:sz w:val="44"/>
          <w:szCs w:val="44"/>
        </w:rPr>
        <w:t>2024年部门预算绩效整体支出自评报告</w:t>
      </w:r>
    </w:p>
    <w:p w14:paraId="47EFD999">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ascii="仿宋_GB2312" w:hAnsi="仿宋_GB2312" w:cs="仿宋_GB2312"/>
          <w:color w:val="333333"/>
          <w:szCs w:val="32"/>
          <w:lang w:val="zh-CN"/>
        </w:rPr>
        <w:t>为强化预算绩效管理，提高财政资金使用效益，根据《黑水县审计局关于开展2025年县级部门绩效自评工作的通知》（黑财〔2025〕30号）文件要求，我局高度重视，对2024年度单位整体支出的管理、使用及绩效目标实现情况等内容开展绩效自评工作。现将评价情况报告以下：</w:t>
      </w:r>
    </w:p>
    <w:p w14:paraId="6E09F608">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eastAsia="黑体"/>
          <w:color w:val="000000"/>
          <w:kern w:val="0"/>
          <w:szCs w:val="32"/>
          <w:shd w:val="clear" w:color="auto" w:fill="FFFFFF"/>
          <w:lang w:val="zh-CN"/>
        </w:rPr>
        <w:t>一、部门基本情况</w:t>
      </w:r>
    </w:p>
    <w:p w14:paraId="5B8AAE5E">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（一）</w:t>
      </w:r>
      <w:r>
        <w:rPr>
          <w:rFonts w:eastAsia="楷体_GB2312"/>
          <w:b/>
          <w:bCs/>
          <w:color w:val="000000"/>
          <w:kern w:val="0"/>
          <w:szCs w:val="32"/>
          <w:shd w:val="clear" w:color="auto" w:fill="FFFFFF"/>
          <w:lang w:val="zh-CN"/>
        </w:rPr>
        <w:t>机构组成</w:t>
      </w:r>
    </w:p>
    <w:p w14:paraId="4537F5B9">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黑水县审计局属行政机构独立核算一级预算单位，局机关内设办公室等</w:t>
      </w:r>
      <w:r>
        <w:rPr>
          <w:rFonts w:hint="eastAsia" w:ascii="仿宋_GB2312" w:hAnsi="仿宋_GB2312" w:cs="仿宋_GB2312"/>
          <w:color w:val="333333"/>
          <w:szCs w:val="32"/>
          <w:lang w:val="en-US" w:eastAsia="zh-CN"/>
        </w:rPr>
        <w:t>4</w:t>
      </w:r>
      <w:r>
        <w:rPr>
          <w:rFonts w:hint="eastAsia" w:ascii="仿宋_GB2312" w:hAnsi="仿宋_GB2312" w:cs="仿宋_GB2312"/>
          <w:color w:val="333333"/>
          <w:szCs w:val="32"/>
          <w:lang w:val="zh-CN"/>
        </w:rPr>
        <w:t>个股室，分别为：办公室、审计股一室、审计股二室、审计股三室。</w:t>
      </w:r>
    </w:p>
    <w:p w14:paraId="7375CE4A">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（二）机构职能</w:t>
      </w:r>
    </w:p>
    <w:p w14:paraId="518CDE35">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zh-CN"/>
        </w:rPr>
        <w:t>本部门的主要职责是：</w:t>
      </w:r>
    </w:p>
    <w:p w14:paraId="6D49E9FB">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1、</w:t>
      </w:r>
      <w:r>
        <w:rPr>
          <w:rFonts w:hint="eastAsia" w:ascii="仿宋_GB2312" w:hAnsi="仿宋_GB2312" w:cs="仿宋_GB2312"/>
          <w:color w:val="333333"/>
          <w:szCs w:val="32"/>
          <w:lang w:val="zh-CN"/>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p>
    <w:p w14:paraId="7A23FC48">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2、</w:t>
      </w:r>
      <w:r>
        <w:rPr>
          <w:rFonts w:hint="eastAsia" w:ascii="仿宋_GB2312" w:hAnsi="仿宋_GB2312" w:cs="仿宋_GB2312"/>
          <w:color w:val="333333"/>
          <w:szCs w:val="32"/>
          <w:lang w:val="zh-CN"/>
        </w:rPr>
        <w:t>贯彻执行国家、省、州、县有关审计工作的方针政策和法律法规。制定并组织实施全县专业领域审计工作规划。对直接审计、调查和核查的事项依法进行审计评价，作出审计决定或提出审计建议。</w:t>
      </w:r>
    </w:p>
    <w:p w14:paraId="14F549AB">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3、</w:t>
      </w:r>
      <w:r>
        <w:rPr>
          <w:rFonts w:hint="eastAsia" w:ascii="仿宋_GB2312" w:hAnsi="仿宋_GB2312" w:cs="仿宋_GB2312"/>
          <w:color w:val="333333"/>
          <w:szCs w:val="32"/>
          <w:lang w:val="zh-CN"/>
        </w:rPr>
        <w:t>向县委审计委员会提出年度县级预算执行和其他财政支出情况审计报告。向县政府和州审计局提出年度县级预算执行及其他财政收支情况的审计结果报告。</w:t>
      </w:r>
    </w:p>
    <w:p w14:paraId="6C31F9BD">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4、</w:t>
      </w:r>
      <w:r>
        <w:rPr>
          <w:rFonts w:hint="eastAsia" w:ascii="仿宋_GB2312" w:hAnsi="仿宋_GB2312" w:cs="仿宋_GB2312"/>
          <w:color w:val="333333"/>
          <w:szCs w:val="32"/>
          <w:lang w:val="zh-CN"/>
        </w:rPr>
        <w:t>直接审计下列事项，出具审计报告，在法定职权范围内作出审计决定。包括国家、省、州、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以及法律法规规定的其他事项。</w:t>
      </w:r>
    </w:p>
    <w:p w14:paraId="59AB596E">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5、</w:t>
      </w:r>
      <w:r>
        <w:rPr>
          <w:rFonts w:hint="eastAsia" w:ascii="仿宋_GB2312" w:hAnsi="仿宋_GB2312" w:cs="仿宋_GB2312"/>
          <w:color w:val="333333"/>
          <w:szCs w:val="32"/>
          <w:lang w:val="zh-CN"/>
        </w:rPr>
        <w:t>按规定对县管党政主要领导干部及其他单位主要负责人实施经济责任审计和自然资源资产离任审计。</w:t>
      </w:r>
    </w:p>
    <w:p w14:paraId="4E793E0D">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6、</w:t>
      </w:r>
      <w:r>
        <w:rPr>
          <w:rFonts w:hint="eastAsia" w:ascii="仿宋_GB2312" w:hAnsi="仿宋_GB2312" w:cs="仿宋_GB2312"/>
          <w:color w:val="333333"/>
          <w:szCs w:val="32"/>
          <w:lang w:val="zh-CN"/>
        </w:rPr>
        <w:t>组织实施对国家财经法律法规、规章、政策和宏观调控措施执行情况、财政预算管理及国有资产管理使用等与县级财政收支有关的特定事项进行专项审计调查。</w:t>
      </w:r>
    </w:p>
    <w:p w14:paraId="143CBAA6">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7、</w:t>
      </w:r>
      <w:r>
        <w:rPr>
          <w:rFonts w:hint="eastAsia" w:ascii="仿宋_GB2312" w:hAnsi="仿宋_GB2312" w:cs="仿宋_GB2312"/>
          <w:color w:val="333333"/>
          <w:szCs w:val="32"/>
          <w:lang w:val="zh-CN"/>
        </w:rPr>
        <w:t>依法检查审计决定执行情况，督促整改审计查出的问题，依法办理被审计单位对审计决定提请行政复议、行政诉讼或县政府裁决中的有关事项，协助配合有关部门查处相关重大案件。</w:t>
      </w:r>
    </w:p>
    <w:p w14:paraId="294F11C8">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8、</w:t>
      </w:r>
      <w:r>
        <w:rPr>
          <w:rFonts w:hint="eastAsia" w:ascii="仿宋_GB2312" w:hAnsi="仿宋_GB2312" w:cs="仿宋_GB2312"/>
          <w:color w:val="333333"/>
          <w:szCs w:val="32"/>
          <w:lang w:val="zh-CN"/>
        </w:rPr>
        <w:t>指导和监督内部审计工作，核查社会审计机构对依法属于审计监督对象的单位出具的相关审计报告。</w:t>
      </w:r>
    </w:p>
    <w:p w14:paraId="27EFB591">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9、</w:t>
      </w:r>
      <w:r>
        <w:rPr>
          <w:rFonts w:hint="eastAsia" w:ascii="仿宋_GB2312" w:hAnsi="仿宋_GB2312" w:cs="仿宋_GB2312"/>
          <w:color w:val="333333"/>
          <w:szCs w:val="32"/>
          <w:lang w:val="zh-CN"/>
        </w:rPr>
        <w:t>负责实施范围内的安全生产和职业健康、生态环境保护、审批服务便民化等工作。</w:t>
      </w:r>
    </w:p>
    <w:p w14:paraId="28727917">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10、</w:t>
      </w:r>
      <w:r>
        <w:rPr>
          <w:rFonts w:hint="eastAsia" w:ascii="仿宋_GB2312" w:hAnsi="仿宋_GB2312" w:cs="仿宋_GB2312"/>
          <w:color w:val="333333"/>
          <w:szCs w:val="32"/>
          <w:lang w:val="zh-CN"/>
        </w:rPr>
        <w:t>完成县委、县政府交办的其他任务。</w:t>
      </w:r>
    </w:p>
    <w:p w14:paraId="2D4B4F94">
      <w:pPr>
        <w:spacing w:line="560" w:lineRule="exact"/>
        <w:ind w:firstLine="643" w:firstLineChars="200"/>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）人员概况</w:t>
      </w:r>
    </w:p>
    <w:p w14:paraId="7E247263">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截至2024年末，黑水县审计局属行政机构一级预算单位。总编制</w:t>
      </w:r>
      <w:r>
        <w:rPr>
          <w:rFonts w:hint="eastAsia" w:ascii="仿宋_GB2312" w:hAnsi="仿宋_GB2312" w:cs="仿宋_GB2312"/>
          <w:color w:val="333333"/>
          <w:szCs w:val="32"/>
          <w:lang w:val="en-US" w:eastAsia="zh-CN"/>
        </w:rPr>
        <w:t>10</w:t>
      </w:r>
      <w:r>
        <w:rPr>
          <w:rFonts w:hint="eastAsia" w:ascii="仿宋_GB2312" w:hAnsi="仿宋_GB2312" w:cs="仿宋_GB2312"/>
          <w:color w:val="333333"/>
          <w:szCs w:val="32"/>
          <w:lang w:val="zh-CN"/>
        </w:rPr>
        <w:t>名，其中：行政编制</w:t>
      </w:r>
      <w:r>
        <w:rPr>
          <w:rFonts w:hint="eastAsia" w:ascii="仿宋_GB2312" w:hAnsi="仿宋_GB2312" w:cs="仿宋_GB2312"/>
          <w:color w:val="333333"/>
          <w:szCs w:val="32"/>
          <w:lang w:val="en-US" w:eastAsia="zh-CN"/>
        </w:rPr>
        <w:t>7</w:t>
      </w:r>
      <w:r>
        <w:rPr>
          <w:rFonts w:hint="eastAsia" w:ascii="仿宋_GB2312" w:hAnsi="仿宋_GB2312" w:cs="仿宋_GB2312"/>
          <w:color w:val="333333"/>
          <w:szCs w:val="32"/>
          <w:lang w:val="zh-CN"/>
        </w:rPr>
        <w:t>名，行政工勤</w:t>
      </w:r>
      <w:r>
        <w:rPr>
          <w:rFonts w:hint="eastAsia" w:ascii="仿宋_GB2312" w:hAnsi="仿宋_GB2312" w:cs="仿宋_GB2312"/>
          <w:color w:val="333333"/>
          <w:szCs w:val="32"/>
          <w:lang w:val="en-US" w:eastAsia="zh-CN"/>
        </w:rPr>
        <w:t>3</w:t>
      </w:r>
      <w:r>
        <w:rPr>
          <w:rFonts w:hint="eastAsia" w:ascii="仿宋_GB2312" w:hAnsi="仿宋_GB2312" w:cs="仿宋_GB2312"/>
          <w:color w:val="333333"/>
          <w:szCs w:val="32"/>
          <w:lang w:val="zh-CN"/>
        </w:rPr>
        <w:t>名；在职人员总数</w:t>
      </w:r>
      <w:r>
        <w:rPr>
          <w:rFonts w:hint="eastAsia" w:ascii="仿宋_GB2312" w:hAnsi="仿宋_GB2312" w:cs="仿宋_GB2312"/>
          <w:color w:val="333333"/>
          <w:szCs w:val="32"/>
          <w:lang w:val="en-US" w:eastAsia="zh-CN"/>
        </w:rPr>
        <w:t>8</w:t>
      </w:r>
      <w:r>
        <w:rPr>
          <w:rFonts w:hint="eastAsia" w:ascii="仿宋_GB2312" w:hAnsi="仿宋_GB2312" w:cs="仿宋_GB2312"/>
          <w:color w:val="333333"/>
          <w:szCs w:val="32"/>
          <w:lang w:val="zh-CN"/>
        </w:rPr>
        <w:t>人，其中：行政人员</w:t>
      </w:r>
      <w:r>
        <w:rPr>
          <w:rFonts w:hint="eastAsia" w:ascii="仿宋_GB2312" w:hAnsi="仿宋_GB2312" w:cs="仿宋_GB2312"/>
          <w:color w:val="333333"/>
          <w:szCs w:val="32"/>
          <w:lang w:val="en-US" w:eastAsia="zh-CN"/>
        </w:rPr>
        <w:t>5</w:t>
      </w:r>
      <w:r>
        <w:rPr>
          <w:rFonts w:hint="eastAsia" w:ascii="仿宋_GB2312" w:hAnsi="仿宋_GB2312" w:cs="仿宋_GB2312"/>
          <w:color w:val="333333"/>
          <w:szCs w:val="32"/>
          <w:lang w:val="zh-CN"/>
        </w:rPr>
        <w:t>人、行政工勤3人。</w:t>
      </w:r>
    </w:p>
    <w:p w14:paraId="30E5560F">
      <w:pPr>
        <w:spacing w:line="560" w:lineRule="exact"/>
        <w:ind w:firstLine="640" w:firstLineChars="200"/>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14:paraId="1303C637">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收入情况</w:t>
      </w:r>
    </w:p>
    <w:p w14:paraId="0116FD71">
      <w:pPr>
        <w:adjustRightInd w:val="0"/>
        <w:snapToGrid w:val="0"/>
        <w:spacing w:line="560" w:lineRule="exact"/>
        <w:ind w:firstLine="643"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1.2024年初预算收入情况。</w:t>
      </w:r>
    </w:p>
    <w:p w14:paraId="5122F3CA">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根据《黑水县审计局关于批复2024年度部门预算的通知》（黑财〔2024〕2号），我局2024年初预算收入</w:t>
      </w:r>
      <w:r>
        <w:rPr>
          <w:rFonts w:hint="eastAsia" w:ascii="仿宋_GB2312" w:hAnsi="仿宋_GB2312" w:cs="仿宋_GB2312"/>
          <w:color w:val="333333"/>
          <w:szCs w:val="32"/>
          <w:lang w:val="en-US" w:eastAsia="zh-CN"/>
        </w:rPr>
        <w:t>218.04</w:t>
      </w:r>
      <w:r>
        <w:rPr>
          <w:rFonts w:hint="eastAsia" w:ascii="仿宋_GB2312" w:hAnsi="仿宋_GB2312" w:cs="仿宋_GB2312"/>
          <w:color w:val="333333"/>
          <w:szCs w:val="32"/>
          <w:lang w:val="zh-CN"/>
        </w:rPr>
        <w:t>万元，全部为一般公共预算财政拨款收入，占总预算100%。</w:t>
      </w:r>
    </w:p>
    <w:p w14:paraId="705B914A">
      <w:pPr>
        <w:adjustRightInd w:val="0"/>
        <w:snapToGrid w:val="0"/>
        <w:spacing w:line="560" w:lineRule="exact"/>
        <w:ind w:firstLine="643"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2.决算报表收入情况。</w:t>
      </w:r>
    </w:p>
    <w:p w14:paraId="22B2CCE6">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黑水县审计局2024年决算报表收入</w:t>
      </w:r>
      <w:r>
        <w:rPr>
          <w:rFonts w:hint="eastAsia" w:ascii="仿宋_GB2312" w:hAnsi="仿宋_GB2312" w:cs="仿宋_GB2312"/>
          <w:color w:val="333333"/>
          <w:szCs w:val="32"/>
          <w:lang w:val="en-US" w:eastAsia="zh-CN"/>
        </w:rPr>
        <w:t>246.70</w:t>
      </w:r>
      <w:r>
        <w:rPr>
          <w:rFonts w:hint="eastAsia" w:ascii="仿宋_GB2312" w:hAnsi="仿宋_GB2312" w:cs="仿宋_GB2312"/>
          <w:color w:val="333333"/>
          <w:szCs w:val="32"/>
          <w:lang w:val="zh-CN"/>
        </w:rPr>
        <w:t>万元，全部为一般公共预算财政拨款收入。</w:t>
      </w:r>
    </w:p>
    <w:p w14:paraId="3ECDF09D">
      <w:pPr>
        <w:adjustRightInd w:val="0"/>
        <w:snapToGrid w:val="0"/>
        <w:spacing w:line="560" w:lineRule="exact"/>
        <w:ind w:firstLine="643"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3.追加预算安排情况。</w:t>
      </w:r>
    </w:p>
    <w:p w14:paraId="7FBB5371">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黑水县审计局2024年追加预算安排</w:t>
      </w:r>
      <w:r>
        <w:rPr>
          <w:rFonts w:hint="eastAsia" w:ascii="仿宋_GB2312" w:hAnsi="仿宋_GB2312" w:cs="仿宋_GB2312"/>
          <w:color w:val="333333"/>
          <w:szCs w:val="32"/>
          <w:lang w:val="en-US" w:eastAsia="zh-CN"/>
        </w:rPr>
        <w:t>28.66</w:t>
      </w:r>
      <w:r>
        <w:rPr>
          <w:rFonts w:hint="eastAsia" w:ascii="仿宋_GB2312" w:hAnsi="仿宋_GB2312" w:cs="仿宋_GB2312"/>
          <w:color w:val="333333"/>
          <w:szCs w:val="32"/>
          <w:lang w:val="zh-CN"/>
        </w:rPr>
        <w:t>万元。主要是年度考核奖、年度考核奖和基础性绩效奖、审计委托业务经费、新进人员</w:t>
      </w:r>
      <w:r>
        <w:rPr>
          <w:rFonts w:hint="eastAsia" w:ascii="仿宋_GB2312" w:hAnsi="仿宋_GB2312" w:cs="仿宋_GB2312"/>
          <w:color w:val="333333"/>
          <w:szCs w:val="32"/>
          <w:lang w:val="en-US" w:eastAsia="zh-CN"/>
        </w:rPr>
        <w:t>1名等</w:t>
      </w:r>
      <w:r>
        <w:rPr>
          <w:rFonts w:hint="eastAsia" w:ascii="仿宋_GB2312" w:hAnsi="仿宋_GB2312" w:cs="仿宋_GB2312"/>
          <w:color w:val="333333"/>
          <w:szCs w:val="32"/>
          <w:lang w:val="zh-CN"/>
        </w:rPr>
        <w:t>项目。</w:t>
      </w:r>
    </w:p>
    <w:p w14:paraId="60AAB208">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二</w:t>
      </w: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支出情况</w:t>
      </w:r>
    </w:p>
    <w:p w14:paraId="0CB38CD4">
      <w:pPr>
        <w:adjustRightInd w:val="0"/>
        <w:snapToGrid w:val="0"/>
        <w:spacing w:line="560" w:lineRule="exact"/>
        <w:ind w:firstLine="643"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1.2024年初预算支出情况。</w:t>
      </w:r>
    </w:p>
    <w:p w14:paraId="4D740F52">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根据《黑水县</w:t>
      </w:r>
      <w:r>
        <w:rPr>
          <w:rFonts w:hint="eastAsia" w:ascii="仿宋_GB2312" w:hAnsi="仿宋_GB2312" w:cs="仿宋_GB2312"/>
          <w:color w:val="000000"/>
          <w:kern w:val="0"/>
          <w:szCs w:val="32"/>
          <w:lang w:eastAsia="zh-CN"/>
        </w:rPr>
        <w:t>审计局</w:t>
      </w:r>
      <w:r>
        <w:rPr>
          <w:rFonts w:hint="eastAsia" w:ascii="仿宋_GB2312" w:hAnsi="仿宋_GB2312" w:cs="仿宋_GB2312"/>
          <w:color w:val="000000"/>
          <w:kern w:val="0"/>
          <w:szCs w:val="32"/>
        </w:rPr>
        <w:t>关于批复2024年度部门预算的通知》（黑财〔2024〕2号）文件，我局</w:t>
      </w:r>
      <w:r>
        <w:rPr>
          <w:rFonts w:hint="eastAsia" w:ascii="仿宋_GB2312" w:hAnsi="仿宋_GB2312" w:cs="仿宋_GB2312"/>
          <w:color w:val="000000"/>
          <w:kern w:val="0"/>
          <w:szCs w:val="32"/>
          <w:lang w:eastAsia="zh-CN"/>
        </w:rPr>
        <w:t>本级</w:t>
      </w:r>
      <w:r>
        <w:rPr>
          <w:rFonts w:hint="eastAsia" w:ascii="仿宋_GB2312" w:hAnsi="仿宋_GB2312" w:cs="仿宋_GB2312"/>
          <w:color w:val="000000"/>
          <w:kern w:val="0"/>
          <w:szCs w:val="32"/>
        </w:rPr>
        <w:t>2024年年初预算支出</w:t>
      </w:r>
      <w:r>
        <w:rPr>
          <w:rFonts w:hint="eastAsia" w:ascii="仿宋_GB2312" w:hAnsi="仿宋_GB2312" w:cs="仿宋_GB2312"/>
          <w:color w:val="000000"/>
          <w:kern w:val="0"/>
          <w:szCs w:val="32"/>
          <w:lang w:val="en-US" w:eastAsia="zh-CN"/>
        </w:rPr>
        <w:t>218.04</w:t>
      </w:r>
      <w:r>
        <w:rPr>
          <w:rFonts w:hint="eastAsia" w:ascii="仿宋_GB2312" w:hAnsi="仿宋_GB2312" w:cs="仿宋_GB2312"/>
          <w:color w:val="000000"/>
          <w:kern w:val="0"/>
          <w:szCs w:val="32"/>
        </w:rPr>
        <w:t>万元。</w:t>
      </w:r>
    </w:p>
    <w:p w14:paraId="458BCEC5">
      <w:pPr>
        <w:adjustRightInd w:val="0"/>
        <w:snapToGrid w:val="0"/>
        <w:spacing w:line="560" w:lineRule="exact"/>
        <w:ind w:firstLine="643"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w:t>
      </w:r>
      <w:r>
        <w:rPr>
          <w:rFonts w:hint="eastAsia" w:ascii="仿宋_GB2312" w:hAnsi="仿宋_GB2312" w:cs="仿宋_GB2312"/>
          <w:color w:val="000000"/>
          <w:kern w:val="0"/>
          <w:szCs w:val="32"/>
          <w:lang w:val="en-US" w:eastAsia="zh-CN"/>
        </w:rPr>
        <w:t>218.04</w:t>
      </w:r>
      <w:r>
        <w:rPr>
          <w:rFonts w:hint="eastAsia" w:ascii="仿宋_GB2312" w:hAnsi="仿宋_GB2312" w:cs="仿宋_GB2312"/>
          <w:color w:val="000000"/>
          <w:kern w:val="0"/>
          <w:szCs w:val="32"/>
        </w:rPr>
        <w:t>万元，占总预算的</w:t>
      </w:r>
      <w:r>
        <w:rPr>
          <w:rFonts w:hint="eastAsia" w:ascii="仿宋_GB2312" w:hAnsi="仿宋_GB2312" w:cs="仿宋_GB2312"/>
          <w:color w:val="000000"/>
          <w:kern w:val="0"/>
          <w:szCs w:val="32"/>
          <w:lang w:val="en-US" w:eastAsia="zh-CN"/>
        </w:rPr>
        <w:t>100</w:t>
      </w:r>
      <w:r>
        <w:rPr>
          <w:rFonts w:hint="eastAsia" w:ascii="仿宋_GB2312" w:hAnsi="仿宋_GB2312" w:cs="仿宋_GB2312"/>
          <w:color w:val="000000"/>
          <w:kern w:val="0"/>
          <w:szCs w:val="32"/>
        </w:rPr>
        <w:t>%；项目支出</w:t>
      </w:r>
      <w:r>
        <w:rPr>
          <w:rFonts w:hint="eastAsia" w:ascii="仿宋_GB2312" w:hAnsi="仿宋_GB2312" w:cs="仿宋_GB2312"/>
          <w:color w:val="000000"/>
          <w:kern w:val="0"/>
          <w:szCs w:val="32"/>
          <w:lang w:val="en-US" w:eastAsia="zh-CN"/>
        </w:rPr>
        <w:t>0</w:t>
      </w:r>
      <w:r>
        <w:rPr>
          <w:rFonts w:hint="eastAsia" w:ascii="仿宋_GB2312" w:hAnsi="仿宋_GB2312" w:cs="仿宋_GB2312"/>
          <w:color w:val="000000"/>
          <w:kern w:val="0"/>
          <w:szCs w:val="32"/>
        </w:rPr>
        <w:t>万元，占总预算的</w:t>
      </w:r>
      <w:r>
        <w:rPr>
          <w:rFonts w:hint="eastAsia" w:ascii="仿宋_GB2312" w:hAnsi="仿宋_GB2312" w:cs="仿宋_GB2312"/>
          <w:color w:val="000000"/>
          <w:kern w:val="0"/>
          <w:szCs w:val="32"/>
          <w:lang w:val="en-US" w:eastAsia="zh-CN"/>
        </w:rPr>
        <w:t>0</w:t>
      </w:r>
      <w:r>
        <w:rPr>
          <w:rFonts w:hint="eastAsia" w:ascii="仿宋_GB2312" w:hAnsi="仿宋_GB2312" w:cs="仿宋_GB2312"/>
          <w:color w:val="000000"/>
          <w:kern w:val="0"/>
          <w:szCs w:val="32"/>
        </w:rPr>
        <w:t>%。</w:t>
      </w:r>
    </w:p>
    <w:p w14:paraId="5F046047">
      <w:pPr>
        <w:adjustRightInd w:val="0"/>
        <w:snapToGrid w:val="0"/>
        <w:spacing w:line="560" w:lineRule="exact"/>
        <w:ind w:firstLine="643"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ascii="仿宋_GB2312" w:hAnsi="仿宋_GB2312" w:cs="仿宋_GB2312"/>
          <w:color w:val="000000"/>
          <w:kern w:val="0"/>
          <w:szCs w:val="32"/>
        </w:rPr>
        <w:t>一般公共服务支出</w:t>
      </w:r>
      <w:r>
        <w:rPr>
          <w:rFonts w:hint="eastAsia" w:ascii="仿宋_GB2312" w:hAnsi="仿宋_GB2312" w:cs="仿宋_GB2312"/>
          <w:color w:val="000000"/>
          <w:kern w:val="0"/>
          <w:szCs w:val="32"/>
          <w:lang w:val="en-US" w:eastAsia="zh-CN"/>
        </w:rPr>
        <w:t>151.04</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69.27</w:t>
      </w:r>
      <w:r>
        <w:rPr>
          <w:rFonts w:hint="eastAsia" w:ascii="仿宋_GB2312" w:hAnsi="仿宋_GB2312" w:cs="仿宋_GB2312"/>
          <w:color w:val="000000"/>
          <w:kern w:val="0"/>
          <w:szCs w:val="32"/>
        </w:rPr>
        <w:t>%；</w:t>
      </w:r>
      <w:r>
        <w:rPr>
          <w:rFonts w:ascii="仿宋_GB2312" w:hAnsi="仿宋_GB2312" w:cs="仿宋_GB2312"/>
          <w:color w:val="000000"/>
          <w:kern w:val="0"/>
          <w:szCs w:val="32"/>
        </w:rPr>
        <w:t>社会保障和就业支出</w:t>
      </w:r>
      <w:r>
        <w:rPr>
          <w:rFonts w:hint="eastAsia" w:ascii="仿宋_GB2312" w:hAnsi="仿宋_GB2312" w:cs="仿宋_GB2312"/>
          <w:color w:val="000000"/>
          <w:kern w:val="0"/>
          <w:szCs w:val="32"/>
          <w:lang w:val="en-US" w:eastAsia="zh-CN"/>
        </w:rPr>
        <w:t>35.04</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16.07</w:t>
      </w:r>
      <w:r>
        <w:rPr>
          <w:rFonts w:hint="eastAsia" w:ascii="仿宋_GB2312" w:hAnsi="仿宋_GB2312" w:cs="仿宋_GB2312"/>
          <w:color w:val="000000"/>
          <w:kern w:val="0"/>
          <w:szCs w:val="32"/>
        </w:rPr>
        <w:t>%；</w:t>
      </w:r>
      <w:r>
        <w:rPr>
          <w:rFonts w:ascii="仿宋_GB2312" w:hAnsi="仿宋_GB2312" w:cs="仿宋_GB2312"/>
          <w:color w:val="000000"/>
          <w:kern w:val="0"/>
          <w:szCs w:val="32"/>
        </w:rPr>
        <w:t>卫生健康支出</w:t>
      </w:r>
      <w:r>
        <w:rPr>
          <w:rFonts w:hint="eastAsia" w:ascii="仿宋_GB2312" w:hAnsi="仿宋_GB2312" w:cs="仿宋_GB2312"/>
          <w:color w:val="000000"/>
          <w:kern w:val="0"/>
          <w:szCs w:val="32"/>
          <w:lang w:val="en-US" w:eastAsia="zh-CN"/>
        </w:rPr>
        <w:t>14.44</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6.62</w:t>
      </w:r>
      <w:r>
        <w:rPr>
          <w:rFonts w:hint="eastAsia" w:ascii="仿宋_GB2312" w:hAnsi="仿宋_GB2312" w:cs="仿宋_GB2312"/>
          <w:color w:val="000000"/>
          <w:kern w:val="0"/>
          <w:szCs w:val="32"/>
        </w:rPr>
        <w:t>%；</w:t>
      </w:r>
      <w:r>
        <w:rPr>
          <w:rFonts w:ascii="仿宋_GB2312" w:hAnsi="仿宋_GB2312" w:cs="仿宋_GB2312"/>
          <w:color w:val="000000"/>
          <w:kern w:val="0"/>
          <w:szCs w:val="32"/>
        </w:rPr>
        <w:t>住房保障支出</w:t>
      </w:r>
      <w:r>
        <w:rPr>
          <w:rFonts w:hint="eastAsia" w:ascii="仿宋_GB2312" w:hAnsi="仿宋_GB2312" w:cs="仿宋_GB2312"/>
          <w:color w:val="000000"/>
          <w:kern w:val="0"/>
          <w:szCs w:val="32"/>
          <w:lang w:val="en-US" w:eastAsia="zh-CN"/>
        </w:rPr>
        <w:t>17.52</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8.03</w:t>
      </w:r>
      <w:r>
        <w:rPr>
          <w:rFonts w:hint="eastAsia" w:ascii="仿宋_GB2312" w:hAnsi="仿宋_GB2312" w:cs="仿宋_GB2312"/>
          <w:color w:val="000000"/>
          <w:kern w:val="0"/>
          <w:szCs w:val="32"/>
        </w:rPr>
        <w:t>%。</w:t>
      </w:r>
    </w:p>
    <w:p w14:paraId="3D056E6C">
      <w:pPr>
        <w:adjustRightInd w:val="0"/>
        <w:snapToGrid w:val="0"/>
        <w:spacing w:line="560" w:lineRule="exact"/>
        <w:ind w:firstLine="643"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2.决算报表支出情况。</w:t>
      </w:r>
    </w:p>
    <w:p w14:paraId="3B84BE8E">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w:t>
      </w:r>
      <w:r>
        <w:rPr>
          <w:rFonts w:hint="eastAsia" w:ascii="仿宋_GB2312" w:hAnsi="仿宋_GB2312" w:cs="仿宋_GB2312"/>
          <w:color w:val="000000"/>
          <w:kern w:val="0"/>
          <w:szCs w:val="32"/>
          <w:lang w:eastAsia="zh-CN"/>
        </w:rPr>
        <w:t>审计局</w:t>
      </w:r>
      <w:r>
        <w:rPr>
          <w:rFonts w:hint="eastAsia" w:ascii="仿宋_GB2312" w:hAnsi="仿宋_GB2312" w:cs="仿宋_GB2312"/>
          <w:color w:val="000000"/>
          <w:kern w:val="0"/>
          <w:szCs w:val="32"/>
        </w:rPr>
        <w:t>2024年决算报表支出</w:t>
      </w:r>
      <w:r>
        <w:rPr>
          <w:rFonts w:hint="eastAsia" w:ascii="仿宋_GB2312" w:hAnsi="仿宋_GB2312" w:cs="仿宋_GB2312"/>
          <w:color w:val="000000"/>
          <w:kern w:val="0"/>
          <w:szCs w:val="32"/>
          <w:lang w:val="en-US" w:eastAsia="zh-CN"/>
        </w:rPr>
        <w:t>246.70</w:t>
      </w:r>
      <w:r>
        <w:rPr>
          <w:rFonts w:hint="eastAsia" w:ascii="仿宋_GB2312" w:hAnsi="仿宋_GB2312" w:cs="仿宋_GB2312"/>
          <w:color w:val="000000"/>
          <w:kern w:val="0"/>
          <w:szCs w:val="32"/>
        </w:rPr>
        <w:t>万元。</w:t>
      </w:r>
    </w:p>
    <w:p w14:paraId="1087ABAD">
      <w:pPr>
        <w:adjustRightInd w:val="0"/>
        <w:snapToGrid w:val="0"/>
        <w:spacing w:line="560" w:lineRule="exact"/>
        <w:ind w:firstLine="643"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w:t>
      </w:r>
      <w:r>
        <w:rPr>
          <w:rFonts w:hint="eastAsia" w:ascii="仿宋_GB2312" w:hAnsi="仿宋_GB2312" w:cs="仿宋_GB2312"/>
          <w:color w:val="000000"/>
          <w:kern w:val="0"/>
          <w:szCs w:val="32"/>
          <w:lang w:val="en-US" w:eastAsia="zh-CN"/>
        </w:rPr>
        <w:t>238.76</w:t>
      </w:r>
      <w:r>
        <w:rPr>
          <w:rFonts w:hint="eastAsia" w:ascii="仿宋_GB2312" w:hAnsi="仿宋_GB2312" w:cs="仿宋_GB2312"/>
          <w:color w:val="000000"/>
          <w:kern w:val="0"/>
          <w:szCs w:val="32"/>
        </w:rPr>
        <w:t>万元，占总支出的</w:t>
      </w:r>
      <w:r>
        <w:rPr>
          <w:rFonts w:hint="eastAsia" w:ascii="仿宋_GB2312" w:hAnsi="仿宋_GB2312" w:cs="仿宋_GB2312"/>
          <w:color w:val="000000"/>
          <w:kern w:val="0"/>
          <w:szCs w:val="32"/>
          <w:lang w:val="en-US" w:eastAsia="zh-CN"/>
        </w:rPr>
        <w:t>96.78</w:t>
      </w:r>
      <w:r>
        <w:rPr>
          <w:rFonts w:hint="eastAsia" w:ascii="仿宋_GB2312" w:hAnsi="仿宋_GB2312" w:cs="仿宋_GB2312"/>
          <w:color w:val="000000"/>
          <w:kern w:val="0"/>
          <w:szCs w:val="32"/>
        </w:rPr>
        <w:t>%；项目支出</w:t>
      </w:r>
      <w:r>
        <w:rPr>
          <w:rFonts w:hint="eastAsia" w:ascii="仿宋_GB2312" w:hAnsi="仿宋_GB2312" w:cs="仿宋_GB2312"/>
          <w:color w:val="000000"/>
          <w:kern w:val="0"/>
          <w:szCs w:val="32"/>
          <w:lang w:val="en-US" w:eastAsia="zh-CN"/>
        </w:rPr>
        <w:t>7.95</w:t>
      </w:r>
      <w:r>
        <w:rPr>
          <w:rFonts w:hint="eastAsia" w:ascii="仿宋_GB2312" w:hAnsi="仿宋_GB2312" w:cs="仿宋_GB2312"/>
          <w:color w:val="000000"/>
          <w:kern w:val="0"/>
          <w:szCs w:val="32"/>
        </w:rPr>
        <w:t>万元，占总支出的</w:t>
      </w:r>
      <w:r>
        <w:rPr>
          <w:rFonts w:hint="eastAsia" w:ascii="仿宋_GB2312" w:hAnsi="仿宋_GB2312" w:cs="仿宋_GB2312"/>
          <w:color w:val="000000"/>
          <w:kern w:val="0"/>
          <w:szCs w:val="32"/>
          <w:lang w:val="en-US" w:eastAsia="zh-CN"/>
        </w:rPr>
        <w:t>3.22</w:t>
      </w:r>
      <w:r>
        <w:rPr>
          <w:rFonts w:hint="eastAsia" w:ascii="仿宋_GB2312" w:hAnsi="仿宋_GB2312" w:cs="仿宋_GB2312"/>
          <w:color w:val="000000"/>
          <w:kern w:val="0"/>
          <w:szCs w:val="32"/>
        </w:rPr>
        <w:t>%。</w:t>
      </w:r>
    </w:p>
    <w:p w14:paraId="6F4E3901">
      <w:pPr>
        <w:adjustRightInd w:val="0"/>
        <w:snapToGrid w:val="0"/>
        <w:spacing w:line="560" w:lineRule="exact"/>
        <w:ind w:firstLine="643"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hint="eastAsia" w:ascii="仿宋_GB2312" w:hAnsi="仿宋_GB2312" w:cs="仿宋_GB2312"/>
          <w:color w:val="000000"/>
          <w:kern w:val="0"/>
          <w:szCs w:val="32"/>
        </w:rPr>
        <w:t>一般公共服务支出185.41万元，占总支出的</w:t>
      </w:r>
      <w:r>
        <w:rPr>
          <w:rFonts w:hint="eastAsia" w:ascii="仿宋_GB2312" w:hAnsi="仿宋_GB2312" w:cs="仿宋_GB2312"/>
          <w:color w:val="000000"/>
          <w:kern w:val="0"/>
          <w:szCs w:val="32"/>
          <w:lang w:val="en-US" w:eastAsia="zh-CN"/>
        </w:rPr>
        <w:t>75.16</w:t>
      </w:r>
      <w:r>
        <w:rPr>
          <w:rFonts w:hint="eastAsia" w:ascii="仿宋_GB2312" w:hAnsi="仿宋_GB2312" w:cs="仿宋_GB2312"/>
          <w:color w:val="000000"/>
          <w:kern w:val="0"/>
          <w:szCs w:val="32"/>
        </w:rPr>
        <w:t>%；社会保障和就业支出32.34万元，占总支出的1</w:t>
      </w:r>
      <w:r>
        <w:rPr>
          <w:rFonts w:hint="eastAsia" w:ascii="仿宋_GB2312" w:hAnsi="仿宋_GB2312" w:cs="仿宋_GB2312"/>
          <w:color w:val="000000"/>
          <w:kern w:val="0"/>
          <w:szCs w:val="32"/>
          <w:lang w:val="en-US" w:eastAsia="zh-CN"/>
        </w:rPr>
        <w:t>3</w:t>
      </w:r>
      <w:r>
        <w:rPr>
          <w:rFonts w:hint="eastAsia" w:ascii="仿宋_GB2312" w:hAnsi="仿宋_GB2312" w:cs="仿宋_GB2312"/>
          <w:color w:val="000000"/>
          <w:kern w:val="0"/>
          <w:szCs w:val="32"/>
        </w:rPr>
        <w:t>.</w:t>
      </w:r>
      <w:r>
        <w:rPr>
          <w:rFonts w:hint="eastAsia" w:ascii="仿宋_GB2312" w:hAnsi="仿宋_GB2312" w:cs="仿宋_GB2312"/>
          <w:color w:val="000000"/>
          <w:kern w:val="0"/>
          <w:szCs w:val="32"/>
          <w:lang w:val="en-US" w:eastAsia="zh-CN"/>
        </w:rPr>
        <w:t>10</w:t>
      </w:r>
      <w:r>
        <w:rPr>
          <w:rFonts w:hint="eastAsia" w:ascii="仿宋_GB2312" w:hAnsi="仿宋_GB2312" w:cs="仿宋_GB2312"/>
          <w:color w:val="000000"/>
          <w:kern w:val="0"/>
          <w:szCs w:val="32"/>
        </w:rPr>
        <w:t>%；卫生健康支出12.75万元，占总支出的</w:t>
      </w:r>
      <w:r>
        <w:rPr>
          <w:rFonts w:hint="eastAsia" w:ascii="仿宋_GB2312" w:hAnsi="仿宋_GB2312" w:cs="仿宋_GB2312"/>
          <w:color w:val="000000"/>
          <w:kern w:val="0"/>
          <w:szCs w:val="32"/>
          <w:lang w:val="en-US" w:eastAsia="zh-CN"/>
        </w:rPr>
        <w:t>5.17</w:t>
      </w:r>
      <w:r>
        <w:rPr>
          <w:rFonts w:hint="eastAsia" w:ascii="仿宋_GB2312" w:hAnsi="仿宋_GB2312" w:cs="仿宋_GB2312"/>
          <w:color w:val="000000"/>
          <w:kern w:val="0"/>
          <w:szCs w:val="32"/>
        </w:rPr>
        <w:t>%；住房保障支出16.2万元，占总支出的</w:t>
      </w:r>
      <w:r>
        <w:rPr>
          <w:rFonts w:hint="eastAsia" w:ascii="仿宋_GB2312" w:hAnsi="仿宋_GB2312" w:cs="仿宋_GB2312"/>
          <w:color w:val="000000"/>
          <w:kern w:val="0"/>
          <w:szCs w:val="32"/>
          <w:lang w:val="en-US" w:eastAsia="zh-CN"/>
        </w:rPr>
        <w:t>6.57%</w:t>
      </w:r>
      <w:r>
        <w:rPr>
          <w:rFonts w:hint="eastAsia" w:ascii="仿宋_GB2312" w:hAnsi="仿宋_GB2312" w:cs="仿宋_GB2312"/>
          <w:color w:val="000000"/>
          <w:kern w:val="0"/>
          <w:szCs w:val="32"/>
        </w:rPr>
        <w:t>。</w:t>
      </w:r>
    </w:p>
    <w:p w14:paraId="119460F2">
      <w:pPr>
        <w:adjustRightInd w:val="0"/>
        <w:snapToGrid w:val="0"/>
        <w:spacing w:line="560" w:lineRule="exact"/>
        <w:ind w:firstLine="643"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按支出经济分：</w:t>
      </w:r>
      <w:r>
        <w:rPr>
          <w:rFonts w:hint="eastAsia" w:ascii="仿宋_GB2312" w:hAnsi="仿宋_GB2312" w:cs="仿宋_GB2312"/>
          <w:color w:val="000000"/>
          <w:kern w:val="0"/>
          <w:szCs w:val="32"/>
        </w:rPr>
        <w:t>工资福利支出207.01万元，占总支出的</w:t>
      </w:r>
      <w:r>
        <w:rPr>
          <w:rFonts w:hint="eastAsia" w:ascii="仿宋_GB2312" w:hAnsi="仿宋_GB2312" w:cs="仿宋_GB2312"/>
          <w:color w:val="000000"/>
          <w:kern w:val="0"/>
          <w:szCs w:val="32"/>
          <w:lang w:val="en-US" w:eastAsia="zh-CN"/>
        </w:rPr>
        <w:t>83.91</w:t>
      </w:r>
      <w:r>
        <w:rPr>
          <w:rFonts w:hint="eastAsia" w:ascii="仿宋_GB2312" w:hAnsi="仿宋_GB2312" w:cs="仿宋_GB2312"/>
          <w:color w:val="000000"/>
          <w:kern w:val="0"/>
          <w:szCs w:val="32"/>
        </w:rPr>
        <w:t>%；</w:t>
      </w:r>
      <w:r>
        <w:rPr>
          <w:rFonts w:hint="eastAsia" w:ascii="仿宋_GB2312" w:hAnsi="仿宋_GB2312" w:cs="仿宋_GB2312"/>
        </w:rPr>
        <w:t>商品和服务支出26.62万元，</w:t>
      </w:r>
      <w:r>
        <w:rPr>
          <w:rFonts w:hint="eastAsia" w:ascii="仿宋_GB2312" w:hAnsi="仿宋_GB2312" w:cs="仿宋_GB2312"/>
          <w:color w:val="000000"/>
          <w:kern w:val="0"/>
          <w:szCs w:val="32"/>
        </w:rPr>
        <w:t>占总支出的</w:t>
      </w:r>
      <w:r>
        <w:rPr>
          <w:rFonts w:hint="eastAsia" w:ascii="仿宋_GB2312" w:hAnsi="仿宋_GB2312" w:cs="仿宋_GB2312"/>
          <w:color w:val="000000"/>
          <w:kern w:val="0"/>
          <w:szCs w:val="32"/>
          <w:lang w:val="en-US" w:eastAsia="zh-CN"/>
        </w:rPr>
        <w:t>10.8</w:t>
      </w:r>
      <w:r>
        <w:rPr>
          <w:rFonts w:hint="eastAsia" w:ascii="仿宋_GB2312" w:hAnsi="仿宋_GB2312" w:cs="仿宋_GB2312"/>
          <w:color w:val="000000"/>
          <w:kern w:val="0"/>
          <w:szCs w:val="32"/>
        </w:rPr>
        <w:t>%；</w:t>
      </w:r>
      <w:r>
        <w:rPr>
          <w:rFonts w:hint="eastAsia" w:ascii="仿宋_GB2312" w:hAnsi="仿宋_GB2312" w:cs="仿宋_GB2312"/>
        </w:rPr>
        <w:t>对个人和家庭的补助7.12万元，</w:t>
      </w:r>
      <w:r>
        <w:rPr>
          <w:rFonts w:hint="eastAsia" w:ascii="仿宋_GB2312" w:hAnsi="仿宋_GB2312" w:cs="仿宋_GB2312"/>
          <w:color w:val="000000"/>
          <w:kern w:val="0"/>
          <w:szCs w:val="32"/>
        </w:rPr>
        <w:t>占总支出的2.</w:t>
      </w:r>
      <w:r>
        <w:rPr>
          <w:rFonts w:hint="eastAsia" w:ascii="仿宋_GB2312" w:hAnsi="仿宋_GB2312" w:cs="仿宋_GB2312"/>
          <w:color w:val="000000"/>
          <w:kern w:val="0"/>
          <w:szCs w:val="32"/>
          <w:lang w:val="en-US" w:eastAsia="zh-CN"/>
        </w:rPr>
        <w:t>88</w:t>
      </w:r>
      <w:r>
        <w:rPr>
          <w:rFonts w:hint="eastAsia" w:ascii="仿宋_GB2312" w:hAnsi="仿宋_GB2312" w:cs="仿宋_GB2312"/>
          <w:color w:val="000000"/>
          <w:kern w:val="0"/>
          <w:szCs w:val="32"/>
        </w:rPr>
        <w:t>%；</w:t>
      </w:r>
      <w:r>
        <w:rPr>
          <w:rFonts w:hint="eastAsia" w:ascii="仿宋_GB2312" w:hAnsi="仿宋_GB2312" w:cs="仿宋_GB2312"/>
        </w:rPr>
        <w:t>资本性支出5.95万元，</w:t>
      </w:r>
      <w:r>
        <w:rPr>
          <w:rFonts w:hint="eastAsia" w:ascii="仿宋_GB2312" w:hAnsi="仿宋_GB2312" w:cs="仿宋_GB2312"/>
          <w:color w:val="000000"/>
          <w:kern w:val="0"/>
          <w:szCs w:val="32"/>
        </w:rPr>
        <w:t>占总支出的</w:t>
      </w:r>
      <w:r>
        <w:rPr>
          <w:rFonts w:hint="eastAsia" w:ascii="仿宋_GB2312" w:hAnsi="仿宋_GB2312" w:cs="仿宋_GB2312"/>
          <w:color w:val="000000"/>
          <w:kern w:val="0"/>
          <w:szCs w:val="32"/>
          <w:lang w:val="en-US" w:eastAsia="zh-CN"/>
        </w:rPr>
        <w:t>2.41</w:t>
      </w:r>
      <w:r>
        <w:rPr>
          <w:rFonts w:hint="eastAsia" w:ascii="仿宋_GB2312" w:hAnsi="仿宋_GB2312" w:cs="仿宋_GB2312"/>
          <w:color w:val="000000"/>
          <w:kern w:val="0"/>
          <w:szCs w:val="32"/>
        </w:rPr>
        <w:t>%</w:t>
      </w:r>
      <w:r>
        <w:rPr>
          <w:rFonts w:hint="eastAsia" w:ascii="仿宋_GB2312" w:hAnsi="仿宋_GB2312" w:cs="仿宋_GB2312"/>
        </w:rPr>
        <w:t>。</w:t>
      </w:r>
    </w:p>
    <w:p w14:paraId="1357D409">
      <w:pPr>
        <w:adjustRightInd w:val="0"/>
        <w:snapToGrid w:val="0"/>
        <w:spacing w:line="560" w:lineRule="exact"/>
        <w:ind w:firstLine="803" w:firstLineChars="25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lang w:val="zh-CN"/>
        </w:rPr>
        <w:t>3.追加预算安排支出情况。</w:t>
      </w:r>
    </w:p>
    <w:p w14:paraId="6D21BB51">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w:t>
      </w:r>
      <w:r>
        <w:rPr>
          <w:rFonts w:hint="eastAsia" w:ascii="仿宋_GB2312" w:hAnsi="仿宋_GB2312" w:cs="仿宋_GB2312"/>
          <w:color w:val="000000"/>
          <w:kern w:val="0"/>
          <w:szCs w:val="32"/>
          <w:lang w:eastAsia="zh-CN"/>
        </w:rPr>
        <w:t>审计局</w:t>
      </w:r>
      <w:r>
        <w:rPr>
          <w:rFonts w:hint="eastAsia" w:ascii="仿宋_GB2312" w:hAnsi="仿宋_GB2312" w:cs="仿宋_GB2312"/>
          <w:color w:val="000000"/>
          <w:kern w:val="0"/>
          <w:szCs w:val="32"/>
        </w:rPr>
        <w:t>2024年追加预算安排</w:t>
      </w:r>
      <w:r>
        <w:rPr>
          <w:rFonts w:hint="eastAsia" w:ascii="仿宋_GB2312" w:hAnsi="仿宋_GB2312" w:cs="仿宋_GB2312"/>
          <w:color w:val="333333"/>
          <w:szCs w:val="32"/>
          <w:lang w:val="en-US" w:eastAsia="zh-CN"/>
        </w:rPr>
        <w:t>28.66</w:t>
      </w:r>
      <w:r>
        <w:rPr>
          <w:rFonts w:hint="eastAsia" w:ascii="仿宋_GB2312" w:hAnsi="仿宋_GB2312" w:cs="仿宋_GB2312"/>
          <w:color w:val="000000"/>
          <w:kern w:val="0"/>
          <w:szCs w:val="32"/>
        </w:rPr>
        <w:t>万元。安排基本支出追加</w:t>
      </w:r>
      <w:r>
        <w:rPr>
          <w:rFonts w:hint="eastAsia" w:ascii="仿宋_GB2312" w:hAnsi="仿宋_GB2312" w:cs="仿宋_GB2312"/>
          <w:color w:val="000000"/>
          <w:kern w:val="0"/>
          <w:szCs w:val="32"/>
          <w:lang w:val="en-US" w:eastAsia="zh-CN"/>
        </w:rPr>
        <w:t>22.71</w:t>
      </w:r>
      <w:r>
        <w:rPr>
          <w:rFonts w:hint="eastAsia" w:ascii="仿宋_GB2312" w:hAnsi="仿宋_GB2312" w:cs="仿宋_GB2312"/>
          <w:color w:val="000000"/>
          <w:kern w:val="0"/>
          <w:szCs w:val="32"/>
        </w:rPr>
        <w:t>万元，项目支出追加</w:t>
      </w:r>
      <w:r>
        <w:rPr>
          <w:rFonts w:hint="eastAsia" w:ascii="仿宋_GB2312" w:hAnsi="仿宋_GB2312" w:cs="仿宋_GB2312"/>
        </w:rPr>
        <w:t>5.95</w:t>
      </w:r>
      <w:r>
        <w:rPr>
          <w:rFonts w:hint="eastAsia" w:ascii="仿宋_GB2312" w:hAnsi="仿宋_GB2312" w:cs="仿宋_GB2312"/>
          <w:color w:val="000000"/>
          <w:kern w:val="0"/>
          <w:szCs w:val="32"/>
        </w:rPr>
        <w:t>万元</w:t>
      </w:r>
      <w:r>
        <w:rPr>
          <w:rFonts w:hint="eastAsia" w:ascii="仿宋_GB2312" w:hAnsi="仿宋_GB2312" w:cs="仿宋_GB2312"/>
        </w:rPr>
        <w:t>。</w:t>
      </w:r>
    </w:p>
    <w:p w14:paraId="7C712276">
      <w:pPr>
        <w:adjustRightInd w:val="0"/>
        <w:snapToGrid w:val="0"/>
        <w:spacing w:line="560" w:lineRule="exact"/>
        <w:ind w:firstLine="643" w:firstLineChars="200"/>
        <w:contextualSpacing/>
        <w:jc w:val="left"/>
        <w:rPr>
          <w:rFonts w:eastAsia="楷体_GB2312"/>
          <w:b/>
          <w:szCs w:val="32"/>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w:t>
      </w:r>
      <w:r>
        <w:rPr>
          <w:rFonts w:eastAsia="楷体_GB2312"/>
          <w:b/>
          <w:szCs w:val="32"/>
        </w:rPr>
        <w:t>结余分配和结转结余情况</w:t>
      </w:r>
    </w:p>
    <w:p w14:paraId="4E2942A3">
      <w:pPr>
        <w:adjustRightInd w:val="0"/>
        <w:snapToGrid w:val="0"/>
        <w:spacing w:line="560" w:lineRule="exact"/>
        <w:ind w:firstLine="640" w:firstLineChars="200"/>
        <w:contextualSpacing/>
        <w:jc w:val="left"/>
        <w:rPr>
          <w:rFonts w:ascii="仿宋_GB2312" w:hAnsi="仿宋_GB2312" w:cs="仿宋_GB2312"/>
          <w:color w:val="000000"/>
          <w:kern w:val="0"/>
          <w:szCs w:val="32"/>
          <w:lang w:val="zh-CN"/>
        </w:rPr>
      </w:pPr>
      <w:r>
        <w:rPr>
          <w:rFonts w:hint="eastAsia" w:ascii="仿宋_GB2312" w:hAnsi="仿宋_GB2312" w:cs="仿宋_GB2312"/>
          <w:color w:val="000000"/>
          <w:kern w:val="0"/>
          <w:szCs w:val="32"/>
        </w:rPr>
        <w:t>黑水县</w:t>
      </w:r>
      <w:r>
        <w:rPr>
          <w:rFonts w:hint="eastAsia" w:ascii="仿宋_GB2312" w:hAnsi="仿宋_GB2312" w:cs="仿宋_GB2312"/>
          <w:color w:val="000000"/>
          <w:kern w:val="0"/>
          <w:szCs w:val="32"/>
          <w:lang w:eastAsia="zh-CN"/>
        </w:rPr>
        <w:t>审计局</w:t>
      </w:r>
      <w:r>
        <w:rPr>
          <w:rFonts w:hint="eastAsia" w:ascii="仿宋_GB2312" w:hAnsi="仿宋_GB2312" w:cs="仿宋_GB2312"/>
          <w:color w:val="000000"/>
          <w:kern w:val="0"/>
          <w:szCs w:val="32"/>
        </w:rPr>
        <w:t>2024年决算报表无结转结余情况。</w:t>
      </w:r>
    </w:p>
    <w:p w14:paraId="71E6DCFA">
      <w:pPr>
        <w:adjustRightInd w:val="0"/>
        <w:snapToGrid w:val="0"/>
        <w:spacing w:line="560" w:lineRule="exact"/>
        <w:ind w:firstLine="640" w:firstLineChars="200"/>
        <w:contextualSpacing/>
        <w:jc w:val="left"/>
        <w:rPr>
          <w:rFonts w:eastAsia="黑体"/>
          <w:color w:val="000000" w:themeColor="text1"/>
          <w:kern w:val="0"/>
          <w:szCs w:val="32"/>
          <w:shd w:val="clear" w:color="auto" w:fill="FFFFFF"/>
        </w:rPr>
      </w:pPr>
      <w:r>
        <w:rPr>
          <w:rFonts w:eastAsia="黑体"/>
          <w:color w:val="000000"/>
          <w:kern w:val="0"/>
          <w:szCs w:val="32"/>
          <w:shd w:val="clear" w:color="auto" w:fill="FFFFFF"/>
        </w:rPr>
        <w:t>三、部门预算绩效分析</w:t>
      </w:r>
    </w:p>
    <w:p w14:paraId="09AE31D4">
      <w:pPr>
        <w:adjustRightInd w:val="0"/>
        <w:snapToGrid w:val="0"/>
        <w:spacing w:line="560" w:lineRule="exact"/>
        <w:ind w:firstLine="643"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（一）部门预算总体绩效分析（分值65分，自评得分</w:t>
      </w:r>
      <w:r>
        <w:rPr>
          <w:rFonts w:hint="eastAsia" w:ascii="楷体_GB2312" w:hAnsi="楷体_GB2312" w:eastAsia="楷体_GB2312" w:cs="楷体_GB2312"/>
          <w:b/>
          <w:bCs/>
          <w:color w:val="000000"/>
          <w:kern w:val="0"/>
          <w:szCs w:val="32"/>
          <w:shd w:val="clear" w:color="auto" w:fill="FFFFFF"/>
          <w:lang w:val="en-US" w:eastAsia="zh-CN"/>
        </w:rPr>
        <w:t>51</w:t>
      </w:r>
      <w:r>
        <w:rPr>
          <w:rFonts w:hint="eastAsia" w:ascii="楷体_GB2312" w:hAnsi="楷体_GB2312" w:eastAsia="楷体_GB2312" w:cs="楷体_GB2312"/>
          <w:b/>
          <w:bCs/>
          <w:color w:val="000000"/>
          <w:kern w:val="0"/>
          <w:szCs w:val="32"/>
          <w:shd w:val="clear" w:color="auto" w:fill="FFFFFF"/>
          <w:lang w:val="zh-CN"/>
        </w:rPr>
        <w:t>分）</w:t>
      </w:r>
    </w:p>
    <w:p w14:paraId="051601ED">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根据2024年</w:t>
      </w:r>
      <w:r>
        <w:rPr>
          <w:rFonts w:hint="eastAsia" w:ascii="仿宋_GB2312" w:hAnsi="仿宋_GB2312" w:cs="仿宋_GB2312"/>
          <w:szCs w:val="32"/>
          <w:lang w:eastAsia="zh-CN"/>
        </w:rPr>
        <w:t>审计</w:t>
      </w:r>
      <w:r>
        <w:rPr>
          <w:rFonts w:hint="eastAsia" w:ascii="仿宋_GB2312" w:hAnsi="仿宋_GB2312" w:cs="仿宋_GB2312"/>
          <w:szCs w:val="32"/>
        </w:rPr>
        <w:t>工作要点和职能职责，结合单位实际，</w:t>
      </w:r>
      <w:r>
        <w:rPr>
          <w:rFonts w:hint="eastAsia" w:ascii="仿宋_GB2312" w:hAnsi="仿宋_GB2312" w:cs="仿宋_GB2312"/>
          <w:color w:val="000000"/>
          <w:kern w:val="0"/>
          <w:szCs w:val="32"/>
          <w:shd w:val="clear" w:color="auto" w:fill="FFFFFF"/>
          <w:lang w:val="zh-CN"/>
        </w:rPr>
        <w:t>部门预算绩效目标紧紧围绕履职效能、预算管理、财务管理、资产管理、采购管理方面设定全面绩效目标。</w:t>
      </w:r>
    </w:p>
    <w:p w14:paraId="232759E7">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履职效能。(分值15分，自评得分15分)</w:t>
      </w:r>
    </w:p>
    <w:p w14:paraId="4C7ACF18">
      <w:pPr>
        <w:spacing w:line="560" w:lineRule="exact"/>
        <w:ind w:firstLine="643" w:firstLineChars="200"/>
        <w:jc w:val="left"/>
        <w:rPr>
          <w:rFonts w:ascii="仿宋_GB2312" w:hAnsi="仿宋_GB2312" w:cs="仿宋_GB2312"/>
          <w:szCs w:val="32"/>
        </w:rPr>
      </w:pPr>
      <w:r>
        <w:rPr>
          <w:rFonts w:hint="eastAsia" w:ascii="仿宋_GB2312" w:hAnsi="仿宋_GB2312" w:cs="仿宋_GB2312"/>
          <w:b/>
          <w:szCs w:val="32"/>
        </w:rPr>
        <w:t>一是</w:t>
      </w:r>
      <w:r>
        <w:rPr>
          <w:rFonts w:hint="eastAsia" w:ascii="仿宋_GB2312" w:hAnsi="仿宋_GB2312" w:cs="仿宋_GB2312"/>
          <w:szCs w:val="32"/>
        </w:rPr>
        <w:t>预算执行管理不断加强。通过建立执行数据动态监控机制、提高财政资金拨付效率、加快预算执行进度，提高预算执行效率。</w:t>
      </w:r>
      <w:r>
        <w:rPr>
          <w:rFonts w:hint="eastAsia" w:ascii="仿宋_GB2312" w:hAnsi="仿宋_GB2312" w:cs="仿宋_GB2312"/>
          <w:b/>
          <w:szCs w:val="32"/>
        </w:rPr>
        <w:t>二是</w:t>
      </w:r>
      <w:r>
        <w:rPr>
          <w:rFonts w:hint="eastAsia" w:ascii="仿宋_GB2312" w:hAnsi="仿宋_GB2312" w:cs="仿宋_GB2312"/>
          <w:szCs w:val="32"/>
        </w:rPr>
        <w:t>持续提升财政管理服务水平，规范全口径预算管理、国库管理，会计信息质量监督管理等全过程动态监管机制不断健全。</w:t>
      </w:r>
      <w:r>
        <w:rPr>
          <w:rFonts w:hint="eastAsia" w:ascii="仿宋_GB2312" w:hAnsi="仿宋_GB2312" w:cs="仿宋_GB2312"/>
          <w:b/>
          <w:szCs w:val="32"/>
        </w:rPr>
        <w:t>三是</w:t>
      </w:r>
      <w:r>
        <w:rPr>
          <w:rFonts w:hint="eastAsia" w:ascii="仿宋_GB2312" w:hAnsi="仿宋_GB2312" w:cs="仿宋_GB2312"/>
          <w:szCs w:val="32"/>
        </w:rPr>
        <w:t>强化监督检查，确保各项财政政策的实施和财政资金安全、规范、有效运行。</w:t>
      </w:r>
      <w:r>
        <w:rPr>
          <w:rFonts w:hint="eastAsia" w:ascii="仿宋_GB2312" w:hAnsi="仿宋_GB2312" w:cs="仿宋_GB2312"/>
          <w:b/>
          <w:szCs w:val="32"/>
        </w:rPr>
        <w:t>四是</w:t>
      </w:r>
      <w:r>
        <w:rPr>
          <w:rFonts w:hint="eastAsia" w:ascii="仿宋_GB2312" w:hAnsi="仿宋_GB2312" w:cs="仿宋_GB2312"/>
          <w:szCs w:val="32"/>
        </w:rPr>
        <w:t>严格执行中央八项规定精神和党政机关厉行节约反对浪费条例，认真执行会议费、培训费、差旅费管理办法等有关规定，严格控制“三公”经费和一般性公用经费支出。</w:t>
      </w:r>
    </w:p>
    <w:p w14:paraId="0CC8A496">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w:t>
      </w:r>
      <w:r>
        <w:rPr>
          <w:rFonts w:hint="eastAsia" w:ascii="仿宋_GB2312" w:hAnsi="仿宋_GB2312" w:cs="仿宋_GB2312"/>
          <w:b/>
          <w:bCs/>
          <w:color w:val="000000"/>
          <w:kern w:val="0"/>
          <w:szCs w:val="32"/>
          <w:shd w:val="clear" w:color="auto" w:fill="FFFFFF"/>
          <w:lang w:val="zh-CN"/>
        </w:rPr>
        <w:t>预算管理。（分值25分，自评得分</w:t>
      </w:r>
      <w:r>
        <w:rPr>
          <w:rFonts w:hint="eastAsia" w:ascii="仿宋_GB2312" w:hAnsi="仿宋_GB2312" w:cs="仿宋_GB2312"/>
          <w:b/>
          <w:bCs/>
          <w:color w:val="000000"/>
          <w:kern w:val="0"/>
          <w:szCs w:val="32"/>
          <w:shd w:val="clear" w:color="auto" w:fill="FFFFFF"/>
          <w:lang w:val="en-US" w:eastAsia="zh-CN"/>
        </w:rPr>
        <w:t>20</w:t>
      </w:r>
      <w:r>
        <w:rPr>
          <w:rFonts w:hint="eastAsia" w:ascii="仿宋_GB2312" w:hAnsi="仿宋_GB2312" w:cs="仿宋_GB2312"/>
          <w:b/>
          <w:bCs/>
          <w:color w:val="000000"/>
          <w:kern w:val="0"/>
          <w:szCs w:val="32"/>
          <w:shd w:val="clear" w:color="auto" w:fill="FFFFFF"/>
          <w:lang w:val="zh-CN"/>
        </w:rPr>
        <w:t>分）</w:t>
      </w:r>
    </w:p>
    <w:p w14:paraId="63429ED0">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（1）预算编制质量。（分值8分，自评得分6分）</w:t>
      </w:r>
    </w:p>
    <w:p w14:paraId="5E36C85F">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rPr>
        <w:t>黑水县</w:t>
      </w:r>
      <w:r>
        <w:rPr>
          <w:rFonts w:hint="eastAsia" w:ascii="仿宋_GB2312" w:hAnsi="仿宋_GB2312" w:cs="仿宋_GB2312"/>
          <w:lang w:eastAsia="zh-CN"/>
        </w:rPr>
        <w:t>审计局</w:t>
      </w:r>
      <w:r>
        <w:rPr>
          <w:rFonts w:hint="eastAsia" w:ascii="仿宋_GB2312" w:hAnsi="仿宋_GB2312" w:cs="仿宋_GB2312"/>
          <w:szCs w:val="32"/>
        </w:rPr>
        <w:t>年度预算与中期规划和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信息运维服务、财政委托业务、其他财政事务等重点项目任务完成目标。</w:t>
      </w:r>
    </w:p>
    <w:p w14:paraId="42E896C0">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（2）单位收入统筹。（分值4分，自评得分4分）</w:t>
      </w:r>
    </w:p>
    <w:p w14:paraId="4F4099EB">
      <w:pPr>
        <w:spacing w:line="560" w:lineRule="exact"/>
        <w:ind w:firstLine="640" w:firstLineChars="200"/>
        <w:jc w:val="left"/>
        <w:rPr>
          <w:rFonts w:ascii="仿宋_GB2312" w:hAnsi="仿宋_GB2312" w:cs="仿宋_GB2312"/>
          <w:szCs w:val="32"/>
        </w:rPr>
      </w:pPr>
      <w:r>
        <w:rPr>
          <w:rFonts w:hint="eastAsia" w:ascii="仿宋_GB2312" w:hAnsi="仿宋_GB2312" w:cs="仿宋_GB2312"/>
        </w:rPr>
        <w:t>黑水县</w:t>
      </w:r>
      <w:r>
        <w:rPr>
          <w:rFonts w:hint="eastAsia" w:ascii="仿宋_GB2312" w:hAnsi="仿宋_GB2312" w:cs="仿宋_GB2312"/>
          <w:lang w:eastAsia="zh-CN"/>
        </w:rPr>
        <w:t>审计</w:t>
      </w:r>
      <w:r>
        <w:rPr>
          <w:rFonts w:hint="eastAsia" w:ascii="仿宋_GB2312" w:hAnsi="仿宋_GB2312" w:cs="仿宋_GB2312"/>
        </w:rPr>
        <w:t>局的收入全部为</w:t>
      </w:r>
      <w:r>
        <w:rPr>
          <w:rFonts w:hint="eastAsia" w:ascii="仿宋_GB2312" w:hAnsi="仿宋_GB2312" w:cs="仿宋_GB2312"/>
          <w:color w:val="000000"/>
          <w:kern w:val="0"/>
          <w:szCs w:val="32"/>
        </w:rPr>
        <w:t>一般公共预算财政拨款</w:t>
      </w:r>
      <w:r>
        <w:rPr>
          <w:rFonts w:hint="eastAsia" w:ascii="仿宋_GB2312" w:hAnsi="仿宋_GB2312" w:cs="仿宋_GB2312"/>
        </w:rPr>
        <w:t>收入和其他收入，收入来源合规。</w:t>
      </w:r>
    </w:p>
    <w:p w14:paraId="66EE37D1">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（3）支出执行进度。（分值6分，自评得分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14:paraId="1003DFA3">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w:t>
      </w:r>
      <w:r>
        <w:rPr>
          <w:rFonts w:hint="eastAsia" w:ascii="仿宋_GB2312" w:hAnsi="仿宋_GB2312" w:cs="仿宋_GB2312"/>
          <w:szCs w:val="32"/>
          <w:lang w:eastAsia="zh-CN"/>
        </w:rPr>
        <w:t>审计局</w:t>
      </w:r>
      <w:r>
        <w:rPr>
          <w:rFonts w:hint="eastAsia" w:ascii="仿宋_GB2312" w:hAnsi="仿宋_GB2312" w:cs="仿宋_GB2312"/>
          <w:szCs w:val="32"/>
        </w:rPr>
        <w:t>在执行过程中，截止6月30日完成预算执行进度40.71%，未达到50%；截止10月31日完成预算执行进度68.33%，未达到83.33%；12月完成预算进度达到100%。</w:t>
      </w:r>
    </w:p>
    <w:p w14:paraId="34AB1460">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（4）预算年终结余。（分值2分，自评得分2分）</w:t>
      </w:r>
    </w:p>
    <w:p w14:paraId="6605BD31">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在2024年决算报表无部门预算年终结余资金。</w:t>
      </w:r>
    </w:p>
    <w:p w14:paraId="729893AF">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（5）严控一般性支出。（分值5分，自评得分5分）</w:t>
      </w:r>
    </w:p>
    <w:p w14:paraId="6FD66641">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严格执行批复的各项支出预算，不擅自扩大支出范围、提高开支标准，严格按照预算批复的支出用途使用资金。</w:t>
      </w:r>
    </w:p>
    <w:p w14:paraId="6A81002B">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财务管理。（分值10分，自评得分10分）</w:t>
      </w:r>
    </w:p>
    <w:p w14:paraId="6375295C">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（1）财务管理制度。（分值4分，自评得分4分）</w:t>
      </w:r>
    </w:p>
    <w:p w14:paraId="36FB59ED">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严格执行《预算法》《政府会计制度》《黑水县</w:t>
      </w:r>
      <w:r>
        <w:rPr>
          <w:rFonts w:hint="eastAsia" w:ascii="仿宋_GB2312" w:hAnsi="仿宋_GB2312" w:cs="仿宋_GB2312"/>
          <w:szCs w:val="32"/>
          <w:lang w:eastAsia="zh-CN"/>
        </w:rPr>
        <w:t>审计局</w:t>
      </w:r>
      <w:r>
        <w:rPr>
          <w:rFonts w:hint="eastAsia" w:ascii="仿宋_GB2312" w:hAnsi="仿宋_GB2312" w:cs="仿宋_GB2312"/>
          <w:szCs w:val="32"/>
        </w:rPr>
        <w:t>机关内部控制制度汇编》、《黑水县</w:t>
      </w:r>
      <w:r>
        <w:rPr>
          <w:rFonts w:hint="eastAsia" w:ascii="仿宋_GB2312" w:hAnsi="仿宋_GB2312" w:cs="仿宋_GB2312"/>
          <w:szCs w:val="32"/>
          <w:lang w:eastAsia="zh-CN"/>
        </w:rPr>
        <w:t>审计局</w:t>
      </w:r>
      <w:r>
        <w:rPr>
          <w:rFonts w:hint="eastAsia" w:ascii="仿宋_GB2312" w:hAnsi="仿宋_GB2312" w:cs="仿宋_GB2312"/>
          <w:szCs w:val="32"/>
        </w:rPr>
        <w:t>机关内部控制手册》、《黑水县党政机关国内公务接待管理实施细则》、《黑水县行政事业单位会议费管理办法》、《黑水县行政事业单位差旅费管理办法》及相关财务管理规定的要求执行。</w:t>
      </w:r>
    </w:p>
    <w:p w14:paraId="7EE562DE">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（2）财务岗位设置。（分值2分，自评得分2分）</w:t>
      </w:r>
    </w:p>
    <w:p w14:paraId="14D0A674">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单位财务由局党组书记、局长和分管财务的领导负责，设会计、出纳各一名。</w:t>
      </w:r>
    </w:p>
    <w:p w14:paraId="11CA58A7">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（3）资金使用规范。（分值4分，自评得分4分）</w:t>
      </w:r>
    </w:p>
    <w:p w14:paraId="6732ECEC">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按照财务制度，对财务支出严格把关，确保经费使用合理规范，各项支出符合国家财经法规和财务管理制度规定；资金支付具有完整的审批程序和手续，符合部门预算批复的用途，不存在截留、挤占、挪用、虚列支出等情况。</w:t>
      </w:r>
    </w:p>
    <w:p w14:paraId="10979A15">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4.</w:t>
      </w:r>
      <w:r>
        <w:rPr>
          <w:rFonts w:hint="eastAsia" w:ascii="仿宋_GB2312" w:hAnsi="仿宋_GB2312" w:cs="仿宋_GB2312"/>
          <w:b/>
          <w:bCs/>
          <w:color w:val="000000"/>
          <w:kern w:val="0"/>
          <w:szCs w:val="32"/>
          <w:shd w:val="clear" w:color="auto" w:fill="FFFFFF"/>
          <w:lang w:val="zh-CN"/>
        </w:rPr>
        <w:t>资产管理。（分值9分，自评得</w:t>
      </w:r>
      <w:r>
        <w:rPr>
          <w:rFonts w:hint="eastAsia" w:ascii="仿宋_GB2312" w:hAnsi="仿宋_GB2312" w:cs="仿宋_GB2312"/>
          <w:b/>
          <w:bCs/>
          <w:color w:val="000000"/>
          <w:kern w:val="0"/>
          <w:szCs w:val="32"/>
          <w:shd w:val="clear" w:color="auto" w:fill="FFFFFF"/>
          <w:lang w:val="en-US" w:eastAsia="zh-CN"/>
        </w:rPr>
        <w:t>9</w:t>
      </w:r>
      <w:r>
        <w:rPr>
          <w:rFonts w:hint="eastAsia" w:ascii="仿宋_GB2312" w:hAnsi="仿宋_GB2312" w:cs="仿宋_GB2312"/>
          <w:b/>
          <w:bCs/>
          <w:color w:val="000000"/>
          <w:kern w:val="0"/>
          <w:szCs w:val="32"/>
          <w:shd w:val="clear" w:color="auto" w:fill="FFFFFF"/>
          <w:lang w:val="zh-CN"/>
        </w:rPr>
        <w:t>分）</w:t>
      </w:r>
    </w:p>
    <w:p w14:paraId="7D3216F2">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（1）人均资产变化率。（分值3分，自评得分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14:paraId="79DF4783">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2024年资产852.21万元，32人， 2023年资产933.84万元，38人，我单位人均资产通过资产占有情况和人口数量相比，资产得到有效利用。</w:t>
      </w:r>
    </w:p>
    <w:p w14:paraId="7E145730">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（2）人均资产利用率。（分值3分，自评得分3分）</w:t>
      </w:r>
    </w:p>
    <w:p w14:paraId="3CDE8CB2">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严格执行《行政事业单位国有资产管理暂行办法》（财政部令35号）《行政事业性国有资产管理条例》（国务院令738号）《四川省行政事业性国有资产管理办法》《四川省省直行政事业单位国有资产管理办法》（川办发〔2023〕20号）《阿坝州州直行政事业单位国有资产管理办法》（阿府办发〔2024〕9号）等有关规定，加强资产管理，建立资产管理制度，将各类资产录入到国有资产管理系统，实行资产动态管理。同时</w:t>
      </w:r>
      <w:r>
        <w:rPr>
          <w:rFonts w:hint="eastAsia" w:ascii="仿宋_GB2312" w:hAnsi="仿宋_GB2312" w:cs="仿宋_GB2312"/>
          <w:szCs w:val="32"/>
          <w:lang w:eastAsia="zh-CN"/>
        </w:rPr>
        <w:t>对</w:t>
      </w:r>
      <w:r>
        <w:rPr>
          <w:rFonts w:hint="eastAsia" w:ascii="仿宋_GB2312" w:hAnsi="仿宋_GB2312" w:cs="仿宋_GB2312"/>
          <w:szCs w:val="32"/>
        </w:rPr>
        <w:t>单位资产实行“谁使用、谁负责”的管理原则，及时进行资产清查盘点，</w:t>
      </w:r>
      <w:r>
        <w:rPr>
          <w:rFonts w:hint="eastAsia" w:ascii="仿宋_GB2312" w:hAnsi="仿宋_GB2312" w:cs="仿宋_GB2312"/>
          <w:szCs w:val="32"/>
          <w:lang w:eastAsia="zh-CN"/>
        </w:rPr>
        <w:t>确保</w:t>
      </w:r>
      <w:r>
        <w:rPr>
          <w:rFonts w:hint="eastAsia" w:ascii="仿宋_GB2312" w:hAnsi="仿宋_GB2312" w:cs="仿宋_GB2312"/>
          <w:szCs w:val="32"/>
        </w:rPr>
        <w:t>资产保存完整、使用合规、配置合理。资产账务管理合规，账实相符。2024年度资产处置规范。无闲置资产，固定资产利用率为100%。</w:t>
      </w:r>
    </w:p>
    <w:p w14:paraId="1D11C629">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（3）资产盘活率。（分值3分，自评得分3分）</w:t>
      </w:r>
    </w:p>
    <w:p w14:paraId="5A6DE059">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2024年无闲置一年以上的资产。</w:t>
      </w:r>
    </w:p>
    <w:p w14:paraId="0D046D6E">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5.</w:t>
      </w:r>
      <w:r>
        <w:rPr>
          <w:rFonts w:hint="eastAsia" w:ascii="仿宋_GB2312" w:hAnsi="仿宋_GB2312" w:cs="仿宋_GB2312"/>
          <w:b/>
          <w:bCs/>
          <w:color w:val="000000"/>
          <w:kern w:val="0"/>
          <w:szCs w:val="32"/>
          <w:shd w:val="clear" w:color="auto" w:fill="FFFFFF"/>
          <w:lang w:val="zh-CN"/>
        </w:rPr>
        <w:t>采购管理。（分值6分，自评得分</w:t>
      </w:r>
      <w:r>
        <w:rPr>
          <w:rFonts w:hint="eastAsia" w:ascii="仿宋_GB2312" w:hAnsi="仿宋_GB2312" w:cs="仿宋_GB2312"/>
          <w:b/>
          <w:bCs/>
          <w:color w:val="000000"/>
          <w:kern w:val="0"/>
          <w:szCs w:val="32"/>
          <w:shd w:val="clear" w:color="auto" w:fill="FFFFFF"/>
          <w:lang w:val="en-US" w:eastAsia="zh-CN"/>
        </w:rPr>
        <w:t>5</w:t>
      </w:r>
      <w:r>
        <w:rPr>
          <w:rFonts w:hint="eastAsia" w:ascii="仿宋_GB2312" w:hAnsi="仿宋_GB2312" w:cs="仿宋_GB2312"/>
          <w:b/>
          <w:bCs/>
          <w:color w:val="000000"/>
          <w:kern w:val="0"/>
          <w:szCs w:val="32"/>
          <w:shd w:val="clear" w:color="auto" w:fill="FFFFFF"/>
          <w:lang w:val="zh-CN"/>
        </w:rPr>
        <w:t>分）</w:t>
      </w:r>
    </w:p>
    <w:p w14:paraId="4F3DF01A">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（1）支持中小企业发展。（分值3分，自评得分3分）</w:t>
      </w:r>
    </w:p>
    <w:p w14:paraId="394DD4CA">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遵守《中华人民共和国政府采购实施条例》《中华人民共和国政府采购法》等政府采购相关法律法规，严格执行单位政府采购管理制度，对纳入政府采购的项目必须实行政府采购，严格按照政府采购组织形式与方式加强政府采购内部监督管理，严格履行政府采购审批程序。</w:t>
      </w:r>
    </w:p>
    <w:p w14:paraId="1661B3AC">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（2）采购执行率。（分值3分，自评得分</w:t>
      </w:r>
      <w:r>
        <w:rPr>
          <w:rFonts w:hint="eastAsia" w:ascii="仿宋_GB2312" w:hAnsi="仿宋_GB2312" w:cs="仿宋_GB2312"/>
          <w:szCs w:val="32"/>
          <w:lang w:val="en-US" w:eastAsia="zh-CN"/>
        </w:rPr>
        <w:t>2</w:t>
      </w:r>
      <w:r>
        <w:rPr>
          <w:rFonts w:hint="eastAsia" w:ascii="仿宋_GB2312" w:hAnsi="仿宋_GB2312" w:cs="仿宋_GB2312"/>
          <w:szCs w:val="32"/>
        </w:rPr>
        <w:t>分）</w:t>
      </w:r>
    </w:p>
    <w:p w14:paraId="587B5909">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2024年有政府采购服务项目</w:t>
      </w:r>
      <w:r>
        <w:rPr>
          <w:rFonts w:hint="eastAsia" w:ascii="仿宋_GB2312" w:hAnsi="仿宋_GB2312" w:cs="仿宋_GB2312"/>
          <w:szCs w:val="32"/>
          <w:lang w:val="en-US" w:eastAsia="zh-CN"/>
        </w:rPr>
        <w:t>1</w:t>
      </w:r>
      <w:r>
        <w:rPr>
          <w:rFonts w:hint="eastAsia" w:ascii="仿宋_GB2312" w:hAnsi="仿宋_GB2312" w:cs="仿宋_GB2312"/>
          <w:szCs w:val="32"/>
        </w:rPr>
        <w:t>个，</w:t>
      </w:r>
      <w:r>
        <w:rPr>
          <w:rFonts w:hint="eastAsia" w:ascii="仿宋_GB2312" w:hAnsi="仿宋_GB2312" w:cs="仿宋_GB2312"/>
          <w:szCs w:val="32"/>
          <w:lang w:eastAsia="zh-CN"/>
        </w:rPr>
        <w:t>采购办公电脑台、</w:t>
      </w:r>
      <w:r>
        <w:rPr>
          <w:rFonts w:hint="eastAsia" w:ascii="仿宋_GB2312" w:hAnsi="仿宋_GB2312" w:cs="仿宋_GB2312"/>
          <w:szCs w:val="32"/>
          <w:lang w:val="en-US" w:eastAsia="zh-CN"/>
        </w:rPr>
        <w:t>笔记本电脑，采购金额5.95万元。</w:t>
      </w:r>
      <w:r>
        <w:rPr>
          <w:rFonts w:hint="eastAsia" w:ascii="仿宋_GB2312" w:hAnsi="仿宋_GB2312" w:cs="仿宋_GB2312"/>
          <w:szCs w:val="32"/>
        </w:rPr>
        <w:t>不存在政府采购项目资金未支付情况。</w:t>
      </w:r>
      <w:bookmarkStart w:id="0" w:name="_GoBack"/>
      <w:bookmarkEnd w:id="0"/>
    </w:p>
    <w:p w14:paraId="3843CA88">
      <w:pPr>
        <w:adjustRightInd w:val="0"/>
        <w:snapToGrid w:val="0"/>
        <w:spacing w:line="560" w:lineRule="exact"/>
        <w:ind w:firstLine="643"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（二）部门预算项目绩效分析（分值35分，自评得分</w:t>
      </w:r>
      <w:r>
        <w:rPr>
          <w:rFonts w:hint="eastAsia" w:ascii="楷体_GB2312" w:hAnsi="楷体_GB2312" w:eastAsia="楷体_GB2312" w:cs="楷体_GB2312"/>
          <w:b/>
          <w:bCs/>
          <w:color w:val="000000"/>
          <w:kern w:val="0"/>
          <w:szCs w:val="32"/>
          <w:shd w:val="clear" w:color="auto" w:fill="FFFFFF"/>
          <w:lang w:val="en-US" w:eastAsia="zh-CN"/>
        </w:rPr>
        <w:t>31</w:t>
      </w:r>
      <w:r>
        <w:rPr>
          <w:rFonts w:hint="eastAsia" w:ascii="楷体_GB2312" w:hAnsi="楷体_GB2312" w:eastAsia="楷体_GB2312" w:cs="楷体_GB2312"/>
          <w:b/>
          <w:bCs/>
          <w:color w:val="000000"/>
          <w:kern w:val="0"/>
          <w:szCs w:val="32"/>
          <w:shd w:val="clear" w:color="auto" w:fill="FFFFFF"/>
          <w:lang w:val="zh-CN"/>
        </w:rPr>
        <w:t>分）</w:t>
      </w:r>
    </w:p>
    <w:p w14:paraId="622B2F5F">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常年项目绩效分析。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lang w:val="en-US" w:eastAsia="zh-CN"/>
        </w:rPr>
        <w:t>1</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rPr>
        <w:t xml:space="preserve">   </w:t>
      </w:r>
      <w:r>
        <w:rPr>
          <w:rFonts w:hint="eastAsia" w:ascii="仿宋_GB2312" w:hAnsi="仿宋_GB2312" w:cs="仿宋_GB2312"/>
          <w:color w:val="000000"/>
          <w:kern w:val="0"/>
          <w:szCs w:val="32"/>
          <w:shd w:val="clear" w:color="auto" w:fill="FFFFFF"/>
          <w:lang w:val="en-US" w:eastAsia="zh-CN"/>
        </w:rPr>
        <w:t>2</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14:paraId="5174FC01">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阶段（一次性）项目绩效分析。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rPr>
        <w:t>1</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lang w:val="en-US" w:eastAsia="zh-CN"/>
        </w:rPr>
        <w:t>2</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14:paraId="596BA4CC">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项目决策。(分值12分，自评得分12分)</w:t>
      </w:r>
    </w:p>
    <w:p w14:paraId="194E4DB4">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（1）决策程序。（分值4分，自评得分4分）</w:t>
      </w:r>
    </w:p>
    <w:p w14:paraId="6DCB8966">
      <w:pPr>
        <w:adjustRightInd w:val="0"/>
        <w:snapToGrid w:val="0"/>
        <w:spacing w:line="560" w:lineRule="exact"/>
        <w:ind w:firstLine="640" w:firstLineChars="200"/>
        <w:contextualSpacing/>
        <w:jc w:val="left"/>
        <w:rPr>
          <w:rFonts w:hint="eastAsia"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w:t>
      </w:r>
      <w:r>
        <w:rPr>
          <w:rFonts w:hint="eastAsia" w:ascii="仿宋_GB2312" w:hAnsi="仿宋_GB2312" w:cs="仿宋_GB2312"/>
          <w:color w:val="000000"/>
          <w:kern w:val="0"/>
          <w:szCs w:val="32"/>
          <w:shd w:val="clear" w:color="auto" w:fill="FFFFFF"/>
          <w:lang w:val="zh-CN" w:eastAsia="zh-CN"/>
        </w:rPr>
        <w:t>审计局</w:t>
      </w:r>
      <w:r>
        <w:rPr>
          <w:rFonts w:hint="eastAsia" w:ascii="仿宋_GB2312" w:hAnsi="仿宋_GB2312" w:cs="仿宋_GB2312"/>
          <w:color w:val="000000"/>
          <w:kern w:val="0"/>
          <w:szCs w:val="32"/>
          <w:shd w:val="clear" w:color="auto" w:fill="FFFFFF"/>
          <w:lang w:val="zh-CN"/>
        </w:rPr>
        <w:t>的部门预算项目总数</w:t>
      </w:r>
      <w:r>
        <w:rPr>
          <w:rFonts w:hint="eastAsia" w:ascii="仿宋_GB2312" w:hAnsi="仿宋_GB2312" w:cs="仿宋_GB2312"/>
          <w:color w:val="000000"/>
          <w:kern w:val="0"/>
          <w:szCs w:val="32"/>
          <w:shd w:val="clear" w:color="auto" w:fill="FFFFFF"/>
          <w:lang w:val="en-US" w:eastAsia="zh-CN"/>
        </w:rPr>
        <w:t>2</w:t>
      </w:r>
      <w:r>
        <w:rPr>
          <w:rFonts w:hint="eastAsia" w:ascii="仿宋_GB2312" w:hAnsi="仿宋_GB2312" w:cs="仿宋_GB2312"/>
          <w:color w:val="000000"/>
          <w:kern w:val="0"/>
          <w:szCs w:val="32"/>
          <w:shd w:val="clear" w:color="auto" w:fill="FFFFFF"/>
          <w:lang w:val="zh-CN"/>
        </w:rPr>
        <w:t>个，其中常年项目</w:t>
      </w:r>
      <w:r>
        <w:rPr>
          <w:rFonts w:hint="eastAsia" w:ascii="仿宋_GB2312" w:hAnsi="仿宋_GB2312" w:cs="仿宋_GB2312"/>
          <w:color w:val="000000"/>
          <w:kern w:val="0"/>
          <w:szCs w:val="32"/>
          <w:shd w:val="clear" w:color="auto" w:fill="FFFFFF"/>
          <w:lang w:val="en-US" w:eastAsia="zh-CN"/>
        </w:rPr>
        <w:t>1</w:t>
      </w:r>
      <w:r>
        <w:rPr>
          <w:rFonts w:hint="eastAsia" w:ascii="仿宋_GB2312" w:hAnsi="仿宋_GB2312" w:cs="仿宋_GB2312"/>
          <w:color w:val="000000"/>
          <w:kern w:val="0"/>
          <w:szCs w:val="32"/>
          <w:shd w:val="clear" w:color="auto" w:fill="FFFFFF"/>
          <w:lang w:val="zh-CN"/>
        </w:rPr>
        <w:t>个，分别为：</w:t>
      </w:r>
      <w:r>
        <w:rPr>
          <w:rFonts w:hint="eastAsia" w:ascii="仿宋_GB2312" w:hAnsi="仿宋_GB2312" w:cs="仿宋_GB2312"/>
          <w:color w:val="000000"/>
          <w:kern w:val="0"/>
          <w:szCs w:val="32"/>
          <w:shd w:val="clear" w:color="auto" w:fill="FFFFFF"/>
          <w:lang w:val="zh-CN" w:eastAsia="zh-CN"/>
        </w:rPr>
        <w:t>专项资金转移支付</w:t>
      </w:r>
      <w:r>
        <w:rPr>
          <w:rFonts w:hint="eastAsia" w:ascii="仿宋_GB2312" w:hAnsi="仿宋_GB2312" w:cs="仿宋_GB2312"/>
          <w:color w:val="000000"/>
          <w:kern w:val="0"/>
          <w:szCs w:val="32"/>
          <w:shd w:val="clear" w:color="auto" w:fill="FFFFFF"/>
          <w:lang w:val="zh-CN"/>
        </w:rPr>
        <w:t>。阶段（一次性）项目1个，为：</w:t>
      </w:r>
      <w:r>
        <w:rPr>
          <w:rFonts w:hint="eastAsia" w:ascii="仿宋_GB2312" w:hAnsi="仿宋_GB2312" w:cs="仿宋_GB2312"/>
          <w:color w:val="000000"/>
          <w:kern w:val="0"/>
          <w:szCs w:val="32"/>
          <w:shd w:val="clear" w:color="auto" w:fill="FFFFFF"/>
          <w:lang w:val="zh-CN" w:eastAsia="zh-CN"/>
        </w:rPr>
        <w:t>电脑采购</w:t>
      </w:r>
      <w:r>
        <w:rPr>
          <w:rFonts w:hint="eastAsia" w:ascii="仿宋_GB2312" w:hAnsi="仿宋_GB2312" w:cs="仿宋_GB2312"/>
          <w:color w:val="000000"/>
          <w:kern w:val="0"/>
          <w:szCs w:val="32"/>
          <w:shd w:val="clear" w:color="auto" w:fill="FFFFFF"/>
          <w:lang w:val="zh-CN"/>
        </w:rPr>
        <w:t>。本单位的</w:t>
      </w:r>
      <w:r>
        <w:rPr>
          <w:rFonts w:hint="eastAsia" w:ascii="仿宋_GB2312" w:hAnsi="仿宋_GB2312" w:cs="仿宋_GB2312"/>
          <w:color w:val="000000"/>
          <w:kern w:val="0"/>
          <w:szCs w:val="32"/>
          <w:shd w:val="clear" w:color="auto" w:fill="FFFFFF"/>
          <w:lang w:val="en-US" w:eastAsia="zh-CN"/>
        </w:rPr>
        <w:t>2</w:t>
      </w:r>
      <w:r>
        <w:rPr>
          <w:rFonts w:hint="eastAsia" w:ascii="仿宋_GB2312" w:hAnsi="仿宋_GB2312" w:cs="仿宋_GB2312"/>
          <w:color w:val="000000"/>
          <w:kern w:val="0"/>
          <w:szCs w:val="32"/>
          <w:shd w:val="clear" w:color="auto" w:fill="FFFFFF"/>
          <w:lang w:val="zh-CN"/>
        </w:rPr>
        <w:t>个项目召开党组会通过，申报程序合理，按规定开展事前评估论证、与部门“三定”方案确定的职责和部门中长期发展规划相匹配，符合部门年度工作任务。</w:t>
      </w:r>
    </w:p>
    <w:p w14:paraId="6FE0938E">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（2）目标设置。（分值4分，自评得分4分）</w:t>
      </w:r>
    </w:p>
    <w:p w14:paraId="60692CE4">
      <w:pPr>
        <w:spacing w:line="560" w:lineRule="exact"/>
        <w:ind w:firstLine="640" w:firstLineChars="200"/>
        <w:jc w:val="left"/>
        <w:rPr>
          <w:rFonts w:ascii="仿宋_GB2312" w:hAnsi="仿宋_GB2312" w:cs="仿宋_GB2312"/>
          <w:color w:val="0000FF"/>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在设置部门预算绩效目标时，根据2023年度工作总结及2024年度工作计划、部门职能职责、重点工作安排部署等资料设定部门预算绩效目标，绩效目标设置科学合理，规范完整，量化细化，与预算匹配。并分解为30条绩效指标，其中：数量指标14条、质量指标5条、时效指标3条，可持续影响指标4条，服务对象满意度指标1条、满意度指标3条。具体情况见下表：</w:t>
      </w:r>
    </w:p>
    <w:tbl>
      <w:tblPr>
        <w:tblStyle w:val="13"/>
        <w:tblW w:w="8940" w:type="dxa"/>
        <w:tblInd w:w="93" w:type="dxa"/>
        <w:tblLayout w:type="fixed"/>
        <w:tblCellMar>
          <w:top w:w="0" w:type="dxa"/>
          <w:left w:w="108" w:type="dxa"/>
          <w:bottom w:w="0" w:type="dxa"/>
          <w:right w:w="108" w:type="dxa"/>
        </w:tblCellMar>
      </w:tblPr>
      <w:tblGrid>
        <w:gridCol w:w="1080"/>
        <w:gridCol w:w="1470"/>
        <w:gridCol w:w="2990"/>
        <w:gridCol w:w="2190"/>
        <w:gridCol w:w="1210"/>
      </w:tblGrid>
      <w:tr w14:paraId="102B04D5">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8FDB46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1470" w:type="dxa"/>
            <w:tcBorders>
              <w:top w:val="single" w:color="auto" w:sz="4" w:space="0"/>
              <w:left w:val="nil"/>
              <w:bottom w:val="single" w:color="auto" w:sz="4" w:space="0"/>
              <w:right w:val="single" w:color="auto" w:sz="4" w:space="0"/>
            </w:tcBorders>
            <w:shd w:val="clear" w:color="auto" w:fill="auto"/>
            <w:noWrap/>
            <w:vAlign w:val="bottom"/>
          </w:tcPr>
          <w:p w14:paraId="36E9D8E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2990" w:type="dxa"/>
            <w:tcBorders>
              <w:top w:val="single" w:color="auto" w:sz="4" w:space="0"/>
              <w:left w:val="nil"/>
              <w:bottom w:val="single" w:color="auto" w:sz="4" w:space="0"/>
              <w:right w:val="single" w:color="auto" w:sz="4" w:space="0"/>
            </w:tcBorders>
            <w:shd w:val="clear" w:color="auto" w:fill="auto"/>
            <w:noWrap/>
            <w:vAlign w:val="bottom"/>
          </w:tcPr>
          <w:p w14:paraId="292B726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2190" w:type="dxa"/>
            <w:tcBorders>
              <w:top w:val="single" w:color="auto" w:sz="4" w:space="0"/>
              <w:left w:val="nil"/>
              <w:bottom w:val="single" w:color="auto" w:sz="4" w:space="0"/>
              <w:right w:val="single" w:color="auto" w:sz="4" w:space="0"/>
            </w:tcBorders>
            <w:shd w:val="clear" w:color="auto" w:fill="auto"/>
            <w:noWrap/>
            <w:vAlign w:val="bottom"/>
          </w:tcPr>
          <w:p w14:paraId="20776916">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年度指标值</w:t>
            </w:r>
          </w:p>
        </w:tc>
        <w:tc>
          <w:tcPr>
            <w:tcW w:w="1210" w:type="dxa"/>
            <w:tcBorders>
              <w:top w:val="single" w:color="auto" w:sz="4" w:space="0"/>
              <w:left w:val="nil"/>
              <w:bottom w:val="single" w:color="auto" w:sz="4" w:space="0"/>
              <w:right w:val="single" w:color="auto" w:sz="4" w:space="0"/>
            </w:tcBorders>
            <w:shd w:val="clear" w:color="000000" w:fill="FFFFFF"/>
            <w:noWrap/>
            <w:vAlign w:val="bottom"/>
          </w:tcPr>
          <w:p w14:paraId="3484F38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全年执行情况</w:t>
            </w:r>
          </w:p>
        </w:tc>
      </w:tr>
      <w:tr w14:paraId="665BA311">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1E5D479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45C3FF9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数量指标</w:t>
            </w:r>
          </w:p>
        </w:tc>
        <w:tc>
          <w:tcPr>
            <w:tcW w:w="2990" w:type="dxa"/>
            <w:tcBorders>
              <w:top w:val="nil"/>
              <w:left w:val="nil"/>
              <w:bottom w:val="single" w:color="auto" w:sz="4" w:space="0"/>
              <w:right w:val="single" w:color="auto" w:sz="4" w:space="0"/>
            </w:tcBorders>
            <w:shd w:val="clear" w:color="auto" w:fill="auto"/>
            <w:noWrap/>
            <w:vAlign w:val="bottom"/>
          </w:tcPr>
          <w:p w14:paraId="7EF637A2">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大财政审计</w:t>
            </w:r>
          </w:p>
        </w:tc>
        <w:tc>
          <w:tcPr>
            <w:tcW w:w="2190" w:type="dxa"/>
            <w:tcBorders>
              <w:top w:val="nil"/>
              <w:left w:val="nil"/>
              <w:bottom w:val="single" w:color="auto" w:sz="4" w:space="0"/>
              <w:right w:val="single" w:color="auto" w:sz="4" w:space="0"/>
            </w:tcBorders>
            <w:shd w:val="clear" w:color="auto" w:fill="auto"/>
            <w:noWrap/>
            <w:vAlign w:val="bottom"/>
          </w:tcPr>
          <w:p w14:paraId="7DF276D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202D962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7FCD1DC6">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D74CB9C">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6D8BBEE">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EC5988B">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自然资源审计</w:t>
            </w:r>
          </w:p>
        </w:tc>
        <w:tc>
          <w:tcPr>
            <w:tcW w:w="2190" w:type="dxa"/>
            <w:tcBorders>
              <w:top w:val="nil"/>
              <w:left w:val="nil"/>
              <w:bottom w:val="single" w:color="auto" w:sz="4" w:space="0"/>
              <w:right w:val="single" w:color="auto" w:sz="4" w:space="0"/>
            </w:tcBorders>
            <w:shd w:val="clear" w:color="auto" w:fill="auto"/>
            <w:noWrap/>
            <w:vAlign w:val="bottom"/>
          </w:tcPr>
          <w:p w14:paraId="2BC55E54">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5D26071A">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11CEF03C">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A8191B3">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FEEB993">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6B783669">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经济责任审计</w:t>
            </w:r>
          </w:p>
        </w:tc>
        <w:tc>
          <w:tcPr>
            <w:tcW w:w="2190" w:type="dxa"/>
            <w:tcBorders>
              <w:top w:val="nil"/>
              <w:left w:val="nil"/>
              <w:bottom w:val="single" w:color="auto" w:sz="4" w:space="0"/>
              <w:right w:val="single" w:color="auto" w:sz="4" w:space="0"/>
            </w:tcBorders>
            <w:shd w:val="clear" w:color="auto" w:fill="auto"/>
            <w:noWrap/>
            <w:vAlign w:val="bottom"/>
          </w:tcPr>
          <w:p w14:paraId="72F4048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2D3824F6">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34E40F38">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E251BC5">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49850D5">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66C87B2">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内部审计</w:t>
            </w:r>
          </w:p>
        </w:tc>
        <w:tc>
          <w:tcPr>
            <w:tcW w:w="2190" w:type="dxa"/>
            <w:tcBorders>
              <w:top w:val="nil"/>
              <w:left w:val="nil"/>
              <w:bottom w:val="single" w:color="auto" w:sz="4" w:space="0"/>
              <w:right w:val="single" w:color="auto" w:sz="4" w:space="0"/>
            </w:tcBorders>
            <w:shd w:val="clear" w:color="auto" w:fill="auto"/>
            <w:noWrap/>
            <w:vAlign w:val="bottom"/>
          </w:tcPr>
          <w:p w14:paraId="6CD00DC8">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0AD543A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3E082CA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D37B5D1">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692BF0B2">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3AA56BF7">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寺庙审计</w:t>
            </w:r>
          </w:p>
        </w:tc>
        <w:tc>
          <w:tcPr>
            <w:tcW w:w="2190" w:type="dxa"/>
            <w:tcBorders>
              <w:top w:val="nil"/>
              <w:left w:val="nil"/>
              <w:bottom w:val="single" w:color="auto" w:sz="4" w:space="0"/>
              <w:right w:val="single" w:color="auto" w:sz="4" w:space="0"/>
            </w:tcBorders>
            <w:shd w:val="clear" w:color="auto" w:fill="auto"/>
            <w:noWrap/>
            <w:vAlign w:val="bottom"/>
          </w:tcPr>
          <w:p w14:paraId="41D7717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≥1个</w:t>
            </w:r>
          </w:p>
        </w:tc>
        <w:tc>
          <w:tcPr>
            <w:tcW w:w="1210" w:type="dxa"/>
            <w:tcBorders>
              <w:top w:val="nil"/>
              <w:left w:val="nil"/>
              <w:bottom w:val="single" w:color="auto" w:sz="4" w:space="0"/>
              <w:right w:val="single" w:color="auto" w:sz="4" w:space="0"/>
            </w:tcBorders>
            <w:shd w:val="clear" w:color="000000" w:fill="FFFFFF"/>
            <w:noWrap/>
            <w:vAlign w:val="bottom"/>
          </w:tcPr>
          <w:p w14:paraId="7CAEA07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6D32406C">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32E1148">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1E5F4C3">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81C58AA">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固定资产审计</w:t>
            </w:r>
          </w:p>
        </w:tc>
        <w:tc>
          <w:tcPr>
            <w:tcW w:w="2190" w:type="dxa"/>
            <w:tcBorders>
              <w:top w:val="nil"/>
              <w:left w:val="nil"/>
              <w:bottom w:val="single" w:color="auto" w:sz="4" w:space="0"/>
              <w:right w:val="single" w:color="auto" w:sz="4" w:space="0"/>
            </w:tcBorders>
            <w:shd w:val="clear" w:color="auto" w:fill="auto"/>
            <w:noWrap/>
            <w:vAlign w:val="bottom"/>
          </w:tcPr>
          <w:p w14:paraId="1C830E4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0208EC9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19E69404">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99D14BB">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18BDF19">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1A1A7D32">
            <w:pPr>
              <w:ind w:firstLine="1050" w:firstLineChars="5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跟踪审计</w:t>
            </w:r>
          </w:p>
        </w:tc>
        <w:tc>
          <w:tcPr>
            <w:tcW w:w="2190" w:type="dxa"/>
            <w:tcBorders>
              <w:top w:val="nil"/>
              <w:left w:val="nil"/>
              <w:bottom w:val="single" w:color="auto" w:sz="4" w:space="0"/>
              <w:right w:val="single" w:color="auto" w:sz="4" w:space="0"/>
            </w:tcBorders>
            <w:shd w:val="clear" w:color="auto" w:fill="auto"/>
            <w:noWrap/>
            <w:vAlign w:val="bottom"/>
          </w:tcPr>
          <w:p w14:paraId="6212222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≥2个</w:t>
            </w:r>
          </w:p>
        </w:tc>
        <w:tc>
          <w:tcPr>
            <w:tcW w:w="1210" w:type="dxa"/>
            <w:tcBorders>
              <w:top w:val="nil"/>
              <w:left w:val="nil"/>
              <w:bottom w:val="single" w:color="auto" w:sz="4" w:space="0"/>
              <w:right w:val="single" w:color="auto" w:sz="4" w:space="0"/>
            </w:tcBorders>
            <w:shd w:val="clear" w:color="000000" w:fill="FFFFFF"/>
            <w:noWrap/>
            <w:vAlign w:val="bottom"/>
          </w:tcPr>
          <w:p w14:paraId="13C9535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4F88DBF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9DB4024">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EB07383">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C379A1B">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回头看审计整改情况</w:t>
            </w:r>
          </w:p>
        </w:tc>
        <w:tc>
          <w:tcPr>
            <w:tcW w:w="2190" w:type="dxa"/>
            <w:tcBorders>
              <w:top w:val="nil"/>
              <w:left w:val="nil"/>
              <w:bottom w:val="single" w:color="auto" w:sz="4" w:space="0"/>
              <w:right w:val="single" w:color="auto" w:sz="4" w:space="0"/>
            </w:tcBorders>
            <w:shd w:val="clear" w:color="auto" w:fill="auto"/>
            <w:noWrap/>
            <w:vAlign w:val="bottom"/>
          </w:tcPr>
          <w:p w14:paraId="704912F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5E28309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134F7BD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482ABBE">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FFA4DDC">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FDDA0B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开展事前绩效评估数量</w:t>
            </w:r>
          </w:p>
        </w:tc>
        <w:tc>
          <w:tcPr>
            <w:tcW w:w="2190" w:type="dxa"/>
            <w:tcBorders>
              <w:top w:val="nil"/>
              <w:left w:val="nil"/>
              <w:bottom w:val="single" w:color="auto" w:sz="4" w:space="0"/>
              <w:right w:val="single" w:color="auto" w:sz="4" w:space="0"/>
            </w:tcBorders>
            <w:shd w:val="clear" w:color="auto" w:fill="auto"/>
            <w:noWrap/>
            <w:vAlign w:val="bottom"/>
          </w:tcPr>
          <w:p w14:paraId="5348E96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07A3748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22E3166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C38932E">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58DFA0B">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576FD2B">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部门预算审计</w:t>
            </w:r>
          </w:p>
        </w:tc>
        <w:tc>
          <w:tcPr>
            <w:tcW w:w="2190" w:type="dxa"/>
            <w:tcBorders>
              <w:top w:val="nil"/>
              <w:left w:val="nil"/>
              <w:bottom w:val="single" w:color="auto" w:sz="4" w:space="0"/>
              <w:right w:val="single" w:color="auto" w:sz="4" w:space="0"/>
            </w:tcBorders>
            <w:shd w:val="clear" w:color="auto" w:fill="auto"/>
            <w:noWrap/>
            <w:vAlign w:val="bottom"/>
          </w:tcPr>
          <w:p w14:paraId="4370E4C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14:paraId="70C166EA">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5F3B363C">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B322C77">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2FB0646">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29AD09A">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上下联动审计</w:t>
            </w:r>
          </w:p>
        </w:tc>
        <w:tc>
          <w:tcPr>
            <w:tcW w:w="2190" w:type="dxa"/>
            <w:tcBorders>
              <w:top w:val="nil"/>
              <w:left w:val="nil"/>
              <w:bottom w:val="single" w:color="auto" w:sz="4" w:space="0"/>
              <w:right w:val="single" w:color="auto" w:sz="4" w:space="0"/>
            </w:tcBorders>
            <w:shd w:val="clear" w:color="auto" w:fill="auto"/>
            <w:noWrap/>
            <w:vAlign w:val="bottom"/>
          </w:tcPr>
          <w:p w14:paraId="07C90468">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5720104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42BB2850">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14:paraId="41448135">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76F6C3F">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2DDA7D04">
            <w:pPr>
              <w:widowControl/>
              <w:ind w:firstLine="420" w:firstLineChars="200"/>
              <w:jc w:val="both"/>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聘请第三方人员</w:t>
            </w:r>
          </w:p>
        </w:tc>
        <w:tc>
          <w:tcPr>
            <w:tcW w:w="2190" w:type="dxa"/>
            <w:tcBorders>
              <w:top w:val="nil"/>
              <w:left w:val="nil"/>
              <w:bottom w:val="single" w:color="auto" w:sz="4" w:space="0"/>
              <w:right w:val="single" w:color="auto" w:sz="4" w:space="0"/>
            </w:tcBorders>
            <w:shd w:val="clear" w:color="auto" w:fill="auto"/>
            <w:noWrap/>
            <w:vAlign w:val="bottom"/>
          </w:tcPr>
          <w:p w14:paraId="623B7FEB">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6</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4E76BAF9">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6人</w:t>
            </w:r>
          </w:p>
        </w:tc>
      </w:tr>
      <w:tr w14:paraId="76DB8FC4">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4091C42">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E73F25D">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1B9BCD0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劳务派遣人数</w:t>
            </w:r>
          </w:p>
        </w:tc>
        <w:tc>
          <w:tcPr>
            <w:tcW w:w="2190" w:type="dxa"/>
            <w:tcBorders>
              <w:top w:val="nil"/>
              <w:left w:val="nil"/>
              <w:bottom w:val="single" w:color="auto" w:sz="4" w:space="0"/>
              <w:right w:val="single" w:color="auto" w:sz="4" w:space="0"/>
            </w:tcBorders>
            <w:shd w:val="clear" w:color="auto" w:fill="auto"/>
            <w:noWrap/>
            <w:vAlign w:val="bottom"/>
          </w:tcPr>
          <w:p w14:paraId="1538866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6EF76B3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6F2E2E9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B54FD43">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C55E0D3">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839B27E">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大数据审计项目</w:t>
            </w:r>
          </w:p>
        </w:tc>
        <w:tc>
          <w:tcPr>
            <w:tcW w:w="2190" w:type="dxa"/>
            <w:tcBorders>
              <w:top w:val="nil"/>
              <w:left w:val="nil"/>
              <w:bottom w:val="single" w:color="auto" w:sz="4" w:space="0"/>
              <w:right w:val="single" w:color="auto" w:sz="4" w:space="0"/>
            </w:tcBorders>
            <w:shd w:val="clear" w:color="auto" w:fill="auto"/>
            <w:noWrap/>
            <w:vAlign w:val="bottom"/>
          </w:tcPr>
          <w:p w14:paraId="6B720D6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14:paraId="17F3299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14:paraId="0A8A2158">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74E093A">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01EB40B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时效指标</w:t>
            </w:r>
          </w:p>
        </w:tc>
        <w:tc>
          <w:tcPr>
            <w:tcW w:w="2990" w:type="dxa"/>
            <w:tcBorders>
              <w:top w:val="nil"/>
              <w:left w:val="nil"/>
              <w:bottom w:val="single" w:color="auto" w:sz="4" w:space="0"/>
              <w:right w:val="single" w:color="auto" w:sz="4" w:space="0"/>
            </w:tcBorders>
            <w:shd w:val="clear" w:color="auto" w:fill="auto"/>
            <w:noWrap/>
            <w:vAlign w:val="bottom"/>
          </w:tcPr>
          <w:p w14:paraId="4EC0BED9">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解决问题的及时性</w:t>
            </w:r>
          </w:p>
        </w:tc>
        <w:tc>
          <w:tcPr>
            <w:tcW w:w="2190" w:type="dxa"/>
            <w:tcBorders>
              <w:top w:val="nil"/>
              <w:left w:val="nil"/>
              <w:bottom w:val="single" w:color="auto" w:sz="4" w:space="0"/>
              <w:right w:val="single" w:color="auto" w:sz="4" w:space="0"/>
            </w:tcBorders>
            <w:shd w:val="clear" w:color="auto" w:fill="auto"/>
            <w:noWrap/>
            <w:vAlign w:val="bottom"/>
          </w:tcPr>
          <w:p w14:paraId="675CF54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等于95%</w:t>
            </w:r>
          </w:p>
        </w:tc>
        <w:tc>
          <w:tcPr>
            <w:tcW w:w="1210" w:type="dxa"/>
            <w:tcBorders>
              <w:top w:val="nil"/>
              <w:left w:val="nil"/>
              <w:bottom w:val="single" w:color="auto" w:sz="4" w:space="0"/>
              <w:right w:val="single" w:color="auto" w:sz="4" w:space="0"/>
            </w:tcBorders>
            <w:shd w:val="clear" w:color="000000" w:fill="FFFFFF"/>
            <w:noWrap/>
            <w:vAlign w:val="bottom"/>
          </w:tcPr>
          <w:p w14:paraId="591F299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2AE16772">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56DB5CF">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46BA397">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5A3D2ED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报告提交及时性</w:t>
            </w:r>
          </w:p>
        </w:tc>
        <w:tc>
          <w:tcPr>
            <w:tcW w:w="2190" w:type="dxa"/>
            <w:tcBorders>
              <w:top w:val="nil"/>
              <w:left w:val="nil"/>
              <w:bottom w:val="single" w:color="auto" w:sz="4" w:space="0"/>
              <w:right w:val="single" w:color="auto" w:sz="4" w:space="0"/>
            </w:tcBorders>
            <w:shd w:val="clear" w:color="auto" w:fill="auto"/>
            <w:noWrap/>
            <w:vAlign w:val="bottom"/>
          </w:tcPr>
          <w:p w14:paraId="7769C51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2ECE4E2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0EEF2F29">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C46A294">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983F13B">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235AB409">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审计项目完成</w:t>
            </w:r>
            <w:r>
              <w:rPr>
                <w:rFonts w:hint="eastAsia" w:ascii="宋体" w:hAnsi="宋体" w:eastAsia="宋体" w:cs="宋体"/>
                <w:color w:val="000000"/>
                <w:kern w:val="0"/>
                <w:sz w:val="21"/>
                <w:szCs w:val="21"/>
              </w:rPr>
              <w:t>时率</w:t>
            </w:r>
          </w:p>
        </w:tc>
        <w:tc>
          <w:tcPr>
            <w:tcW w:w="2190" w:type="dxa"/>
            <w:tcBorders>
              <w:top w:val="nil"/>
              <w:left w:val="nil"/>
              <w:bottom w:val="single" w:color="auto" w:sz="4" w:space="0"/>
              <w:right w:val="single" w:color="auto" w:sz="4" w:space="0"/>
            </w:tcBorders>
            <w:shd w:val="clear" w:color="auto" w:fill="auto"/>
            <w:noWrap/>
            <w:vAlign w:val="bottom"/>
          </w:tcPr>
          <w:p w14:paraId="45F6D3B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90</w:t>
            </w:r>
            <w:r>
              <w:rPr>
                <w:rFonts w:hint="eastAsia" w:ascii="宋体" w:hAnsi="宋体" w:eastAsia="宋体" w:cs="宋体"/>
                <w:color w:val="000000"/>
                <w:kern w:val="0"/>
                <w:sz w:val="21"/>
                <w:szCs w:val="21"/>
              </w:rPr>
              <w:t>%</w:t>
            </w:r>
          </w:p>
        </w:tc>
        <w:tc>
          <w:tcPr>
            <w:tcW w:w="1210" w:type="dxa"/>
            <w:tcBorders>
              <w:top w:val="nil"/>
              <w:left w:val="nil"/>
              <w:bottom w:val="single" w:color="auto" w:sz="4" w:space="0"/>
              <w:right w:val="single" w:color="auto" w:sz="4" w:space="0"/>
            </w:tcBorders>
            <w:shd w:val="clear" w:color="000000" w:fill="FFFFFF"/>
            <w:noWrap/>
            <w:vAlign w:val="bottom"/>
          </w:tcPr>
          <w:p w14:paraId="45AF528F">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90</w:t>
            </w:r>
            <w:r>
              <w:rPr>
                <w:rFonts w:hint="eastAsia" w:ascii="宋体" w:hAnsi="宋体" w:eastAsia="宋体" w:cs="宋体"/>
                <w:color w:val="000000"/>
                <w:kern w:val="0"/>
                <w:sz w:val="21"/>
                <w:szCs w:val="21"/>
              </w:rPr>
              <w:t>%</w:t>
            </w:r>
          </w:p>
        </w:tc>
      </w:tr>
      <w:tr w14:paraId="3F872883">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42DD284">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001ACA0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质量指标</w:t>
            </w:r>
          </w:p>
        </w:tc>
        <w:tc>
          <w:tcPr>
            <w:tcW w:w="2990" w:type="dxa"/>
            <w:tcBorders>
              <w:top w:val="nil"/>
              <w:left w:val="nil"/>
              <w:bottom w:val="single" w:color="auto" w:sz="4" w:space="0"/>
              <w:right w:val="single" w:color="auto" w:sz="4" w:space="0"/>
            </w:tcBorders>
            <w:shd w:val="clear" w:color="auto" w:fill="auto"/>
            <w:noWrap/>
            <w:vAlign w:val="bottom"/>
          </w:tcPr>
          <w:p w14:paraId="51E3CAA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项目完成</w:t>
            </w:r>
            <w:r>
              <w:rPr>
                <w:rFonts w:hint="eastAsia" w:ascii="宋体" w:hAnsi="宋体" w:eastAsia="宋体" w:cs="宋体"/>
                <w:color w:val="000000"/>
                <w:kern w:val="0"/>
                <w:sz w:val="21"/>
                <w:szCs w:val="21"/>
              </w:rPr>
              <w:t>时间</w:t>
            </w:r>
          </w:p>
        </w:tc>
        <w:tc>
          <w:tcPr>
            <w:tcW w:w="2190" w:type="dxa"/>
            <w:tcBorders>
              <w:top w:val="nil"/>
              <w:left w:val="nil"/>
              <w:bottom w:val="single" w:color="auto" w:sz="4" w:space="0"/>
              <w:right w:val="single" w:color="auto" w:sz="4" w:space="0"/>
            </w:tcBorders>
            <w:shd w:val="clear" w:color="auto" w:fill="auto"/>
            <w:noWrap/>
            <w:vAlign w:val="bottom"/>
          </w:tcPr>
          <w:p w14:paraId="5992C5C2">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2024年</w:t>
            </w:r>
          </w:p>
        </w:tc>
        <w:tc>
          <w:tcPr>
            <w:tcW w:w="1210" w:type="dxa"/>
            <w:tcBorders>
              <w:top w:val="nil"/>
              <w:left w:val="nil"/>
              <w:bottom w:val="single" w:color="auto" w:sz="4" w:space="0"/>
              <w:right w:val="single" w:color="auto" w:sz="4" w:space="0"/>
            </w:tcBorders>
            <w:shd w:val="clear" w:color="000000" w:fill="FFFFFF"/>
            <w:noWrap/>
            <w:vAlign w:val="bottom"/>
          </w:tcPr>
          <w:p w14:paraId="5B886577">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2024</w:t>
            </w:r>
          </w:p>
        </w:tc>
      </w:tr>
      <w:tr w14:paraId="15333744">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5674155">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5103351">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2C60EB43">
            <w:pPr>
              <w:widowControl/>
              <w:ind w:firstLine="840" w:firstLineChars="400"/>
              <w:jc w:val="both"/>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项目质量达到</w:t>
            </w:r>
          </w:p>
        </w:tc>
        <w:tc>
          <w:tcPr>
            <w:tcW w:w="2190" w:type="dxa"/>
            <w:tcBorders>
              <w:top w:val="nil"/>
              <w:left w:val="nil"/>
              <w:bottom w:val="single" w:color="auto" w:sz="4" w:space="0"/>
              <w:right w:val="single" w:color="auto" w:sz="4" w:space="0"/>
            </w:tcBorders>
            <w:shd w:val="clear" w:color="auto" w:fill="auto"/>
            <w:noWrap/>
            <w:vAlign w:val="bottom"/>
          </w:tcPr>
          <w:p w14:paraId="02685C5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73D21AA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606962F1">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A120A77">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646014DD">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46FBFBD2">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审计整改复回头看</w:t>
            </w:r>
          </w:p>
        </w:tc>
        <w:tc>
          <w:tcPr>
            <w:tcW w:w="2190" w:type="dxa"/>
            <w:tcBorders>
              <w:top w:val="nil"/>
              <w:left w:val="nil"/>
              <w:bottom w:val="single" w:color="auto" w:sz="4" w:space="0"/>
              <w:right w:val="single" w:color="auto" w:sz="4" w:space="0"/>
            </w:tcBorders>
            <w:shd w:val="clear" w:color="auto" w:fill="auto"/>
            <w:noWrap/>
            <w:vAlign w:val="bottom"/>
          </w:tcPr>
          <w:p w14:paraId="6D92DA0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4C7E66B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3F03F3C6">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A280723">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88587CB">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BA5F14F">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提出审计建议</w:t>
            </w:r>
          </w:p>
        </w:tc>
        <w:tc>
          <w:tcPr>
            <w:tcW w:w="2190" w:type="dxa"/>
            <w:tcBorders>
              <w:top w:val="nil"/>
              <w:left w:val="nil"/>
              <w:bottom w:val="single" w:color="auto" w:sz="4" w:space="0"/>
              <w:right w:val="single" w:color="auto" w:sz="4" w:space="0"/>
            </w:tcBorders>
            <w:shd w:val="clear" w:color="auto" w:fill="auto"/>
            <w:noWrap/>
            <w:vAlign w:val="bottom"/>
          </w:tcPr>
          <w:p w14:paraId="0A8E58F5">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25条左右</w:t>
            </w:r>
          </w:p>
        </w:tc>
        <w:tc>
          <w:tcPr>
            <w:tcW w:w="1210" w:type="dxa"/>
            <w:tcBorders>
              <w:top w:val="nil"/>
              <w:left w:val="nil"/>
              <w:bottom w:val="single" w:color="auto" w:sz="4" w:space="0"/>
              <w:right w:val="single" w:color="auto" w:sz="4" w:space="0"/>
            </w:tcBorders>
            <w:shd w:val="clear" w:color="000000" w:fill="FFFFFF"/>
            <w:noWrap/>
            <w:vAlign w:val="bottom"/>
          </w:tcPr>
          <w:p w14:paraId="21F34EB7">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25</w:t>
            </w:r>
          </w:p>
        </w:tc>
      </w:tr>
      <w:tr w14:paraId="4DADDA15">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C72167A">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7B26869">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623E4758">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eastAsia="zh-CN"/>
              </w:rPr>
              <w:t>审计问题发现在</w:t>
            </w:r>
            <w:r>
              <w:rPr>
                <w:rFonts w:hint="eastAsia" w:ascii="宋体" w:hAnsi="宋体" w:eastAsia="宋体" w:cs="宋体"/>
                <w:color w:val="000000"/>
                <w:kern w:val="0"/>
                <w:sz w:val="21"/>
                <w:szCs w:val="21"/>
                <w:lang w:val="en-US" w:eastAsia="zh-CN"/>
              </w:rPr>
              <w:t>40个左右</w:t>
            </w:r>
          </w:p>
        </w:tc>
        <w:tc>
          <w:tcPr>
            <w:tcW w:w="2190" w:type="dxa"/>
            <w:tcBorders>
              <w:top w:val="nil"/>
              <w:left w:val="nil"/>
              <w:bottom w:val="single" w:color="auto" w:sz="4" w:space="0"/>
              <w:right w:val="single" w:color="auto" w:sz="4" w:space="0"/>
            </w:tcBorders>
            <w:shd w:val="clear" w:color="auto" w:fill="auto"/>
            <w:noWrap/>
            <w:vAlign w:val="bottom"/>
          </w:tcPr>
          <w:p w14:paraId="359CEEC6">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90%</w:t>
            </w:r>
          </w:p>
        </w:tc>
        <w:tc>
          <w:tcPr>
            <w:tcW w:w="1210" w:type="dxa"/>
            <w:tcBorders>
              <w:top w:val="nil"/>
              <w:left w:val="nil"/>
              <w:bottom w:val="single" w:color="auto" w:sz="4" w:space="0"/>
              <w:right w:val="single" w:color="auto" w:sz="4" w:space="0"/>
            </w:tcBorders>
            <w:shd w:val="clear" w:color="000000" w:fill="FFFFFF"/>
            <w:noWrap/>
            <w:vAlign w:val="bottom"/>
          </w:tcPr>
          <w:p w14:paraId="179A3936">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90%</w:t>
            </w:r>
          </w:p>
        </w:tc>
      </w:tr>
      <w:tr w14:paraId="6F613285">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2E2311B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3B2D093B">
            <w:pPr>
              <w:spacing w:line="240" w:lineRule="exact"/>
              <w:jc w:val="center"/>
            </w:pPr>
            <w:r>
              <w:rPr>
                <w:rFonts w:hint="eastAsia" w:ascii="宋体" w:hAnsi="宋体" w:eastAsia="宋体" w:cs="宋体"/>
                <w:color w:val="000000"/>
                <w:kern w:val="0"/>
                <w:sz w:val="21"/>
                <w:szCs w:val="21"/>
              </w:rPr>
              <w:t>可持续影响指标</w:t>
            </w:r>
          </w:p>
          <w:p w14:paraId="79717281">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0EF475E">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审计项目连续性</w:t>
            </w:r>
          </w:p>
        </w:tc>
        <w:tc>
          <w:tcPr>
            <w:tcW w:w="2190" w:type="dxa"/>
            <w:tcBorders>
              <w:top w:val="nil"/>
              <w:left w:val="nil"/>
              <w:bottom w:val="single" w:color="auto" w:sz="4" w:space="0"/>
              <w:right w:val="single" w:color="auto" w:sz="4" w:space="0"/>
            </w:tcBorders>
            <w:shd w:val="clear" w:color="auto" w:fill="auto"/>
            <w:noWrap/>
            <w:vAlign w:val="bottom"/>
          </w:tcPr>
          <w:p w14:paraId="20C4035E">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1210" w:type="dxa"/>
            <w:tcBorders>
              <w:top w:val="nil"/>
              <w:left w:val="nil"/>
              <w:bottom w:val="single" w:color="auto" w:sz="4" w:space="0"/>
              <w:right w:val="single" w:color="auto" w:sz="4" w:space="0"/>
            </w:tcBorders>
            <w:shd w:val="clear" w:color="000000" w:fill="FFFFFF"/>
            <w:noWrap/>
            <w:vAlign w:val="bottom"/>
          </w:tcPr>
          <w:p w14:paraId="469F72A6">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r>
      <w:tr w14:paraId="4D6DE4CF">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4D60F4DA">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BD0E7B9">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2BF626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保障工作开展及正常运转</w:t>
            </w:r>
          </w:p>
        </w:tc>
        <w:tc>
          <w:tcPr>
            <w:tcW w:w="2190" w:type="dxa"/>
            <w:tcBorders>
              <w:top w:val="nil"/>
              <w:left w:val="nil"/>
              <w:bottom w:val="single" w:color="auto" w:sz="4" w:space="0"/>
              <w:right w:val="single" w:color="auto" w:sz="4" w:space="0"/>
            </w:tcBorders>
            <w:shd w:val="clear" w:color="auto" w:fill="auto"/>
            <w:noWrap/>
            <w:vAlign w:val="bottom"/>
          </w:tcPr>
          <w:p w14:paraId="034B434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1F783907">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07FBC54F">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F7B796C">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097F588">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4F5075FD">
            <w:pPr>
              <w:widowControl/>
              <w:jc w:val="both"/>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审计整改问题整改合格率</w:t>
            </w:r>
          </w:p>
        </w:tc>
        <w:tc>
          <w:tcPr>
            <w:tcW w:w="2190" w:type="dxa"/>
            <w:tcBorders>
              <w:top w:val="nil"/>
              <w:left w:val="nil"/>
              <w:bottom w:val="single" w:color="auto" w:sz="4" w:space="0"/>
              <w:right w:val="single" w:color="auto" w:sz="4" w:space="0"/>
            </w:tcBorders>
            <w:shd w:val="clear" w:color="auto" w:fill="auto"/>
            <w:noWrap/>
            <w:vAlign w:val="bottom"/>
          </w:tcPr>
          <w:p w14:paraId="384BDE55">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98</w:t>
            </w:r>
            <w:r>
              <w:rPr>
                <w:rFonts w:hint="eastAsia" w:ascii="宋体" w:hAnsi="宋体" w:eastAsia="宋体" w:cs="宋体"/>
                <w:color w:val="000000"/>
                <w:kern w:val="0"/>
                <w:sz w:val="21"/>
                <w:szCs w:val="21"/>
              </w:rPr>
              <w:t>%</w:t>
            </w:r>
          </w:p>
        </w:tc>
        <w:tc>
          <w:tcPr>
            <w:tcW w:w="1210" w:type="dxa"/>
            <w:tcBorders>
              <w:top w:val="nil"/>
              <w:left w:val="nil"/>
              <w:bottom w:val="single" w:color="auto" w:sz="4" w:space="0"/>
              <w:right w:val="single" w:color="auto" w:sz="4" w:space="0"/>
            </w:tcBorders>
            <w:shd w:val="clear" w:color="000000" w:fill="FFFFFF"/>
            <w:noWrap/>
            <w:vAlign w:val="bottom"/>
          </w:tcPr>
          <w:p w14:paraId="308B721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98</w:t>
            </w:r>
            <w:r>
              <w:rPr>
                <w:rFonts w:hint="eastAsia" w:ascii="宋体" w:hAnsi="宋体" w:eastAsia="宋体" w:cs="宋体"/>
                <w:color w:val="000000"/>
                <w:kern w:val="0"/>
                <w:sz w:val="21"/>
                <w:szCs w:val="21"/>
              </w:rPr>
              <w:t>%</w:t>
            </w:r>
          </w:p>
        </w:tc>
      </w:tr>
      <w:tr w14:paraId="3607EBC5">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0CE29DA">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7E06234">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37296DB3">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部门预算绩效管理水平提升</w:t>
            </w:r>
          </w:p>
        </w:tc>
        <w:tc>
          <w:tcPr>
            <w:tcW w:w="2190" w:type="dxa"/>
            <w:tcBorders>
              <w:top w:val="nil"/>
              <w:left w:val="nil"/>
              <w:bottom w:val="single" w:color="auto" w:sz="4" w:space="0"/>
              <w:right w:val="single" w:color="auto" w:sz="4" w:space="0"/>
            </w:tcBorders>
            <w:shd w:val="clear" w:color="auto" w:fill="auto"/>
            <w:noWrap/>
            <w:vAlign w:val="bottom"/>
          </w:tcPr>
          <w:p w14:paraId="687F069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c>
          <w:tcPr>
            <w:tcW w:w="1210" w:type="dxa"/>
            <w:tcBorders>
              <w:top w:val="nil"/>
              <w:left w:val="nil"/>
              <w:bottom w:val="single" w:color="auto" w:sz="4" w:space="0"/>
              <w:right w:val="single" w:color="auto" w:sz="4" w:space="0"/>
            </w:tcBorders>
            <w:shd w:val="clear" w:color="000000" w:fill="FFFFFF"/>
            <w:noWrap/>
            <w:vAlign w:val="bottom"/>
          </w:tcPr>
          <w:p w14:paraId="63EE09D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r>
      <w:tr w14:paraId="48417295">
        <w:tblPrEx>
          <w:tblCellMar>
            <w:top w:w="0" w:type="dxa"/>
            <w:left w:w="108" w:type="dxa"/>
            <w:bottom w:w="0" w:type="dxa"/>
            <w:right w:w="108" w:type="dxa"/>
          </w:tblCellMar>
        </w:tblPrEx>
        <w:trPr>
          <w:trHeight w:val="42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46CDEF9B">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1470" w:type="dxa"/>
            <w:tcBorders>
              <w:top w:val="nil"/>
              <w:left w:val="single" w:color="auto" w:sz="4" w:space="0"/>
              <w:bottom w:val="single" w:color="auto" w:sz="4" w:space="0"/>
              <w:right w:val="single" w:color="auto" w:sz="4" w:space="0"/>
            </w:tcBorders>
            <w:shd w:val="clear" w:color="auto" w:fill="auto"/>
            <w:noWrap/>
            <w:vAlign w:val="center"/>
          </w:tcPr>
          <w:p w14:paraId="6D130A9E">
            <w:pPr>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服务对象满意度指标</w:t>
            </w:r>
          </w:p>
        </w:tc>
        <w:tc>
          <w:tcPr>
            <w:tcW w:w="2990" w:type="dxa"/>
            <w:tcBorders>
              <w:top w:val="nil"/>
              <w:left w:val="nil"/>
              <w:bottom w:val="single" w:color="auto" w:sz="4" w:space="0"/>
              <w:right w:val="single" w:color="auto" w:sz="4" w:space="0"/>
            </w:tcBorders>
            <w:shd w:val="clear" w:color="auto" w:fill="auto"/>
            <w:vAlign w:val="center"/>
          </w:tcPr>
          <w:p w14:paraId="3F4F833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使用人员满意度</w:t>
            </w:r>
          </w:p>
        </w:tc>
        <w:tc>
          <w:tcPr>
            <w:tcW w:w="2190" w:type="dxa"/>
            <w:tcBorders>
              <w:top w:val="nil"/>
              <w:left w:val="nil"/>
              <w:bottom w:val="single" w:color="auto" w:sz="4" w:space="0"/>
              <w:right w:val="single" w:color="auto" w:sz="4" w:space="0"/>
            </w:tcBorders>
            <w:shd w:val="clear" w:color="auto" w:fill="auto"/>
            <w:noWrap/>
            <w:vAlign w:val="center"/>
          </w:tcPr>
          <w:p w14:paraId="720ECDC2">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center"/>
          </w:tcPr>
          <w:p w14:paraId="5E8FA51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14:paraId="0C9035D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F67E2FE">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2948806C">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2990" w:type="dxa"/>
            <w:tcBorders>
              <w:top w:val="nil"/>
              <w:left w:val="nil"/>
              <w:bottom w:val="single" w:color="auto" w:sz="4" w:space="0"/>
              <w:right w:val="single" w:color="auto" w:sz="4" w:space="0"/>
            </w:tcBorders>
            <w:shd w:val="clear" w:color="auto" w:fill="auto"/>
            <w:noWrap/>
            <w:vAlign w:val="bottom"/>
          </w:tcPr>
          <w:p w14:paraId="11AE931E">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干部职工满意度</w:t>
            </w:r>
          </w:p>
        </w:tc>
        <w:tc>
          <w:tcPr>
            <w:tcW w:w="2190" w:type="dxa"/>
            <w:tcBorders>
              <w:top w:val="nil"/>
              <w:left w:val="nil"/>
              <w:bottom w:val="single" w:color="auto" w:sz="4" w:space="0"/>
              <w:right w:val="single" w:color="auto" w:sz="4" w:space="0"/>
            </w:tcBorders>
            <w:shd w:val="clear" w:color="auto" w:fill="auto"/>
            <w:noWrap/>
            <w:vAlign w:val="bottom"/>
          </w:tcPr>
          <w:p w14:paraId="102C9F10">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c>
          <w:tcPr>
            <w:tcW w:w="1210" w:type="dxa"/>
            <w:tcBorders>
              <w:top w:val="nil"/>
              <w:left w:val="nil"/>
              <w:bottom w:val="single" w:color="auto" w:sz="4" w:space="0"/>
              <w:right w:val="single" w:color="auto" w:sz="4" w:space="0"/>
            </w:tcBorders>
            <w:shd w:val="clear" w:color="000000" w:fill="FFFFFF"/>
            <w:noWrap/>
            <w:vAlign w:val="bottom"/>
          </w:tcPr>
          <w:p w14:paraId="64C457BE">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r>
      <w:tr w14:paraId="7D62757C">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71D4EF5">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93027DF">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0814581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被评价</w:t>
            </w:r>
            <w:r>
              <w:rPr>
                <w:rFonts w:hint="eastAsia" w:ascii="宋体" w:hAnsi="宋体" w:eastAsia="宋体" w:cs="宋体"/>
                <w:color w:val="000000"/>
                <w:kern w:val="0"/>
                <w:sz w:val="21"/>
                <w:szCs w:val="21"/>
                <w:lang w:eastAsia="zh-CN"/>
              </w:rPr>
              <w:t>审计单位</w:t>
            </w:r>
            <w:r>
              <w:rPr>
                <w:rFonts w:hint="eastAsia" w:ascii="宋体" w:hAnsi="宋体" w:eastAsia="宋体" w:cs="宋体"/>
                <w:color w:val="000000"/>
                <w:kern w:val="0"/>
                <w:sz w:val="21"/>
                <w:szCs w:val="21"/>
              </w:rPr>
              <w:t>的满意度</w:t>
            </w:r>
          </w:p>
        </w:tc>
        <w:tc>
          <w:tcPr>
            <w:tcW w:w="2190" w:type="dxa"/>
            <w:tcBorders>
              <w:top w:val="nil"/>
              <w:left w:val="nil"/>
              <w:bottom w:val="single" w:color="auto" w:sz="4" w:space="0"/>
              <w:right w:val="single" w:color="auto" w:sz="4" w:space="0"/>
            </w:tcBorders>
            <w:shd w:val="clear" w:color="auto" w:fill="auto"/>
            <w:noWrap/>
            <w:vAlign w:val="bottom"/>
          </w:tcPr>
          <w:p w14:paraId="4CD45E84">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14:paraId="4C6319AA">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r w14:paraId="4AD71BA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6F1A739">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EADADBD">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14:paraId="778C2881">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w:t>
            </w:r>
            <w:r>
              <w:rPr>
                <w:rFonts w:hint="eastAsia" w:ascii="宋体" w:hAnsi="宋体" w:eastAsia="宋体" w:cs="宋体"/>
                <w:color w:val="000000"/>
                <w:kern w:val="0"/>
                <w:sz w:val="21"/>
                <w:szCs w:val="21"/>
                <w:lang w:eastAsia="zh-CN"/>
              </w:rPr>
              <w:t>审计整改单位的</w:t>
            </w:r>
            <w:r>
              <w:rPr>
                <w:rFonts w:hint="eastAsia" w:ascii="宋体" w:hAnsi="宋体" w:eastAsia="宋体" w:cs="宋体"/>
                <w:color w:val="000000"/>
                <w:kern w:val="0"/>
                <w:sz w:val="21"/>
                <w:szCs w:val="21"/>
              </w:rPr>
              <w:t>满意度</w:t>
            </w:r>
          </w:p>
        </w:tc>
        <w:tc>
          <w:tcPr>
            <w:tcW w:w="2190" w:type="dxa"/>
            <w:tcBorders>
              <w:top w:val="nil"/>
              <w:left w:val="nil"/>
              <w:bottom w:val="single" w:color="auto" w:sz="4" w:space="0"/>
              <w:right w:val="single" w:color="auto" w:sz="4" w:space="0"/>
            </w:tcBorders>
            <w:shd w:val="clear" w:color="auto" w:fill="auto"/>
            <w:noWrap/>
            <w:vAlign w:val="bottom"/>
          </w:tcPr>
          <w:p w14:paraId="48BB74A8">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14:paraId="488BE4DD">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bl>
    <w:p w14:paraId="0EDDE98D">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（3）项目入库。（分值4分，自评得分4分）</w:t>
      </w:r>
    </w:p>
    <w:p w14:paraId="75C87126">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部门预算项目在年初预算安排党组会通过时，将项目在规定期限内入库。</w:t>
      </w:r>
    </w:p>
    <w:p w14:paraId="14E0E722">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2.项目执行</w:t>
      </w:r>
      <w:r>
        <w:rPr>
          <w:rFonts w:hint="eastAsia" w:ascii="仿宋_GB2312" w:hAnsi="仿宋_GB2312" w:cs="仿宋_GB2312"/>
          <w:b/>
          <w:bCs/>
          <w:color w:val="000000"/>
          <w:kern w:val="0"/>
          <w:szCs w:val="32"/>
          <w:shd w:val="clear" w:color="auto" w:fill="FFFFFF"/>
          <w:lang w:val="zh-CN"/>
        </w:rPr>
        <w:t>。（分值12分，自评得分1</w:t>
      </w:r>
      <w:r>
        <w:rPr>
          <w:rFonts w:hint="eastAsia" w:ascii="仿宋_GB2312" w:hAnsi="仿宋_GB2312" w:cs="仿宋_GB2312"/>
          <w:b/>
          <w:bCs/>
          <w:color w:val="000000"/>
          <w:kern w:val="0"/>
          <w:szCs w:val="32"/>
          <w:shd w:val="clear" w:color="auto" w:fill="FFFFFF"/>
          <w:lang w:val="en-US" w:eastAsia="zh-CN"/>
        </w:rPr>
        <w:t>0</w:t>
      </w:r>
      <w:r>
        <w:rPr>
          <w:rFonts w:hint="eastAsia" w:ascii="仿宋_GB2312" w:hAnsi="仿宋_GB2312" w:cs="仿宋_GB2312"/>
          <w:b/>
          <w:bCs/>
          <w:color w:val="000000"/>
          <w:kern w:val="0"/>
          <w:szCs w:val="32"/>
          <w:shd w:val="clear" w:color="auto" w:fill="FFFFFF"/>
          <w:lang w:val="zh-CN"/>
        </w:rPr>
        <w:t>分）</w:t>
      </w:r>
    </w:p>
    <w:p w14:paraId="00501420">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（1）执行同向。</w:t>
      </w:r>
      <w:r>
        <w:rPr>
          <w:rFonts w:hint="eastAsia" w:ascii="仿宋_GB2312" w:hAnsi="仿宋_GB2312" w:cs="仿宋_GB2312"/>
          <w:szCs w:val="32"/>
        </w:rPr>
        <w:t>（分值4分，自评得分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14:paraId="235CF9F0">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黑水县审计局部门预算项目列支内容与绩效目标设置方向相符，</w:t>
      </w:r>
      <w:r>
        <w:rPr>
          <w:rFonts w:hint="eastAsia" w:ascii="仿宋_GB2312" w:hAnsi="仿宋_GB2312" w:cs="仿宋_GB2312"/>
          <w:szCs w:val="32"/>
        </w:rPr>
        <w:t>重点项目明确实施主体责任，制定具体的、可行的、操作性强的方案</w:t>
      </w:r>
      <w:r>
        <w:rPr>
          <w:rFonts w:hint="eastAsia" w:ascii="仿宋_GB2312" w:hAnsi="仿宋_GB2312" w:cs="仿宋_GB2312"/>
          <w:color w:val="000000"/>
          <w:kern w:val="0"/>
          <w:szCs w:val="32"/>
          <w:shd w:val="clear" w:color="auto" w:fill="FFFFFF"/>
          <w:lang w:val="zh-CN"/>
        </w:rPr>
        <w:t>。</w:t>
      </w:r>
    </w:p>
    <w:p w14:paraId="3D3FF723">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（2）项目调整。</w:t>
      </w:r>
      <w:r>
        <w:rPr>
          <w:rFonts w:hint="eastAsia" w:ascii="仿宋_GB2312" w:hAnsi="仿宋_GB2312" w:cs="仿宋_GB2312"/>
          <w:szCs w:val="32"/>
        </w:rPr>
        <w:t>（分值4分，自评得分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14:paraId="264F8CCD">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除落实国家政策、发生不可抗力、上级部门或县委县政府临时交办而必须调整预算外，严格按照批复执行预算，同时“三公”经费节支增效。</w:t>
      </w:r>
    </w:p>
    <w:p w14:paraId="4226315C">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lang w:val="zh-CN"/>
        </w:rPr>
        <w:t>（3）执行结果。</w:t>
      </w:r>
      <w:r>
        <w:rPr>
          <w:rFonts w:hint="eastAsia" w:ascii="仿宋_GB2312" w:hAnsi="仿宋_GB2312" w:cs="仿宋_GB2312"/>
          <w:szCs w:val="32"/>
        </w:rPr>
        <w:t>（分值4分，自评得分4分）</w:t>
      </w:r>
    </w:p>
    <w:p w14:paraId="1E0B9F3E">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黑水县审计局部门预算执行完成，执行率100%。</w:t>
      </w:r>
    </w:p>
    <w:p w14:paraId="3954A8D9">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目标实现。（分值11分，自评得分11分）</w:t>
      </w:r>
    </w:p>
    <w:p w14:paraId="2DD17A9C">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（1）目标完成。</w:t>
      </w:r>
      <w:r>
        <w:rPr>
          <w:rFonts w:hint="eastAsia" w:ascii="仿宋_GB2312" w:hAnsi="仿宋_GB2312" w:cs="仿宋_GB2312"/>
          <w:szCs w:val="32"/>
        </w:rPr>
        <w:t>（分值4分，自评得分4分）</w:t>
      </w:r>
    </w:p>
    <w:p w14:paraId="41870897">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紧紧围绕年初制定的各项工作计划，切实加强组织领导，落实工作责任，全面完成了各项目标任务，为实现全县财政运行平稳，全面履行了财政职责职能。</w:t>
      </w:r>
    </w:p>
    <w:p w14:paraId="74C22EF6">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（2）目标偏离。</w:t>
      </w:r>
      <w:r>
        <w:rPr>
          <w:rFonts w:hint="eastAsia" w:ascii="仿宋_GB2312" w:hAnsi="仿宋_GB2312" w:cs="仿宋_GB2312"/>
          <w:szCs w:val="32"/>
        </w:rPr>
        <w:t>（分值4分，自评得分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14:paraId="7C2FDDC1">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部门预算项目绩效目标数量指标实现程度不存在与预期目标偏离。</w:t>
      </w:r>
    </w:p>
    <w:p w14:paraId="67981BD8">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（3）实现效果。</w:t>
      </w:r>
      <w:r>
        <w:rPr>
          <w:rFonts w:hint="eastAsia" w:ascii="仿宋_GB2312" w:hAnsi="仿宋_GB2312" w:cs="仿宋_GB2312"/>
          <w:szCs w:val="32"/>
        </w:rPr>
        <w:t>（分值4分，自评得分</w:t>
      </w:r>
      <w:r>
        <w:rPr>
          <w:rFonts w:hint="eastAsia" w:ascii="仿宋_GB2312" w:hAnsi="仿宋_GB2312" w:cs="仿宋_GB2312"/>
          <w:szCs w:val="32"/>
          <w:lang w:val="en-US" w:eastAsia="zh-CN"/>
        </w:rPr>
        <w:t>2</w:t>
      </w:r>
      <w:r>
        <w:rPr>
          <w:rFonts w:hint="eastAsia" w:ascii="仿宋_GB2312" w:hAnsi="仿宋_GB2312" w:cs="仿宋_GB2312"/>
          <w:szCs w:val="32"/>
        </w:rPr>
        <w:t>分）</w:t>
      </w:r>
    </w:p>
    <w:p w14:paraId="21247F5D">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部门立足本职，围绕中心，服务大局，部门支出保障工作正常运转，部门预算执行有效，充分发挥了资金使用效益。充分发挥财政职能，为促进我县经济社会发展，取得了一定经济、社会效益。</w:t>
      </w:r>
    </w:p>
    <w:p w14:paraId="04CF31B7">
      <w:pPr>
        <w:snapToGrid w:val="0"/>
        <w:spacing w:line="560" w:lineRule="exact"/>
        <w:ind w:firstLine="643" w:firstLineChars="200"/>
        <w:rPr>
          <w:rFonts w:eastAsia="楷体_GB2312"/>
          <w:b/>
          <w:bCs/>
          <w:szCs w:val="32"/>
          <w:lang w:val="zh-CN"/>
        </w:rPr>
      </w:pPr>
      <w:r>
        <w:rPr>
          <w:rFonts w:eastAsia="楷体_GB2312"/>
          <w:b/>
          <w:bCs/>
          <w:szCs w:val="32"/>
          <w:lang w:val="zh-CN"/>
        </w:rPr>
        <w:t>（</w:t>
      </w:r>
      <w:r>
        <w:rPr>
          <w:rFonts w:hint="eastAsia" w:eastAsia="楷体_GB2312"/>
          <w:b/>
          <w:bCs/>
          <w:szCs w:val="32"/>
          <w:lang w:val="zh-CN"/>
        </w:rPr>
        <w:t>三</w:t>
      </w:r>
      <w:r>
        <w:rPr>
          <w:rFonts w:eastAsia="楷体_GB2312"/>
          <w:b/>
          <w:bCs/>
          <w:szCs w:val="32"/>
          <w:lang w:val="zh-CN"/>
        </w:rPr>
        <w:t>）重点领域绩效分析</w:t>
      </w:r>
    </w:p>
    <w:p w14:paraId="77318D64">
      <w:pPr>
        <w:adjustRightInd w:val="0"/>
        <w:snapToGrid w:val="0"/>
        <w:spacing w:line="560" w:lineRule="exact"/>
        <w:ind w:firstLine="643" w:firstLineChars="200"/>
        <w:contextualSpacing/>
        <w:jc w:val="left"/>
        <w:rPr>
          <w:rFonts w:ascii="仿宋_GB2312" w:hAnsi="仿宋_GB2312" w:cs="仿宋_GB2312"/>
          <w:b/>
          <w:bCs/>
          <w:color w:val="000000"/>
          <w:kern w:val="0"/>
          <w:szCs w:val="32"/>
          <w:shd w:val="clear" w:color="auto" w:fill="FFFFFF"/>
        </w:rPr>
      </w:pPr>
      <w:r>
        <w:rPr>
          <w:rFonts w:hint="eastAsia" w:ascii="仿宋_GB2312" w:hAnsi="仿宋_GB2312" w:cs="仿宋_GB2312"/>
          <w:b/>
          <w:bCs/>
          <w:color w:val="000000"/>
          <w:kern w:val="0"/>
          <w:szCs w:val="32"/>
          <w:shd w:val="clear" w:color="auto" w:fill="FFFFFF"/>
        </w:rPr>
        <w:t>1.行政事业性国有资产。</w:t>
      </w:r>
    </w:p>
    <w:p w14:paraId="247DB4B7">
      <w:pPr>
        <w:adjustRightInd w:val="0"/>
        <w:snapToGrid w:val="0"/>
        <w:spacing w:line="560" w:lineRule="exact"/>
        <w:ind w:firstLine="640" w:firstLineChars="200"/>
        <w:contextualSpacing/>
        <w:jc w:val="left"/>
        <w:rPr>
          <w:rFonts w:hint="eastAsia" w:ascii="仿宋_GB2312" w:hAnsi="仿宋_GB2312" w:cs="仿宋_GB2312"/>
          <w:szCs w:val="32"/>
        </w:rPr>
      </w:pPr>
      <w:r>
        <w:rPr>
          <w:rFonts w:hint="eastAsia" w:ascii="仿宋_GB2312" w:hAnsi="仿宋_GB2312" w:cs="仿宋_GB2312"/>
          <w:szCs w:val="32"/>
        </w:rPr>
        <w:t>截止2024年12月31日，黑水县</w:t>
      </w:r>
      <w:r>
        <w:rPr>
          <w:rFonts w:hint="eastAsia" w:ascii="仿宋_GB2312" w:hAnsi="仿宋_GB2312" w:cs="仿宋_GB2312"/>
          <w:szCs w:val="32"/>
          <w:lang w:eastAsia="zh-CN"/>
        </w:rPr>
        <w:t>审计局</w:t>
      </w:r>
      <w:r>
        <w:rPr>
          <w:rFonts w:hint="eastAsia" w:ascii="仿宋_GB2312" w:hAnsi="仿宋_GB2312" w:cs="仿宋_GB2312"/>
          <w:szCs w:val="32"/>
        </w:rPr>
        <w:t>2024年资产原值</w:t>
      </w:r>
      <w:r>
        <w:rPr>
          <w:rFonts w:hint="eastAsia" w:ascii="仿宋_GB2312" w:hAnsi="仿宋_GB2312" w:cs="仿宋_GB2312"/>
          <w:szCs w:val="32"/>
          <w:lang w:val="en-US" w:eastAsia="zh-CN"/>
        </w:rPr>
        <w:t>106.65</w:t>
      </w:r>
      <w:r>
        <w:rPr>
          <w:rFonts w:hint="eastAsia" w:ascii="仿宋_GB2312" w:hAnsi="仿宋_GB2312" w:cs="仿宋_GB2312"/>
          <w:szCs w:val="32"/>
        </w:rPr>
        <w:t>万元，固定资产累计折旧</w:t>
      </w:r>
      <w:r>
        <w:rPr>
          <w:rFonts w:hint="eastAsia" w:ascii="仿宋_GB2312" w:hAnsi="仿宋_GB2312" w:cs="仿宋_GB2312"/>
          <w:szCs w:val="32"/>
          <w:lang w:val="en-US" w:eastAsia="zh-CN"/>
        </w:rPr>
        <w:t>66.28</w:t>
      </w:r>
      <w:r>
        <w:rPr>
          <w:rFonts w:hint="eastAsia" w:ascii="仿宋_GB2312" w:hAnsi="仿宋_GB2312" w:cs="仿宋_GB2312"/>
          <w:szCs w:val="32"/>
        </w:rPr>
        <w:t>万元，固定资产净值</w:t>
      </w:r>
      <w:r>
        <w:rPr>
          <w:rFonts w:hint="eastAsia" w:ascii="仿宋_GB2312" w:hAnsi="仿宋_GB2312" w:cs="仿宋_GB2312"/>
          <w:szCs w:val="32"/>
          <w:lang w:val="en-US" w:eastAsia="zh-CN"/>
        </w:rPr>
        <w:t>40.37</w:t>
      </w:r>
      <w:r>
        <w:rPr>
          <w:rFonts w:hint="eastAsia" w:ascii="仿宋_GB2312" w:hAnsi="仿宋_GB2312" w:cs="仿宋_GB2312"/>
          <w:szCs w:val="32"/>
        </w:rPr>
        <w:t>万元。从资产总体情况分析，资产总计</w:t>
      </w:r>
      <w:r>
        <w:rPr>
          <w:rFonts w:hint="eastAsia" w:ascii="仿宋_GB2312" w:hAnsi="仿宋_GB2312" w:cs="仿宋_GB2312"/>
          <w:szCs w:val="32"/>
          <w:lang w:val="en-US" w:eastAsia="zh-CN"/>
        </w:rPr>
        <w:t>106.65</w:t>
      </w:r>
      <w:r>
        <w:rPr>
          <w:rFonts w:hint="eastAsia" w:ascii="仿宋_GB2312" w:hAnsi="仿宋_GB2312" w:cs="仿宋_GB2312"/>
          <w:szCs w:val="32"/>
        </w:rPr>
        <w:t>万元较上年</w:t>
      </w:r>
      <w:r>
        <w:rPr>
          <w:rFonts w:hint="eastAsia" w:ascii="仿宋_GB2312" w:hAnsi="仿宋_GB2312" w:cs="仿宋_GB2312"/>
          <w:szCs w:val="32"/>
          <w:lang w:val="en-US" w:eastAsia="zh-CN"/>
        </w:rPr>
        <w:t>65.06</w:t>
      </w:r>
      <w:r>
        <w:rPr>
          <w:rFonts w:hint="eastAsia" w:ascii="仿宋_GB2312" w:hAnsi="仿宋_GB2312" w:cs="仿宋_GB2312"/>
          <w:szCs w:val="32"/>
        </w:rPr>
        <w:t>万元增加</w:t>
      </w:r>
      <w:r>
        <w:rPr>
          <w:rFonts w:hint="eastAsia" w:ascii="仿宋_GB2312" w:hAnsi="仿宋_GB2312" w:cs="仿宋_GB2312"/>
          <w:szCs w:val="32"/>
          <w:lang w:val="en-US" w:eastAsia="zh-CN"/>
        </w:rPr>
        <w:t>41.59</w:t>
      </w:r>
      <w:r>
        <w:rPr>
          <w:rFonts w:hint="eastAsia" w:ascii="仿宋_GB2312" w:hAnsi="仿宋_GB2312" w:cs="仿宋_GB2312"/>
          <w:szCs w:val="32"/>
        </w:rPr>
        <w:t>万元，其中流动资产</w:t>
      </w:r>
      <w:r>
        <w:rPr>
          <w:rFonts w:hint="eastAsia" w:ascii="仿宋_GB2312" w:hAnsi="仿宋_GB2312" w:cs="仿宋_GB2312"/>
          <w:szCs w:val="32"/>
          <w:lang w:val="en-US" w:eastAsia="zh-CN"/>
        </w:rPr>
        <w:t>0.7</w:t>
      </w:r>
      <w:r>
        <w:rPr>
          <w:rFonts w:hint="eastAsia" w:ascii="仿宋_GB2312" w:hAnsi="仿宋_GB2312" w:cs="仿宋_GB2312"/>
          <w:szCs w:val="32"/>
        </w:rPr>
        <w:t>万元，占比</w:t>
      </w:r>
      <w:r>
        <w:rPr>
          <w:rFonts w:hint="eastAsia" w:ascii="仿宋_GB2312" w:hAnsi="仿宋_GB2312" w:cs="仿宋_GB2312"/>
          <w:szCs w:val="32"/>
          <w:lang w:val="en-US" w:eastAsia="zh-CN"/>
        </w:rPr>
        <w:t>0.65</w:t>
      </w:r>
      <w:r>
        <w:rPr>
          <w:rFonts w:hint="eastAsia" w:ascii="仿宋_GB2312" w:hAnsi="仿宋_GB2312" w:cs="仿宋_GB2312"/>
          <w:szCs w:val="32"/>
        </w:rPr>
        <w:t>%，非流动资产</w:t>
      </w:r>
      <w:r>
        <w:rPr>
          <w:rFonts w:hint="eastAsia" w:ascii="仿宋_GB2312" w:hAnsi="仿宋_GB2312" w:cs="仿宋_GB2312"/>
          <w:szCs w:val="32"/>
          <w:lang w:val="en-US" w:eastAsia="zh-CN"/>
        </w:rPr>
        <w:t>106.65</w:t>
      </w:r>
      <w:r>
        <w:rPr>
          <w:rFonts w:hint="eastAsia" w:ascii="仿宋_GB2312" w:hAnsi="仿宋_GB2312" w:cs="仿宋_GB2312"/>
          <w:szCs w:val="32"/>
        </w:rPr>
        <w:t>万元，占比9</w:t>
      </w:r>
      <w:r>
        <w:rPr>
          <w:rFonts w:hint="eastAsia" w:ascii="仿宋_GB2312" w:hAnsi="仿宋_GB2312" w:cs="仿宋_GB2312"/>
          <w:szCs w:val="32"/>
          <w:lang w:val="en-US" w:eastAsia="zh-CN"/>
        </w:rPr>
        <w:t>9.35</w:t>
      </w:r>
      <w:r>
        <w:rPr>
          <w:rFonts w:hint="eastAsia" w:ascii="仿宋_GB2312" w:hAnsi="仿宋_GB2312" w:cs="仿宋_GB2312"/>
          <w:szCs w:val="32"/>
        </w:rPr>
        <w:t>%；从资产类别分析；设备</w:t>
      </w:r>
      <w:r>
        <w:rPr>
          <w:rFonts w:hint="eastAsia" w:ascii="仿宋_GB2312" w:hAnsi="仿宋_GB2312" w:cs="仿宋_GB2312"/>
          <w:szCs w:val="32"/>
          <w:lang w:val="en-US" w:eastAsia="zh-CN"/>
        </w:rPr>
        <w:t>106.35</w:t>
      </w:r>
      <w:r>
        <w:rPr>
          <w:rFonts w:hint="eastAsia" w:ascii="仿宋_GB2312" w:hAnsi="仿宋_GB2312" w:cs="仿宋_GB2312"/>
          <w:szCs w:val="32"/>
        </w:rPr>
        <w:t>万元，占比</w:t>
      </w:r>
      <w:r>
        <w:rPr>
          <w:rFonts w:hint="eastAsia" w:ascii="仿宋_GB2312" w:hAnsi="仿宋_GB2312" w:cs="仿宋_GB2312"/>
          <w:szCs w:val="32"/>
          <w:lang w:val="en-US" w:eastAsia="zh-CN"/>
        </w:rPr>
        <w:t>99.70</w:t>
      </w:r>
      <w:r>
        <w:rPr>
          <w:rFonts w:hint="eastAsia" w:ascii="仿宋_GB2312" w:hAnsi="仿宋_GB2312" w:cs="仿宋_GB2312"/>
          <w:szCs w:val="32"/>
        </w:rPr>
        <w:t>%；家具和用具</w:t>
      </w:r>
      <w:r>
        <w:rPr>
          <w:rFonts w:hint="eastAsia" w:ascii="仿宋_GB2312" w:hAnsi="仿宋_GB2312" w:cs="仿宋_GB2312"/>
          <w:szCs w:val="32"/>
          <w:lang w:val="en-US" w:eastAsia="zh-CN"/>
        </w:rPr>
        <w:t>0.3万元，</w:t>
      </w:r>
      <w:r>
        <w:rPr>
          <w:rFonts w:hint="eastAsia" w:ascii="仿宋_GB2312" w:hAnsi="仿宋_GB2312" w:cs="仿宋_GB2312"/>
          <w:szCs w:val="32"/>
        </w:rPr>
        <w:t>占比</w:t>
      </w:r>
      <w:r>
        <w:rPr>
          <w:rFonts w:hint="eastAsia" w:ascii="仿宋_GB2312" w:hAnsi="仿宋_GB2312" w:cs="仿宋_GB2312"/>
          <w:szCs w:val="32"/>
          <w:lang w:val="en-US" w:eastAsia="zh-CN"/>
        </w:rPr>
        <w:t>0.28</w:t>
      </w:r>
      <w:r>
        <w:rPr>
          <w:rFonts w:hint="eastAsia" w:ascii="仿宋_GB2312" w:hAnsi="仿宋_GB2312" w:cs="仿宋_GB2312"/>
          <w:szCs w:val="32"/>
        </w:rPr>
        <w:t>%。</w:t>
      </w:r>
    </w:p>
    <w:p w14:paraId="459AD118">
      <w:pPr>
        <w:adjustRightInd w:val="0"/>
        <w:snapToGrid w:val="0"/>
        <w:spacing w:line="560" w:lineRule="exact"/>
        <w:ind w:firstLine="643" w:firstLineChars="200"/>
        <w:contextualSpacing/>
        <w:jc w:val="left"/>
        <w:rPr>
          <w:rFonts w:ascii="仿宋_GB2312" w:hAnsi="仿宋_GB2312" w:cs="仿宋_GB2312"/>
          <w:highlight w:val="yellow"/>
        </w:rPr>
      </w:pPr>
      <w:r>
        <w:rPr>
          <w:rFonts w:hint="eastAsia" w:ascii="仿宋_GB2312" w:hAnsi="仿宋_GB2312" w:cs="仿宋_GB2312"/>
          <w:b/>
          <w:bCs/>
          <w:color w:val="000000"/>
          <w:kern w:val="0"/>
          <w:szCs w:val="32"/>
          <w:shd w:val="clear" w:color="auto" w:fill="FFFFFF"/>
        </w:rPr>
        <w:t>2.政府采购。</w:t>
      </w:r>
      <w:r>
        <w:rPr>
          <w:rFonts w:hint="eastAsia" w:ascii="仿宋_GB2312" w:hAnsi="仿宋_GB2312" w:cs="仿宋_GB2312"/>
          <w:szCs w:val="32"/>
        </w:rPr>
        <w:t>截止2024年12月31日，黑水县</w:t>
      </w:r>
      <w:r>
        <w:rPr>
          <w:rFonts w:hint="eastAsia" w:ascii="仿宋_GB2312" w:hAnsi="仿宋_GB2312" w:cs="仿宋_GB2312"/>
          <w:szCs w:val="32"/>
          <w:lang w:eastAsia="zh-CN"/>
        </w:rPr>
        <w:t>审计局</w:t>
      </w:r>
      <w:r>
        <w:rPr>
          <w:rFonts w:hint="eastAsia" w:ascii="仿宋_GB2312" w:hAnsi="仿宋_GB2312" w:cs="仿宋_GB2312"/>
          <w:szCs w:val="32"/>
        </w:rPr>
        <w:t>有政府采购服务项目</w:t>
      </w:r>
      <w:r>
        <w:rPr>
          <w:rFonts w:hint="eastAsia" w:ascii="仿宋_GB2312" w:hAnsi="仿宋_GB2312" w:cs="仿宋_GB2312"/>
          <w:szCs w:val="32"/>
          <w:lang w:val="en-US" w:eastAsia="zh-CN"/>
        </w:rPr>
        <w:t>2</w:t>
      </w:r>
      <w:r>
        <w:rPr>
          <w:rFonts w:hint="eastAsia" w:ascii="仿宋_GB2312" w:hAnsi="仿宋_GB2312" w:cs="仿宋_GB2312"/>
          <w:szCs w:val="32"/>
        </w:rPr>
        <w:t>个</w:t>
      </w:r>
      <w:r>
        <w:rPr>
          <w:rFonts w:hint="eastAsia" w:ascii="仿宋_GB2312" w:hAnsi="仿宋_GB2312" w:cs="仿宋_GB2312"/>
          <w:szCs w:val="32"/>
          <w:lang w:eastAsia="zh-CN"/>
        </w:rPr>
        <w:t>，金额</w:t>
      </w:r>
      <w:r>
        <w:rPr>
          <w:rFonts w:hint="eastAsia" w:ascii="仿宋_GB2312" w:hAnsi="仿宋_GB2312" w:cs="仿宋_GB2312"/>
          <w:szCs w:val="32"/>
          <w:lang w:val="en-US" w:eastAsia="zh-CN"/>
        </w:rPr>
        <w:t>6.65万元</w:t>
      </w:r>
      <w:r>
        <w:rPr>
          <w:rFonts w:hint="eastAsia" w:ascii="仿宋_GB2312" w:hAnsi="仿宋_GB2312" w:cs="仿宋_GB2312"/>
          <w:szCs w:val="32"/>
        </w:rPr>
        <w:t>，其中</w:t>
      </w:r>
      <w:r>
        <w:rPr>
          <w:rFonts w:hint="eastAsia" w:ascii="仿宋_GB2312" w:hAnsi="仿宋_GB2312" w:cs="仿宋_GB2312"/>
          <w:szCs w:val="32"/>
          <w:lang w:eastAsia="zh-CN"/>
        </w:rPr>
        <w:t>：</w:t>
      </w:r>
      <w:r>
        <w:rPr>
          <w:rFonts w:hint="eastAsia" w:ascii="仿宋_GB2312" w:hAnsi="仿宋_GB2312" w:cs="仿宋_GB2312"/>
          <w:szCs w:val="32"/>
        </w:rPr>
        <w:t>采购</w:t>
      </w:r>
      <w:r>
        <w:rPr>
          <w:rFonts w:hint="eastAsia" w:ascii="仿宋_GB2312" w:hAnsi="仿宋_GB2312" w:cs="仿宋_GB2312"/>
          <w:lang w:eastAsia="zh-CN"/>
        </w:rPr>
        <w:t>办公用品电脑</w:t>
      </w:r>
      <w:r>
        <w:rPr>
          <w:rFonts w:hint="eastAsia" w:ascii="仿宋_GB2312" w:hAnsi="仿宋_GB2312" w:cs="仿宋_GB2312"/>
          <w:lang w:val="en-US" w:eastAsia="zh-CN"/>
        </w:rPr>
        <w:t>采购金额5.95万、公车保险采购0.7万元</w:t>
      </w:r>
      <w:r>
        <w:rPr>
          <w:rFonts w:hint="eastAsia" w:ascii="仿宋_GB2312" w:hAnsi="仿宋_GB2312" w:cs="仿宋_GB2312"/>
          <w:szCs w:val="32"/>
        </w:rPr>
        <w:t>。</w:t>
      </w:r>
    </w:p>
    <w:p w14:paraId="20AC4309">
      <w:pPr>
        <w:snapToGrid w:val="0"/>
        <w:spacing w:line="560" w:lineRule="exact"/>
        <w:ind w:firstLine="643" w:firstLineChars="200"/>
        <w:rPr>
          <w:rFonts w:eastAsia="楷体_GB2312"/>
          <w:b/>
          <w:bCs/>
          <w:szCs w:val="32"/>
          <w:highlight w:val="yellow"/>
          <w:lang w:val="zh-CN"/>
        </w:rPr>
      </w:pPr>
      <w:r>
        <w:rPr>
          <w:rFonts w:eastAsia="楷体_GB2312"/>
          <w:b/>
          <w:bCs/>
          <w:szCs w:val="32"/>
          <w:lang w:val="zh-CN"/>
        </w:rPr>
        <w:t>（四）绩效结果应用情况</w:t>
      </w:r>
    </w:p>
    <w:p w14:paraId="29643BF4">
      <w:pPr>
        <w:spacing w:line="560" w:lineRule="exact"/>
        <w:ind w:firstLine="643" w:firstLineChars="200"/>
        <w:rPr>
          <w:rFonts w:ascii="仿宋_GB2312" w:hAnsi="仿宋_GB2312" w:cs="仿宋_GB2312"/>
          <w:color w:val="333333"/>
          <w:kern w:val="0"/>
          <w:szCs w:val="32"/>
          <w:shd w:val="clear" w:color="auto" w:fill="FFFFFF"/>
        </w:rPr>
      </w:pPr>
      <w:r>
        <w:rPr>
          <w:rFonts w:hint="eastAsia" w:ascii="仿宋_GB2312" w:hAnsi="仿宋_GB2312" w:cs="仿宋_GB2312"/>
          <w:b/>
          <w:bCs/>
          <w:szCs w:val="32"/>
        </w:rPr>
        <w:t>1.围绕内部应用情况。</w:t>
      </w:r>
      <w:r>
        <w:rPr>
          <w:rFonts w:hint="eastAsia" w:ascii="仿宋_GB2312" w:hAnsi="仿宋_GB2312" w:cs="仿宋_GB2312"/>
          <w:b/>
          <w:szCs w:val="32"/>
        </w:rPr>
        <w:t>一是</w:t>
      </w: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color w:val="333333"/>
          <w:kern w:val="0"/>
          <w:szCs w:val="32"/>
          <w:shd w:val="clear" w:color="auto" w:fill="FFFFFF"/>
        </w:rPr>
        <w:t>部门预算编制规范、准确，确保了部门正常运转和专项工作的顺利开展，较好完成年初绩效目标任务。</w:t>
      </w:r>
      <w:r>
        <w:rPr>
          <w:rFonts w:hint="eastAsia" w:ascii="仿宋_GB2312" w:hAnsi="仿宋_GB2312" w:cs="仿宋_GB2312"/>
          <w:b/>
          <w:color w:val="333333"/>
          <w:kern w:val="0"/>
          <w:szCs w:val="32"/>
          <w:shd w:val="clear" w:color="auto" w:fill="FFFFFF"/>
        </w:rPr>
        <w:t>二是</w:t>
      </w:r>
      <w:r>
        <w:rPr>
          <w:rFonts w:hint="eastAsia" w:ascii="仿宋_GB2312" w:hAnsi="仿宋_GB2312" w:cs="仿宋_GB2312"/>
          <w:color w:val="333333"/>
          <w:kern w:val="0"/>
          <w:szCs w:val="32"/>
          <w:shd w:val="clear" w:color="auto" w:fill="FFFFFF"/>
        </w:rPr>
        <w:t>部门决算按照县财政和上级财政要求进行编制，准确、详实、真实地反映了本单位财政收支情况。结合本单位实际情况按财经要求建立健全了财务管理制度、约束机制及监督机制，依法、有效地利用财政资金，提高财政资金使用效率，合理分配人、财、物，完成了部门职能目标，实现了较高的工作效率和支出绩效。</w:t>
      </w:r>
      <w:r>
        <w:rPr>
          <w:rFonts w:hint="eastAsia" w:ascii="仿宋_GB2312" w:hAnsi="仿宋_GB2312" w:cs="仿宋_GB2312"/>
          <w:b/>
          <w:color w:val="333333"/>
          <w:kern w:val="0"/>
          <w:szCs w:val="32"/>
          <w:shd w:val="clear" w:color="auto" w:fill="FFFFFF"/>
        </w:rPr>
        <w:t>三是</w:t>
      </w:r>
      <w:r>
        <w:rPr>
          <w:rFonts w:hint="eastAsia" w:ascii="仿宋_GB2312" w:hAnsi="仿宋_GB2312" w:cs="仿宋_GB2312"/>
          <w:color w:val="333333"/>
          <w:kern w:val="0"/>
          <w:szCs w:val="32"/>
          <w:shd w:val="clear" w:color="auto" w:fill="FFFFFF"/>
        </w:rPr>
        <w:t>作为全过程预算绩效管理的落脚点，我局高度重视部门的自评结果，及时整理、汇总、分析、反馈绩效自评结果，并将其作为改进预算管理和以后年度预算安排的重要依据。本绩效报告将向县</w:t>
      </w:r>
      <w:r>
        <w:rPr>
          <w:rFonts w:hint="eastAsia" w:ascii="仿宋_GB2312" w:hAnsi="仿宋_GB2312" w:cs="仿宋_GB2312"/>
          <w:color w:val="333333"/>
          <w:kern w:val="0"/>
          <w:szCs w:val="32"/>
          <w:shd w:val="clear" w:color="auto" w:fill="FFFFFF"/>
          <w:lang w:eastAsia="zh-CN"/>
        </w:rPr>
        <w:t>审计局</w:t>
      </w:r>
      <w:r>
        <w:rPr>
          <w:rFonts w:hint="eastAsia" w:ascii="仿宋_GB2312" w:hAnsi="仿宋_GB2312" w:cs="仿宋_GB2312"/>
          <w:color w:val="333333"/>
          <w:kern w:val="0"/>
          <w:szCs w:val="32"/>
          <w:shd w:val="clear" w:color="auto" w:fill="FFFFFF"/>
        </w:rPr>
        <w:t>报送，拟公开于黑水</w:t>
      </w:r>
      <w:r>
        <w:rPr>
          <w:rFonts w:hint="eastAsia" w:ascii="仿宋_GB2312" w:hAnsi="仿宋_GB2312" w:cs="仿宋_GB2312"/>
          <w:color w:val="333333"/>
          <w:kern w:val="0"/>
          <w:szCs w:val="32"/>
          <w:shd w:val="clear" w:color="auto" w:fill="FFFFFF"/>
          <w:lang w:eastAsia="zh-CN"/>
        </w:rPr>
        <w:t>审计局</w:t>
      </w:r>
      <w:r>
        <w:rPr>
          <w:rFonts w:hint="eastAsia" w:ascii="仿宋_GB2312" w:hAnsi="仿宋_GB2312" w:cs="仿宋_GB2312"/>
          <w:color w:val="333333"/>
          <w:kern w:val="0"/>
          <w:szCs w:val="32"/>
          <w:shd w:val="clear" w:color="auto" w:fill="FFFFFF"/>
        </w:rPr>
        <w:t>门户网站，并自愿接受社会各界人民群众的监督。</w:t>
      </w:r>
    </w:p>
    <w:p w14:paraId="56C58024">
      <w:pPr>
        <w:snapToGrid w:val="0"/>
        <w:spacing w:line="560" w:lineRule="exact"/>
        <w:ind w:firstLine="643" w:firstLineChars="200"/>
        <w:rPr>
          <w:rFonts w:ascii="仿宋_GB2312" w:hAnsi="仿宋_GB2312" w:cs="仿宋_GB2312"/>
          <w:szCs w:val="32"/>
        </w:rPr>
      </w:pPr>
      <w:r>
        <w:rPr>
          <w:rFonts w:hint="eastAsia" w:ascii="仿宋_GB2312" w:hAnsi="仿宋_GB2312" w:cs="仿宋_GB2312"/>
          <w:b/>
          <w:bCs/>
          <w:szCs w:val="32"/>
        </w:rPr>
        <w:t>2.信息公开情况。</w:t>
      </w:r>
      <w:r>
        <w:rPr>
          <w:rFonts w:hint="eastAsia" w:ascii="仿宋_GB2312" w:hAnsi="仿宋_GB2312" w:cs="仿宋_GB2312"/>
          <w:szCs w:val="32"/>
        </w:rPr>
        <w:t>黑水县</w:t>
      </w:r>
      <w:r>
        <w:rPr>
          <w:rFonts w:hint="eastAsia" w:ascii="仿宋_GB2312" w:hAnsi="仿宋_GB2312" w:cs="仿宋_GB2312"/>
          <w:szCs w:val="32"/>
          <w:lang w:eastAsia="zh-CN"/>
        </w:rPr>
        <w:t>审计局</w:t>
      </w:r>
      <w:r>
        <w:rPr>
          <w:rFonts w:hint="eastAsia" w:ascii="仿宋_GB2312" w:hAnsi="仿宋_GB2312" w:cs="仿宋_GB2312"/>
          <w:szCs w:val="32"/>
        </w:rPr>
        <w:t>按照上级要求，在政府网站上进行预算、决算公开。</w:t>
      </w:r>
    </w:p>
    <w:p w14:paraId="55E5D800">
      <w:pPr>
        <w:snapToGrid w:val="0"/>
        <w:spacing w:line="560" w:lineRule="exact"/>
        <w:ind w:firstLine="643" w:firstLineChars="200"/>
        <w:rPr>
          <w:szCs w:val="32"/>
        </w:rPr>
      </w:pPr>
      <w:r>
        <w:rPr>
          <w:rFonts w:hint="eastAsia" w:ascii="仿宋_GB2312" w:hAnsi="仿宋_GB2312" w:cs="仿宋_GB2312"/>
          <w:b/>
          <w:bCs/>
          <w:szCs w:val="32"/>
        </w:rPr>
        <w:t>3.整改反馈情况。</w:t>
      </w:r>
      <w:r>
        <w:rPr>
          <w:rFonts w:hint="eastAsia" w:ascii="仿宋_GB2312" w:hAnsi="仿宋_GB2312" w:cs="仿宋_GB2312"/>
          <w:szCs w:val="32"/>
        </w:rPr>
        <w:t>近三年内人大、纪检监察、审计、财政等部门各项检查、绩效评价等发现的问题进行整改。</w:t>
      </w:r>
    </w:p>
    <w:p w14:paraId="326BE709">
      <w:pPr>
        <w:adjustRightInd w:val="0"/>
        <w:snapToGrid w:val="0"/>
        <w:spacing w:line="56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四、评价结论及建议</w:t>
      </w:r>
    </w:p>
    <w:p w14:paraId="69472B82">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（一）评价结论</w:t>
      </w:r>
    </w:p>
    <w:p w14:paraId="7EADD189">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根据部门预算绩效评价指标体系，2024年自评得分为9</w:t>
      </w:r>
      <w:r>
        <w:rPr>
          <w:rFonts w:hint="eastAsia" w:ascii="仿宋_GB2312" w:hAnsi="宋体"/>
          <w:szCs w:val="32"/>
          <w:lang w:val="en-US" w:eastAsia="zh-CN"/>
        </w:rPr>
        <w:t>2</w:t>
      </w:r>
      <w:r>
        <w:rPr>
          <w:rFonts w:hint="eastAsia" w:ascii="仿宋_GB2312" w:hAnsi="宋体"/>
          <w:szCs w:val="32"/>
        </w:rPr>
        <w:t>分，评价等级为“优”。2024年，我局的预算编制全面、科学、合理，部门整体绩效目标与部门职责职能、部门年度重点工作任务相匹配，为部门履职尽责明确了方向，预算执行到位，预算管理规范，履职效益明显，重点工作任务资金安排得到有效保障，部门预算配置较为合理，部门各项经费支出合法合规，不存在挤占、挪用、截留等违规现象。严格执行各项财经法规和会计制度，财务管理和会计基础工作进一步规范，有效提升了部门整体支出管理水平。</w:t>
      </w:r>
    </w:p>
    <w:p w14:paraId="4FBE0BC0">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（二）存在问题</w:t>
      </w:r>
    </w:p>
    <w:p w14:paraId="3A1A13B9">
      <w:pPr>
        <w:spacing w:line="560" w:lineRule="exact"/>
        <w:ind w:firstLine="643" w:firstLineChars="200"/>
        <w:jc w:val="left"/>
        <w:rPr>
          <w:rFonts w:ascii="仿宋_GB2312" w:hAnsi="宋体"/>
          <w:szCs w:val="32"/>
        </w:rPr>
      </w:pPr>
      <w:r>
        <w:rPr>
          <w:rFonts w:hint="eastAsia" w:ascii="仿宋_GB2312" w:hAnsi="宋体"/>
          <w:b/>
          <w:bCs/>
          <w:szCs w:val="32"/>
        </w:rPr>
        <w:t>一是</w:t>
      </w:r>
      <w:r>
        <w:rPr>
          <w:rFonts w:hint="eastAsia" w:ascii="仿宋_GB2312" w:hAnsi="宋体"/>
          <w:szCs w:val="32"/>
        </w:rPr>
        <w:t>对预算绩效评价工作的重要性认识有待进一步提高，绩效评价制度建设和规范化管理还有待加强；</w:t>
      </w:r>
      <w:r>
        <w:rPr>
          <w:rFonts w:hint="eastAsia" w:ascii="仿宋_GB2312" w:hAnsi="宋体"/>
          <w:b/>
          <w:bCs/>
          <w:szCs w:val="32"/>
        </w:rPr>
        <w:t>二是</w:t>
      </w:r>
      <w:r>
        <w:rPr>
          <w:rFonts w:hint="eastAsia" w:ascii="仿宋_GB2312" w:hAnsi="宋体"/>
          <w:szCs w:val="32"/>
        </w:rPr>
        <w:t>项目支出绩效评价指标体系不完善，绩效目标设立不够明确、细化和量化；</w:t>
      </w:r>
      <w:r>
        <w:rPr>
          <w:rFonts w:hint="eastAsia" w:ascii="仿宋_GB2312" w:hAnsi="宋体"/>
          <w:b/>
          <w:bCs/>
          <w:szCs w:val="32"/>
        </w:rPr>
        <w:t>三是</w:t>
      </w:r>
      <w:r>
        <w:rPr>
          <w:rFonts w:hint="eastAsia" w:ascii="仿宋_GB2312" w:hAnsi="仿宋_GB2312" w:cs="仿宋_GB2312"/>
          <w:szCs w:val="32"/>
        </w:rPr>
        <w:t>个别支出支付进度安排不够合理。</w:t>
      </w:r>
    </w:p>
    <w:p w14:paraId="70AFB77A">
      <w:pPr>
        <w:adjustRightInd w:val="0"/>
        <w:snapToGrid w:val="0"/>
        <w:spacing w:line="560" w:lineRule="exact"/>
        <w:ind w:firstLine="643"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（三）改进建议</w:t>
      </w:r>
    </w:p>
    <w:p w14:paraId="6E12767A">
      <w:pPr>
        <w:adjustRightInd w:val="0"/>
        <w:snapToGrid w:val="0"/>
        <w:spacing w:line="560" w:lineRule="exact"/>
        <w:ind w:firstLine="643" w:firstLineChars="200"/>
        <w:contextualSpacing/>
        <w:jc w:val="left"/>
        <w:rPr>
          <w:rFonts w:ascii="仿宋_GB2312" w:hAnsi="仿宋_GB2312" w:cs="仿宋_GB2312"/>
          <w:kern w:val="0"/>
          <w:szCs w:val="32"/>
        </w:rPr>
      </w:pPr>
      <w:r>
        <w:rPr>
          <w:rFonts w:hint="eastAsia" w:ascii="仿宋_GB2312" w:hAnsi="宋体"/>
          <w:b/>
          <w:bCs/>
          <w:szCs w:val="32"/>
        </w:rPr>
        <w:t>一是</w:t>
      </w:r>
      <w:r>
        <w:rPr>
          <w:rFonts w:hint="eastAsia" w:ascii="仿宋_GB2312" w:hAnsi="宋体"/>
          <w:szCs w:val="32"/>
        </w:rPr>
        <w:t>及时调整和优化本部门后续项目和以后年度预算支出的方向和结构，合理配置资源。</w:t>
      </w:r>
      <w:r>
        <w:rPr>
          <w:rFonts w:hint="eastAsia" w:ascii="仿宋_GB2312" w:hAnsi="宋体"/>
          <w:b/>
          <w:bCs/>
          <w:szCs w:val="32"/>
        </w:rPr>
        <w:t>二是</w:t>
      </w:r>
      <w:r>
        <w:rPr>
          <w:rFonts w:hint="eastAsia" w:ascii="仿宋_GB2312" w:hAnsi="宋体"/>
          <w:szCs w:val="32"/>
        </w:rPr>
        <w:t>强化评价结果在项目申报和预算编制中的有效应用。</w:t>
      </w:r>
      <w:r>
        <w:rPr>
          <w:rFonts w:hint="eastAsia" w:ascii="仿宋_GB2312" w:hAnsi="宋体"/>
          <w:b/>
          <w:bCs/>
          <w:szCs w:val="32"/>
        </w:rPr>
        <w:t>三是</w:t>
      </w:r>
      <w:r>
        <w:rPr>
          <w:rFonts w:hint="eastAsia" w:ascii="仿宋_GB2312" w:hAnsi="宋体"/>
          <w:szCs w:val="32"/>
        </w:rPr>
        <w:t>促进单位规范使用资金。</w:t>
      </w:r>
    </w:p>
    <w:p w14:paraId="593F4344">
      <w:pPr>
        <w:spacing w:line="560" w:lineRule="exact"/>
        <w:contextualSpacing/>
        <w:rPr>
          <w:rFonts w:eastAsia="黑体"/>
          <w:szCs w:val="32"/>
        </w:rPr>
      </w:pPr>
    </w:p>
    <w:p w14:paraId="59BAB8F5">
      <w:pPr>
        <w:spacing w:line="578" w:lineRule="exact"/>
        <w:ind w:firstLine="640" w:firstLineChars="200"/>
        <w:rPr>
          <w:rFonts w:ascii="仿宋_GB2312" w:hAnsi="仿宋_GB2312" w:cs="仿宋_GB2312"/>
          <w:szCs w:val="32"/>
        </w:rPr>
      </w:pPr>
      <w:r>
        <w:rPr>
          <w:rFonts w:hint="eastAsia"/>
          <w:color w:val="000000"/>
          <w:kern w:val="0"/>
          <w:szCs w:val="32"/>
          <w:shd w:val="clear" w:color="auto" w:fill="FFFFFF"/>
        </w:rPr>
        <w:t>附件：</w:t>
      </w:r>
      <w:r>
        <w:rPr>
          <w:rFonts w:hint="eastAsia" w:ascii="仿宋_GB2312" w:hAnsi="仿宋_GB2312" w:cs="仿宋_GB2312"/>
          <w:color w:val="000000"/>
          <w:kern w:val="0"/>
          <w:szCs w:val="32"/>
          <w:shd w:val="clear" w:color="auto" w:fill="FFFFFF"/>
        </w:rPr>
        <w:t>1.</w:t>
      </w:r>
      <w:r>
        <w:rPr>
          <w:rFonts w:hint="eastAsia" w:ascii="仿宋_GB2312" w:hAnsi="仿宋_GB2312" w:cs="仿宋_GB2312"/>
          <w:szCs w:val="32"/>
        </w:rPr>
        <w:t>部门预算绩效自评打分表</w:t>
      </w:r>
    </w:p>
    <w:p w14:paraId="02328F4E">
      <w:pPr>
        <w:spacing w:line="578" w:lineRule="exact"/>
        <w:ind w:firstLine="1600" w:firstLineChars="500"/>
        <w:rPr>
          <w:rFonts w:ascii="仿宋_GB2312" w:hAnsi="仿宋_GB2312" w:cs="仿宋_GB2312"/>
          <w:color w:val="000000"/>
          <w:kern w:val="0"/>
          <w:szCs w:val="32"/>
          <w:shd w:val="clear" w:color="auto" w:fill="FFFFFF"/>
        </w:rPr>
      </w:pPr>
      <w:r>
        <w:rPr>
          <w:rFonts w:hint="eastAsia" w:ascii="仿宋_GB2312" w:hAnsi="仿宋_GB2312" w:cs="仿宋_GB2312"/>
          <w:szCs w:val="32"/>
        </w:rPr>
        <w:t>2.</w:t>
      </w:r>
      <w:r>
        <w:rPr>
          <w:rFonts w:hint="eastAsia" w:ascii="仿宋_GB2312" w:hAnsi="仿宋_GB2312" w:cs="仿宋_GB2312"/>
          <w:color w:val="000000"/>
          <w:kern w:val="0"/>
          <w:szCs w:val="32"/>
          <w:shd w:val="clear" w:color="auto" w:fill="FFFFFF"/>
        </w:rPr>
        <w:t>部门整体绩效目标完成情况自评表</w:t>
      </w:r>
    </w:p>
    <w:p w14:paraId="2CFC3E5E">
      <w:pPr>
        <w:spacing w:line="578" w:lineRule="exact"/>
        <w:ind w:firstLine="1600" w:firstLineChars="500"/>
        <w:rPr>
          <w:rFonts w:ascii="仿宋_GB2312" w:hAnsi="仿宋_GB2312" w:cs="仿宋_GB2312"/>
          <w:szCs w:val="32"/>
        </w:rPr>
      </w:pPr>
      <w:r>
        <w:rPr>
          <w:rFonts w:hint="eastAsia" w:ascii="仿宋_GB2312" w:hAnsi="仿宋_GB2312" w:cs="仿宋_GB2312"/>
          <w:color w:val="000000"/>
          <w:kern w:val="0"/>
          <w:szCs w:val="32"/>
          <w:shd w:val="clear" w:color="auto" w:fill="FFFFFF"/>
        </w:rPr>
        <w:t>3.</w:t>
      </w:r>
      <w:r>
        <w:rPr>
          <w:rFonts w:hint="eastAsia" w:ascii="仿宋_GB2312" w:hAnsi="仿宋_GB2312" w:cs="仿宋_GB2312"/>
          <w:szCs w:val="32"/>
        </w:rPr>
        <w:t>部门预算项目支出绩效自评表（2024年度）</w:t>
      </w:r>
    </w:p>
    <w:p w14:paraId="1711C222">
      <w:pPr>
        <w:spacing w:line="560" w:lineRule="exact"/>
        <w:rPr>
          <w:color w:val="000000"/>
          <w:kern w:val="0"/>
          <w:szCs w:val="32"/>
          <w:shd w:val="clear" w:color="auto" w:fill="FFFFFF"/>
        </w:rPr>
      </w:pPr>
      <w:r>
        <w:rPr>
          <w:color w:val="000000"/>
          <w:kern w:val="0"/>
          <w:szCs w:val="32"/>
          <w:shd w:val="clear" w:color="auto" w:fill="FFFFFF"/>
        </w:rPr>
        <w:br w:type="page"/>
      </w:r>
    </w:p>
    <w:p w14:paraId="1A5CE868">
      <w:pPr>
        <w:spacing w:line="578" w:lineRule="exact"/>
        <w:jc w:val="left"/>
        <w:rPr>
          <w:rFonts w:eastAsia="黑体"/>
        </w:rPr>
      </w:pPr>
      <w:r>
        <w:rPr>
          <w:rFonts w:eastAsia="黑体"/>
        </w:rPr>
        <w:t>附表</w:t>
      </w:r>
      <w:r>
        <w:rPr>
          <w:rFonts w:hint="eastAsia" w:eastAsia="黑体"/>
        </w:rPr>
        <w:t>1</w:t>
      </w:r>
    </w:p>
    <w:p w14:paraId="26E767BA">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3"/>
        <w:tblW w:w="0" w:type="auto"/>
        <w:jc w:val="center"/>
        <w:tblLayout w:type="autofit"/>
        <w:tblCellMar>
          <w:top w:w="0" w:type="dxa"/>
          <w:left w:w="108" w:type="dxa"/>
          <w:bottom w:w="0" w:type="dxa"/>
          <w:right w:w="108" w:type="dxa"/>
        </w:tblCellMar>
      </w:tblPr>
      <w:tblGrid>
        <w:gridCol w:w="802"/>
        <w:gridCol w:w="803"/>
        <w:gridCol w:w="1551"/>
        <w:gridCol w:w="523"/>
        <w:gridCol w:w="4203"/>
        <w:gridCol w:w="656"/>
        <w:gridCol w:w="523"/>
      </w:tblGrid>
      <w:tr w14:paraId="2807598A">
        <w:tblPrEx>
          <w:tblCellMar>
            <w:top w:w="0" w:type="dxa"/>
            <w:left w:w="108" w:type="dxa"/>
            <w:bottom w:w="0" w:type="dxa"/>
            <w:right w:w="108" w:type="dxa"/>
          </w:tblCellMar>
        </w:tblPrEx>
        <w:trPr>
          <w:trHeight w:val="513"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CD9AF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A6A5D">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68104DF3">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1AB59E33">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123244BC">
        <w:tblPrEx>
          <w:tblCellMar>
            <w:top w:w="0" w:type="dxa"/>
            <w:left w:w="108" w:type="dxa"/>
            <w:bottom w:w="0" w:type="dxa"/>
            <w:right w:w="108" w:type="dxa"/>
          </w:tblCellMar>
        </w:tblPrEx>
        <w:trPr>
          <w:trHeight w:val="23" w:hRule="atLeast"/>
          <w:jc w:val="center"/>
        </w:trPr>
        <w:tc>
          <w:tcPr>
            <w:tcW w:w="0" w:type="auto"/>
            <w:tcBorders>
              <w:top w:val="single" w:color="000000" w:sz="4" w:space="0"/>
              <w:left w:val="single" w:color="000000" w:sz="4" w:space="0"/>
              <w:bottom w:val="single" w:color="000000" w:sz="4" w:space="0"/>
              <w:right w:val="nil"/>
            </w:tcBorders>
            <w:shd w:val="clear" w:color="auto" w:fill="auto"/>
            <w:vAlign w:val="center"/>
          </w:tcPr>
          <w:p w14:paraId="4F7B63CE">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A84D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CDD0B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1FE5D3">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88883">
            <w:pPr>
              <w:widowControl/>
              <w:spacing w:line="240" w:lineRule="exact"/>
              <w:jc w:val="center"/>
              <w:rPr>
                <w:rFonts w:ascii="黑体" w:hAnsi="宋体" w:eastAsia="黑体" w:cs="黑体"/>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0D11BC12">
            <w:pPr>
              <w:widowControl/>
              <w:spacing w:line="240" w:lineRule="exact"/>
              <w:jc w:val="center"/>
              <w:rPr>
                <w:rFonts w:ascii="黑体" w:hAnsi="宋体" w:eastAsia="黑体" w:cs="黑体"/>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6E674633">
            <w:pPr>
              <w:widowControl/>
              <w:spacing w:line="240" w:lineRule="exact"/>
              <w:jc w:val="center"/>
              <w:rPr>
                <w:rFonts w:ascii="黑体" w:hAnsi="宋体" w:eastAsia="黑体" w:cs="黑体"/>
                <w:color w:val="000000"/>
                <w:sz w:val="24"/>
              </w:rPr>
            </w:pPr>
          </w:p>
        </w:tc>
      </w:tr>
      <w:tr w14:paraId="38E25EE2">
        <w:tblPrEx>
          <w:tblCellMar>
            <w:top w:w="0" w:type="dxa"/>
            <w:left w:w="108" w:type="dxa"/>
            <w:bottom w:w="0" w:type="dxa"/>
            <w:right w:w="108" w:type="dxa"/>
          </w:tblCellMar>
        </w:tblPrEx>
        <w:trPr>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BDB6A">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总体绩效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（65分）</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3BA83872">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履职效能</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57809">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预算执行管理</w:t>
            </w:r>
          </w:p>
        </w:tc>
        <w:tc>
          <w:tcPr>
            <w:tcW w:w="0" w:type="auto"/>
            <w:vMerge w:val="restart"/>
            <w:tcBorders>
              <w:top w:val="nil"/>
              <w:left w:val="single" w:color="000000" w:sz="4" w:space="0"/>
              <w:right w:val="single" w:color="000000" w:sz="4" w:space="0"/>
            </w:tcBorders>
            <w:shd w:val="clear" w:color="auto" w:fill="auto"/>
            <w:vAlign w:val="center"/>
          </w:tcPr>
          <w:p w14:paraId="17FEA4DB">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15</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53CC7309">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部门整体绩效目标中选定3-5个核心职能目标，反映该项职能目标完成效果情况</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6346B72F">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15</w:t>
            </w:r>
          </w:p>
        </w:tc>
        <w:tc>
          <w:tcPr>
            <w:tcW w:w="0" w:type="auto"/>
            <w:vMerge w:val="restart"/>
            <w:tcBorders>
              <w:top w:val="single" w:color="000000" w:sz="4" w:space="0"/>
              <w:left w:val="single" w:color="000000" w:sz="4" w:space="0"/>
              <w:right w:val="single" w:color="000000" w:sz="4" w:space="0"/>
            </w:tcBorders>
            <w:shd w:val="clear" w:color="auto" w:fill="auto"/>
            <w:vAlign w:val="center"/>
          </w:tcPr>
          <w:p w14:paraId="5AB0E2BE">
            <w:pPr>
              <w:widowControl/>
              <w:spacing w:line="240" w:lineRule="exact"/>
              <w:jc w:val="left"/>
              <w:textAlignment w:val="center"/>
              <w:rPr>
                <w:rFonts w:ascii="宋体" w:hAnsi="宋体" w:eastAsia="宋体" w:cs="宋体"/>
                <w:color w:val="000000"/>
                <w:kern w:val="0"/>
                <w:sz w:val="22"/>
                <w:szCs w:val="22"/>
              </w:rPr>
            </w:pPr>
          </w:p>
        </w:tc>
      </w:tr>
      <w:tr w14:paraId="34ABD0D4">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57E2C">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438A854F">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A3600">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持续提升财政管理服务水平</w:t>
            </w:r>
          </w:p>
        </w:tc>
        <w:tc>
          <w:tcPr>
            <w:tcW w:w="0" w:type="auto"/>
            <w:vMerge w:val="continue"/>
            <w:tcBorders>
              <w:left w:val="single" w:color="000000" w:sz="4" w:space="0"/>
              <w:right w:val="single" w:color="000000" w:sz="4" w:space="0"/>
            </w:tcBorders>
            <w:shd w:val="clear" w:color="auto" w:fill="auto"/>
            <w:vAlign w:val="center"/>
          </w:tcPr>
          <w:p w14:paraId="3D6B9996">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021B34B8">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5644517A">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221D88E6">
            <w:pPr>
              <w:widowControl/>
              <w:spacing w:line="240" w:lineRule="exact"/>
              <w:jc w:val="left"/>
              <w:textAlignment w:val="center"/>
              <w:rPr>
                <w:rFonts w:ascii="宋体" w:hAnsi="宋体" w:eastAsia="宋体" w:cs="宋体"/>
                <w:color w:val="000000"/>
                <w:kern w:val="0"/>
                <w:sz w:val="22"/>
                <w:szCs w:val="22"/>
              </w:rPr>
            </w:pPr>
          </w:p>
        </w:tc>
      </w:tr>
      <w:tr w14:paraId="79362776">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12BEE">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108C38F5">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EB4ECA">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强化监督检查</w:t>
            </w:r>
          </w:p>
        </w:tc>
        <w:tc>
          <w:tcPr>
            <w:tcW w:w="0" w:type="auto"/>
            <w:vMerge w:val="continue"/>
            <w:tcBorders>
              <w:left w:val="single" w:color="000000" w:sz="4" w:space="0"/>
              <w:right w:val="single" w:color="000000" w:sz="4" w:space="0"/>
            </w:tcBorders>
            <w:shd w:val="clear" w:color="auto" w:fill="auto"/>
            <w:vAlign w:val="center"/>
          </w:tcPr>
          <w:p w14:paraId="6E40857F">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5E655DF0">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1BED1AA0">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14:paraId="797BB490">
            <w:pPr>
              <w:widowControl/>
              <w:spacing w:line="240" w:lineRule="exact"/>
              <w:jc w:val="left"/>
              <w:textAlignment w:val="center"/>
              <w:rPr>
                <w:rFonts w:ascii="宋体" w:hAnsi="宋体" w:eastAsia="宋体" w:cs="宋体"/>
                <w:color w:val="000000"/>
                <w:kern w:val="0"/>
                <w:sz w:val="22"/>
                <w:szCs w:val="22"/>
              </w:rPr>
            </w:pPr>
          </w:p>
        </w:tc>
      </w:tr>
      <w:tr w14:paraId="394F9EBC">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44A29">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28089CD4">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EB4CDD">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执行中央八项规定精神和党政机关厉行节约</w:t>
            </w: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2319EC83">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04425436">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0E72FAB5">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14:paraId="35281279">
            <w:pPr>
              <w:widowControl/>
              <w:spacing w:line="240" w:lineRule="exact"/>
              <w:jc w:val="left"/>
              <w:textAlignment w:val="center"/>
              <w:rPr>
                <w:rFonts w:ascii="宋体" w:hAnsi="宋体" w:eastAsia="宋体" w:cs="宋体"/>
                <w:color w:val="000000"/>
                <w:kern w:val="0"/>
                <w:sz w:val="22"/>
                <w:szCs w:val="22"/>
              </w:rPr>
            </w:pPr>
          </w:p>
        </w:tc>
      </w:tr>
      <w:tr w14:paraId="69ACAFDA">
        <w:tblPrEx>
          <w:tblCellMar>
            <w:top w:w="0" w:type="dxa"/>
            <w:left w:w="108" w:type="dxa"/>
            <w:bottom w:w="0" w:type="dxa"/>
            <w:right w:w="108" w:type="dxa"/>
          </w:tblCellMar>
        </w:tblPrEx>
        <w:trPr>
          <w:trHeight w:val="74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17E1B">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34850">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预算管理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（25分）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9AF36">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预算编制质量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08454A">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16ACC">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部门是否严格按要求编制年初部门预算，年初预算编制的科学性和准确性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87F030">
            <w:pPr>
              <w:widowControl/>
              <w:spacing w:line="240" w:lineRule="exact"/>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7D1E1">
            <w:pPr>
              <w:widowControl/>
              <w:spacing w:line="240" w:lineRule="exact"/>
              <w:jc w:val="left"/>
              <w:textAlignment w:val="center"/>
              <w:rPr>
                <w:rFonts w:ascii="宋体" w:hAnsi="宋体" w:eastAsia="宋体" w:cs="宋体"/>
                <w:color w:val="000000"/>
                <w:kern w:val="0"/>
                <w:sz w:val="22"/>
                <w:szCs w:val="22"/>
              </w:rPr>
            </w:pPr>
          </w:p>
        </w:tc>
      </w:tr>
      <w:tr w14:paraId="49CF5924">
        <w:tblPrEx>
          <w:tblCellMar>
            <w:top w:w="0" w:type="dxa"/>
            <w:left w:w="108" w:type="dxa"/>
            <w:bottom w:w="0" w:type="dxa"/>
            <w:right w:w="108" w:type="dxa"/>
          </w:tblCellMar>
        </w:tblPrEx>
        <w:trPr>
          <w:trHeight w:val="6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F9443">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F964A">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A4CF9">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单位收入统筹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16C53">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EB67E">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部门统筹自有收入程度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F87E6F">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3D3E95">
            <w:pPr>
              <w:widowControl/>
              <w:spacing w:line="240" w:lineRule="exact"/>
              <w:jc w:val="left"/>
              <w:textAlignment w:val="center"/>
              <w:rPr>
                <w:rFonts w:ascii="宋体" w:hAnsi="宋体" w:eastAsia="宋体" w:cs="宋体"/>
                <w:color w:val="000000"/>
                <w:kern w:val="0"/>
                <w:sz w:val="22"/>
                <w:szCs w:val="22"/>
              </w:rPr>
            </w:pPr>
          </w:p>
        </w:tc>
      </w:tr>
      <w:tr w14:paraId="55BFCF9E">
        <w:tblPrEx>
          <w:tblCellMar>
            <w:top w:w="0" w:type="dxa"/>
            <w:left w:w="108" w:type="dxa"/>
            <w:bottom w:w="0" w:type="dxa"/>
            <w:right w:w="108" w:type="dxa"/>
          </w:tblCellMar>
        </w:tblPrEx>
        <w:trPr>
          <w:trHeight w:val="6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0AA96">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7D20D">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547E41">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支出执行进度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D25B87">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7917E5">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部门1至6月、1至10月预算执行情况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2D16D1">
            <w:pPr>
              <w:widowControl/>
              <w:spacing w:line="240" w:lineRule="exact"/>
              <w:jc w:val="left"/>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9530FB">
            <w:pPr>
              <w:widowControl/>
              <w:spacing w:line="240" w:lineRule="exact"/>
              <w:jc w:val="left"/>
              <w:textAlignment w:val="center"/>
              <w:rPr>
                <w:rFonts w:ascii="宋体" w:hAnsi="宋体" w:eastAsia="宋体" w:cs="宋体"/>
                <w:color w:val="000000"/>
                <w:kern w:val="0"/>
                <w:sz w:val="22"/>
                <w:szCs w:val="22"/>
              </w:rPr>
            </w:pPr>
          </w:p>
        </w:tc>
      </w:tr>
      <w:tr w14:paraId="796100B6">
        <w:tblPrEx>
          <w:tblCellMar>
            <w:top w:w="0" w:type="dxa"/>
            <w:left w:w="108" w:type="dxa"/>
            <w:bottom w:w="0" w:type="dxa"/>
            <w:right w:w="108" w:type="dxa"/>
          </w:tblCellMar>
        </w:tblPrEx>
        <w:trPr>
          <w:trHeight w:val="64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C313D">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27E94">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8FAA4">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预算年终结余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1BFC2">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E4A551">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部门整体年终预算结余情况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D5A2B">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76774E">
            <w:pPr>
              <w:widowControl/>
              <w:spacing w:line="240" w:lineRule="exact"/>
              <w:jc w:val="left"/>
              <w:textAlignment w:val="center"/>
              <w:rPr>
                <w:rFonts w:ascii="宋体" w:hAnsi="宋体" w:eastAsia="宋体" w:cs="宋体"/>
                <w:color w:val="000000"/>
                <w:kern w:val="0"/>
                <w:sz w:val="22"/>
                <w:szCs w:val="22"/>
              </w:rPr>
            </w:pPr>
          </w:p>
        </w:tc>
      </w:tr>
      <w:tr w14:paraId="59CC8A1E">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AE7CF">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93611">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C85CB">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严控一般性支出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39849A">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D8E79">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部门严控“三公”经费、会议、培训、差旅、办节办展、办公设备购置、信息网络及软件购置更新、课题经费等8项一般性支出情况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EADFF6">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81ACD3">
            <w:pPr>
              <w:widowControl/>
              <w:spacing w:line="240" w:lineRule="exact"/>
              <w:jc w:val="left"/>
              <w:textAlignment w:val="center"/>
              <w:rPr>
                <w:rFonts w:ascii="宋体" w:hAnsi="宋体" w:eastAsia="宋体" w:cs="宋体"/>
                <w:color w:val="000000"/>
                <w:kern w:val="0"/>
                <w:sz w:val="22"/>
                <w:szCs w:val="22"/>
              </w:rPr>
            </w:pPr>
          </w:p>
        </w:tc>
      </w:tr>
      <w:tr w14:paraId="0F8DE2D8">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6AD1C">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04BAB">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财务管理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7B85B4">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财务管理制度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6F03AA">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7DD8F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部门财务管理制度建立情况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D94F42">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04C57">
            <w:pPr>
              <w:widowControl/>
              <w:spacing w:line="240" w:lineRule="exact"/>
              <w:jc w:val="left"/>
              <w:textAlignment w:val="center"/>
              <w:rPr>
                <w:rFonts w:ascii="宋体" w:hAnsi="宋体" w:eastAsia="宋体" w:cs="宋体"/>
                <w:color w:val="000000"/>
                <w:kern w:val="0"/>
                <w:sz w:val="22"/>
                <w:szCs w:val="22"/>
              </w:rPr>
            </w:pPr>
          </w:p>
        </w:tc>
      </w:tr>
      <w:tr w14:paraId="4AEC5A38">
        <w:tblPrEx>
          <w:tblCellMar>
            <w:top w:w="0" w:type="dxa"/>
            <w:left w:w="108" w:type="dxa"/>
            <w:bottom w:w="0" w:type="dxa"/>
            <w:right w:w="108" w:type="dxa"/>
          </w:tblCellMar>
        </w:tblPrEx>
        <w:trPr>
          <w:trHeight w:val="67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F4010">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DB88D">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A092D6">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财务岗位设置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C146E">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EFA0F4">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部门财务岗位设置是否符合相关财务管理制度要求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A6A4D8">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5ACB3A">
            <w:pPr>
              <w:widowControl/>
              <w:spacing w:line="240" w:lineRule="exact"/>
              <w:jc w:val="left"/>
              <w:textAlignment w:val="center"/>
              <w:rPr>
                <w:rFonts w:ascii="宋体" w:hAnsi="宋体" w:eastAsia="宋体" w:cs="宋体"/>
                <w:color w:val="000000"/>
                <w:kern w:val="0"/>
                <w:sz w:val="22"/>
                <w:szCs w:val="22"/>
              </w:rPr>
            </w:pPr>
          </w:p>
        </w:tc>
      </w:tr>
      <w:tr w14:paraId="3153616A">
        <w:tblPrEx>
          <w:tblCellMar>
            <w:top w:w="0" w:type="dxa"/>
            <w:left w:w="108" w:type="dxa"/>
            <w:bottom w:w="0" w:type="dxa"/>
            <w:right w:w="108" w:type="dxa"/>
          </w:tblCellMar>
        </w:tblPrEx>
        <w:trPr>
          <w:trHeight w:val="64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EE5E1">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24EF5">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D066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资金使用规范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56041">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B26C2D">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部门资金使用是否符合相关财务管理制度规定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7B778">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13561">
            <w:pPr>
              <w:widowControl/>
              <w:spacing w:line="240" w:lineRule="exact"/>
              <w:jc w:val="left"/>
              <w:textAlignment w:val="center"/>
              <w:rPr>
                <w:rFonts w:ascii="宋体" w:hAnsi="宋体" w:eastAsia="宋体" w:cs="宋体"/>
                <w:color w:val="000000"/>
                <w:kern w:val="0"/>
                <w:sz w:val="22"/>
                <w:szCs w:val="22"/>
              </w:rPr>
            </w:pPr>
          </w:p>
        </w:tc>
      </w:tr>
      <w:tr w14:paraId="7BE9AB24">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3A23D">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0D54FC">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资产管理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5BC95B">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人均资产变化率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8CF51">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ECBD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部门人均资产变化情况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36AAB1">
            <w:pPr>
              <w:widowControl/>
              <w:spacing w:line="240" w:lineRule="exact"/>
              <w:jc w:val="left"/>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44E482">
            <w:pPr>
              <w:widowControl/>
              <w:spacing w:line="240" w:lineRule="exact"/>
              <w:jc w:val="left"/>
              <w:textAlignment w:val="center"/>
              <w:rPr>
                <w:rFonts w:ascii="宋体" w:hAnsi="宋体" w:eastAsia="宋体" w:cs="宋体"/>
                <w:color w:val="000000"/>
                <w:kern w:val="0"/>
                <w:sz w:val="22"/>
                <w:szCs w:val="22"/>
              </w:rPr>
            </w:pPr>
          </w:p>
        </w:tc>
      </w:tr>
      <w:tr w14:paraId="6FB34E88">
        <w:tblPrEx>
          <w:tblCellMar>
            <w:top w:w="0" w:type="dxa"/>
            <w:left w:w="108" w:type="dxa"/>
            <w:bottom w:w="0" w:type="dxa"/>
            <w:right w:w="108" w:type="dxa"/>
          </w:tblCellMar>
        </w:tblPrEx>
        <w:trPr>
          <w:trHeight w:val="35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E5A88">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56CFD">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E561F">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资产利用率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A418A">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E1FAE">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部门资产超最低使用年限情况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6BF3C">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6A34B">
            <w:pPr>
              <w:widowControl/>
              <w:spacing w:line="240" w:lineRule="exact"/>
              <w:jc w:val="left"/>
              <w:textAlignment w:val="center"/>
              <w:rPr>
                <w:rFonts w:ascii="宋体" w:hAnsi="宋体" w:eastAsia="宋体" w:cs="宋体"/>
                <w:color w:val="000000"/>
                <w:kern w:val="0"/>
                <w:sz w:val="22"/>
                <w:szCs w:val="22"/>
              </w:rPr>
            </w:pPr>
          </w:p>
        </w:tc>
      </w:tr>
      <w:tr w14:paraId="3835912A">
        <w:tblPrEx>
          <w:tblCellMar>
            <w:top w:w="0" w:type="dxa"/>
            <w:left w:w="108" w:type="dxa"/>
            <w:bottom w:w="0" w:type="dxa"/>
            <w:right w:w="108" w:type="dxa"/>
          </w:tblCellMar>
        </w:tblPrEx>
        <w:trPr>
          <w:trHeight w:val="82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A0121">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总体绩效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0A04CC">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资产管理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F0EED">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资产盘活率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267328">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80DCD5">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部门闲置一年以上的资产盘活情况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8000D4">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343925">
            <w:pPr>
              <w:widowControl/>
              <w:spacing w:line="240" w:lineRule="exact"/>
              <w:jc w:val="left"/>
              <w:textAlignment w:val="center"/>
              <w:rPr>
                <w:rFonts w:ascii="宋体" w:hAnsi="宋体" w:eastAsia="宋体" w:cs="宋体"/>
                <w:color w:val="000000"/>
                <w:kern w:val="0"/>
                <w:sz w:val="22"/>
                <w:szCs w:val="22"/>
              </w:rPr>
            </w:pPr>
          </w:p>
        </w:tc>
      </w:tr>
      <w:tr w14:paraId="6133B782">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8CF30">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10879">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采购管理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C63C2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支持中小企业发展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975556">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B2296">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部门是否严格执行政府采购促进中小企业发展相关管理办法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7C7935">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0B342">
            <w:pPr>
              <w:widowControl/>
              <w:spacing w:line="240" w:lineRule="exact"/>
              <w:jc w:val="left"/>
              <w:textAlignment w:val="center"/>
              <w:rPr>
                <w:rFonts w:ascii="宋体" w:hAnsi="宋体" w:eastAsia="宋体" w:cs="宋体"/>
                <w:color w:val="000000"/>
                <w:kern w:val="0"/>
                <w:sz w:val="22"/>
                <w:szCs w:val="22"/>
              </w:rPr>
            </w:pPr>
          </w:p>
        </w:tc>
      </w:tr>
      <w:tr w14:paraId="453F12AA">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D11E0">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E1831">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95B890">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采购执行率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12655F">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E412A4">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部门政府采购项目资金支付比例情况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51F2B">
            <w:pPr>
              <w:widowControl/>
              <w:spacing w:line="240" w:lineRule="exact"/>
              <w:jc w:val="left"/>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AFE1D">
            <w:pPr>
              <w:widowControl/>
              <w:spacing w:line="240" w:lineRule="exact"/>
              <w:jc w:val="left"/>
              <w:textAlignment w:val="center"/>
              <w:rPr>
                <w:rFonts w:ascii="宋体" w:hAnsi="宋体" w:eastAsia="宋体" w:cs="宋体"/>
                <w:color w:val="000000"/>
                <w:kern w:val="0"/>
                <w:sz w:val="22"/>
                <w:szCs w:val="22"/>
              </w:rPr>
            </w:pPr>
          </w:p>
        </w:tc>
      </w:tr>
      <w:tr w14:paraId="12FCE9D5">
        <w:tblPrEx>
          <w:tblCellMar>
            <w:top w:w="0" w:type="dxa"/>
            <w:left w:w="108" w:type="dxa"/>
            <w:bottom w:w="0" w:type="dxa"/>
            <w:right w:w="108" w:type="dxa"/>
          </w:tblCellMar>
        </w:tblPrEx>
        <w:trPr>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9B7AA7">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（35分）</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C0A4F47">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项目决策</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BF792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决策程序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D343CE">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D0B55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部门预算项目设立是否按规定履行评估论证、申报程序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CB17F">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C0CA49">
            <w:pPr>
              <w:widowControl/>
              <w:spacing w:line="240" w:lineRule="exact"/>
              <w:jc w:val="left"/>
              <w:textAlignment w:val="center"/>
              <w:rPr>
                <w:rFonts w:ascii="宋体" w:hAnsi="宋体" w:eastAsia="宋体" w:cs="宋体"/>
                <w:color w:val="000000"/>
                <w:kern w:val="0"/>
                <w:sz w:val="22"/>
                <w:szCs w:val="22"/>
              </w:rPr>
            </w:pPr>
          </w:p>
        </w:tc>
      </w:tr>
      <w:tr w14:paraId="735C1DE3">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3EE7B">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12F116D">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1B5A36">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6940B">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2BB520">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部门预算项目绩效目标与计划期内的任务量、预算安排的资金量匹配情况，绩效目标设置是否科学合理、规范完整、量化细化、预算匹配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D8759">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A284A">
            <w:pPr>
              <w:widowControl/>
              <w:spacing w:line="240" w:lineRule="exact"/>
              <w:jc w:val="left"/>
              <w:textAlignment w:val="center"/>
              <w:rPr>
                <w:rFonts w:ascii="宋体" w:hAnsi="宋体" w:eastAsia="宋体" w:cs="宋体"/>
                <w:color w:val="000000"/>
                <w:kern w:val="0"/>
                <w:sz w:val="22"/>
                <w:szCs w:val="22"/>
              </w:rPr>
            </w:pPr>
          </w:p>
        </w:tc>
      </w:tr>
      <w:tr w14:paraId="05F4806C">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D592A">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2CA4C18">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E5E6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35A00">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69A74">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部门预算项目是否在规定时间完成项目入库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297386">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C0D0B">
            <w:pPr>
              <w:widowControl/>
              <w:spacing w:line="240" w:lineRule="exact"/>
              <w:jc w:val="left"/>
              <w:textAlignment w:val="center"/>
              <w:rPr>
                <w:rFonts w:ascii="宋体" w:hAnsi="宋体" w:eastAsia="宋体" w:cs="宋体"/>
                <w:color w:val="000000"/>
                <w:kern w:val="0"/>
                <w:sz w:val="22"/>
                <w:szCs w:val="22"/>
              </w:rPr>
            </w:pPr>
          </w:p>
        </w:tc>
      </w:tr>
      <w:tr w14:paraId="4A15D20E">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76456">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BAB6707">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项目执行</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5E3E04">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执行同向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E11C8">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F35A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部门预算项目实际列支内容是否与绩效目标设置方向相符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EF5B4">
            <w:pPr>
              <w:widowControl/>
              <w:spacing w:line="240" w:lineRule="exact"/>
              <w:jc w:val="left"/>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6E9602">
            <w:pPr>
              <w:widowControl/>
              <w:spacing w:line="240" w:lineRule="exact"/>
              <w:jc w:val="left"/>
              <w:textAlignment w:val="center"/>
              <w:rPr>
                <w:rFonts w:ascii="宋体" w:hAnsi="宋体" w:eastAsia="宋体" w:cs="宋体"/>
                <w:color w:val="000000"/>
                <w:kern w:val="0"/>
                <w:sz w:val="22"/>
                <w:szCs w:val="22"/>
              </w:rPr>
            </w:pPr>
          </w:p>
        </w:tc>
      </w:tr>
      <w:tr w14:paraId="5C6147BB">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AE195">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85A6113">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6C555AE7">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项目调整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3B720">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38F434">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部门预算项目是否采取对应调整措施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860C5E">
            <w:pPr>
              <w:widowControl/>
              <w:spacing w:line="240" w:lineRule="exact"/>
              <w:jc w:val="left"/>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9DAD1">
            <w:pPr>
              <w:widowControl/>
              <w:spacing w:line="240" w:lineRule="exact"/>
              <w:jc w:val="left"/>
              <w:textAlignment w:val="center"/>
              <w:rPr>
                <w:rFonts w:ascii="宋体" w:hAnsi="宋体" w:eastAsia="宋体" w:cs="宋体"/>
                <w:color w:val="000000"/>
                <w:kern w:val="0"/>
                <w:sz w:val="22"/>
                <w:szCs w:val="22"/>
              </w:rPr>
            </w:pPr>
          </w:p>
        </w:tc>
      </w:tr>
      <w:tr w14:paraId="6EB2B629">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B2E44">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4265760">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5FEC9F">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执行结果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586836">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EF876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1A3FF">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CBA7CE">
            <w:pPr>
              <w:widowControl/>
              <w:spacing w:line="240" w:lineRule="exact"/>
              <w:jc w:val="left"/>
              <w:textAlignment w:val="center"/>
              <w:rPr>
                <w:rFonts w:ascii="宋体" w:hAnsi="宋体" w:eastAsia="宋体" w:cs="宋体"/>
                <w:color w:val="000000"/>
                <w:kern w:val="0"/>
                <w:sz w:val="22"/>
                <w:szCs w:val="22"/>
              </w:rPr>
            </w:pPr>
          </w:p>
        </w:tc>
      </w:tr>
      <w:tr w14:paraId="03C65072">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567ED">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D62B7">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目标实现</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（11分）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B9DB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229DF3">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3DCDD">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部门预算项目绩效目标数量指标完成情况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22226">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439BF">
            <w:pPr>
              <w:widowControl/>
              <w:spacing w:line="240" w:lineRule="exact"/>
              <w:jc w:val="left"/>
              <w:textAlignment w:val="center"/>
              <w:rPr>
                <w:rFonts w:ascii="宋体" w:hAnsi="宋体" w:eastAsia="宋体" w:cs="宋体"/>
                <w:color w:val="000000"/>
                <w:kern w:val="0"/>
                <w:sz w:val="22"/>
                <w:szCs w:val="22"/>
              </w:rPr>
            </w:pPr>
          </w:p>
        </w:tc>
      </w:tr>
      <w:tr w14:paraId="3F88C9CD">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8130">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A76F5">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80EC2">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目标偏离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55C7DF">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5BD5A">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部门预算项目绩效目标数量指标实现程度与预期目标的偏离情况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86376">
            <w:pPr>
              <w:widowControl/>
              <w:spacing w:line="240" w:lineRule="exact"/>
              <w:jc w:val="left"/>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EC32E">
            <w:pPr>
              <w:widowControl/>
              <w:spacing w:line="240" w:lineRule="exact"/>
              <w:jc w:val="left"/>
              <w:textAlignment w:val="center"/>
              <w:rPr>
                <w:rFonts w:ascii="宋体" w:hAnsi="宋体" w:eastAsia="宋体" w:cs="宋体"/>
                <w:color w:val="000000"/>
                <w:kern w:val="0"/>
                <w:sz w:val="22"/>
                <w:szCs w:val="22"/>
              </w:rPr>
            </w:pPr>
          </w:p>
        </w:tc>
      </w:tr>
      <w:tr w14:paraId="477B3F2A">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2ED99">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E8D77">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2CD2AE">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实现效果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DD66C">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AFFD2C">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部门预算项目绩效目标效益指标实施效果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9ACBB5">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20DA9">
            <w:pPr>
              <w:widowControl/>
              <w:spacing w:line="240" w:lineRule="exact"/>
              <w:jc w:val="left"/>
              <w:textAlignment w:val="center"/>
              <w:rPr>
                <w:rFonts w:ascii="宋体" w:hAnsi="宋体" w:eastAsia="宋体" w:cs="宋体"/>
                <w:color w:val="000000"/>
                <w:kern w:val="0"/>
                <w:sz w:val="22"/>
                <w:szCs w:val="22"/>
              </w:rPr>
            </w:pPr>
          </w:p>
        </w:tc>
      </w:tr>
      <w:tr w14:paraId="16A230E1">
        <w:tblPrEx>
          <w:tblCellMar>
            <w:top w:w="0" w:type="dxa"/>
            <w:left w:w="108" w:type="dxa"/>
            <w:bottom w:w="0" w:type="dxa"/>
            <w:right w:w="108" w:type="dxa"/>
          </w:tblCellMar>
        </w:tblPrEx>
        <w:trPr>
          <w:trHeight w:val="2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E9A2B">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扣分项</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（10分）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9374E">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被评价部门配合度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7D5638">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EF097">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被评价对象工作配合情况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0B674">
            <w:pPr>
              <w:widowControl/>
              <w:spacing w:line="240" w:lineRule="exact"/>
              <w:jc w:val="left"/>
              <w:textAlignment w:val="center"/>
              <w:rPr>
                <w:rFonts w:ascii="宋体" w:hAnsi="宋体" w:eastAsia="宋体" w:cs="宋体"/>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7971BD">
            <w:pPr>
              <w:widowControl/>
              <w:spacing w:line="240" w:lineRule="exact"/>
              <w:jc w:val="left"/>
              <w:textAlignment w:val="center"/>
              <w:rPr>
                <w:rFonts w:ascii="宋体" w:hAnsi="宋体" w:eastAsia="宋体" w:cs="宋体"/>
                <w:color w:val="000000"/>
                <w:kern w:val="0"/>
                <w:sz w:val="22"/>
                <w:szCs w:val="22"/>
              </w:rPr>
            </w:pPr>
          </w:p>
        </w:tc>
      </w:tr>
    </w:tbl>
    <w:p w14:paraId="28527738">
      <w:pPr>
        <w:spacing w:line="560" w:lineRule="exact"/>
        <w:rPr>
          <w:color w:val="000000"/>
          <w:kern w:val="0"/>
          <w:szCs w:val="32"/>
          <w:shd w:val="clear" w:color="auto" w:fill="FFFFFF"/>
        </w:rPr>
      </w:pPr>
    </w:p>
    <w:p w14:paraId="30BF8065">
      <w:pPr>
        <w:rPr>
          <w:rFonts w:ascii="黑体" w:hAnsi="黑体" w:eastAsia="黑体" w:cs="黑体"/>
        </w:rPr>
        <w:sectPr>
          <w:headerReference r:id="rId3" w:type="default"/>
          <w:footerReference r:id="rId4" w:type="default"/>
          <w:pgSz w:w="11906" w:h="16838"/>
          <w:pgMar w:top="1984" w:right="1587" w:bottom="2098" w:left="1474" w:header="851" w:footer="992" w:gutter="0"/>
          <w:pgNumType w:fmt="numberInDash"/>
          <w:cols w:space="425" w:num="1"/>
          <w:docGrid w:type="lines" w:linePitch="435" w:charSpace="0"/>
        </w:sectPr>
      </w:pPr>
    </w:p>
    <w:p w14:paraId="09084D47">
      <w:pPr>
        <w:rPr>
          <w:rFonts w:ascii="黑体" w:hAnsi="黑体" w:eastAsia="黑体" w:cs="黑体"/>
        </w:rPr>
      </w:pPr>
    </w:p>
    <w:tbl>
      <w:tblPr>
        <w:tblStyle w:val="1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721"/>
        <w:gridCol w:w="1048"/>
        <w:gridCol w:w="1616"/>
        <w:gridCol w:w="4324"/>
        <w:gridCol w:w="1513"/>
        <w:gridCol w:w="1389"/>
        <w:gridCol w:w="1513"/>
        <w:gridCol w:w="760"/>
      </w:tblGrid>
      <w:tr w14:paraId="5BC04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000" w:type="pct"/>
            <w:gridSpan w:val="8"/>
            <w:tcBorders>
              <w:top w:val="nil"/>
              <w:left w:val="nil"/>
              <w:bottom w:val="nil"/>
              <w:right w:val="nil"/>
            </w:tcBorders>
            <w:shd w:val="clear" w:color="auto" w:fill="auto"/>
            <w:vAlign w:val="center"/>
          </w:tcPr>
          <w:p w14:paraId="6A114187">
            <w:pPr>
              <w:keepNext w:val="0"/>
              <w:keepLines w:val="0"/>
              <w:widowControl/>
              <w:suppressLineNumbers w:val="0"/>
              <w:snapToGrid w:val="0"/>
              <w:jc w:val="both"/>
              <w:textAlignment w:val="center"/>
              <w:rPr>
                <w:rFonts w:hint="default" w:ascii="黑体" w:hAnsi="宋体" w:eastAsia="黑体" w:cs="黑体"/>
                <w:i w:val="0"/>
                <w:iCs w:val="0"/>
                <w:color w:val="000000"/>
                <w:kern w:val="0"/>
                <w:sz w:val="30"/>
                <w:szCs w:val="30"/>
                <w:u w:val="none"/>
                <w:lang w:val="en-US" w:eastAsia="zh-CN" w:bidi="ar"/>
              </w:rPr>
            </w:pPr>
            <w:r>
              <w:rPr>
                <w:rFonts w:hint="eastAsia" w:ascii="黑体" w:hAnsi="宋体" w:eastAsia="黑体" w:cs="黑体"/>
                <w:i w:val="0"/>
                <w:iCs w:val="0"/>
                <w:color w:val="000000"/>
                <w:kern w:val="0"/>
                <w:sz w:val="30"/>
                <w:szCs w:val="30"/>
                <w:u w:val="none"/>
                <w:lang w:val="en-US" w:eastAsia="zh-CN" w:bidi="ar"/>
              </w:rPr>
              <w:t>附表2</w:t>
            </w:r>
          </w:p>
          <w:p w14:paraId="45D33079">
            <w:pPr>
              <w:keepNext w:val="0"/>
              <w:keepLines w:val="0"/>
              <w:widowControl/>
              <w:suppressLineNumbers w:val="0"/>
              <w:snapToGrid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部门整体支出绩效目标表</w:t>
            </w:r>
          </w:p>
        </w:tc>
      </w:tr>
      <w:tr w14:paraId="7B22B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000" w:type="pct"/>
            <w:gridSpan w:val="8"/>
            <w:tcBorders>
              <w:top w:val="nil"/>
              <w:left w:val="nil"/>
              <w:bottom w:val="nil"/>
              <w:right w:val="nil"/>
            </w:tcBorders>
            <w:shd w:val="clear" w:color="auto" w:fill="auto"/>
            <w:vAlign w:val="center"/>
          </w:tcPr>
          <w:p w14:paraId="11B973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（2024年度）</w:t>
            </w:r>
          </w:p>
        </w:tc>
      </w:tr>
      <w:tr w14:paraId="02FF7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000" w:type="pct"/>
            <w:gridSpan w:val="8"/>
            <w:tcBorders>
              <w:top w:val="nil"/>
              <w:left w:val="nil"/>
              <w:bottom w:val="single" w:color="000000" w:sz="4" w:space="0"/>
              <w:right w:val="nil"/>
            </w:tcBorders>
            <w:shd w:val="clear" w:color="auto" w:fill="auto"/>
            <w:vAlign w:val="center"/>
          </w:tcPr>
          <w:p w14:paraId="737C51CA">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金额单位：万元</w:t>
            </w:r>
          </w:p>
        </w:tc>
      </w:tr>
      <w:tr w14:paraId="5F9E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31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CB9B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5A5F8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r>
      <w:tr w14:paraId="21CD3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E2C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B14F9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2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A09B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14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F8025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r>
      <w:tr w14:paraId="09510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63579">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DCB80">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295.54</w:t>
            </w:r>
          </w:p>
        </w:tc>
        <w:tc>
          <w:tcPr>
            <w:tcW w:w="22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90138">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295.54</w:t>
            </w:r>
          </w:p>
        </w:tc>
        <w:tc>
          <w:tcPr>
            <w:tcW w:w="142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708707">
            <w:pPr>
              <w:snapToGrid w:val="0"/>
              <w:jc w:val="right"/>
              <w:rPr>
                <w:rFonts w:hint="eastAsia" w:ascii="宋体" w:hAnsi="宋体" w:eastAsia="宋体" w:cs="宋体"/>
                <w:i w:val="0"/>
                <w:iCs w:val="0"/>
                <w:color w:val="000000"/>
                <w:sz w:val="18"/>
                <w:szCs w:val="18"/>
                <w:u w:val="none"/>
              </w:rPr>
            </w:pPr>
          </w:p>
        </w:tc>
      </w:tr>
      <w:tr w14:paraId="4C7A5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A61DD">
            <w:pPr>
              <w:snapToGrid w:val="0"/>
              <w:jc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471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6B87DE0">
            <w:pPr>
              <w:numPr>
                <w:ilvl w:val="0"/>
                <w:numId w:val="1"/>
              </w:numPr>
              <w:snapToGrid w:val="0"/>
              <w:jc w:val="both"/>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(二)贯彻执行国家、省、州、县有关审计工作的方针政策和法律法规。制定并组织实施全县专业领域审计工作规划。对直接审计、调查和核查的事项依法进行审计评价，做出审计决定或提出审计建议。</w:t>
            </w:r>
          </w:p>
          <w:p w14:paraId="3A08EFC0">
            <w:pPr>
              <w:numPr>
                <w:ilvl w:val="0"/>
                <w:numId w:val="1"/>
              </w:numPr>
              <w:snapToGrid w:val="0"/>
              <w:ind w:left="0" w:leftChars="0" w:firstLine="0" w:firstLineChars="0"/>
              <w:jc w:val="both"/>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向县委审计委员会提出年度县级预算执行和其他财政支出情况审计报告。向县政府和州审计局提出年度县级预算执行及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部门和乡（镇）党委、政府通报审计情况和审计结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四)直接审计下列事项，出具审计报告，在法定职权范围内做出审计决定。包括国家、省、州、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自然资源管理、污染防治和生态保护与修复情况；县属国有企业和地方金融机构、国有资本占控股或主导地位的企业和金融机构境内外资产、负债和损益，县政府及有关部门驻外非经营性机构的财务收支；有关社会保障基金、社会捐赠资金、安全生产和职业健康财政资金及其他基金、资金的财务收支；国际组织和外国政府援助、贷款项目；法律法规规定的其他事项。</w:t>
            </w:r>
          </w:p>
          <w:p w14:paraId="753ABCBA">
            <w:pPr>
              <w:numPr>
                <w:ilvl w:val="0"/>
                <w:numId w:val="0"/>
              </w:numPr>
              <w:snapToGrid w:val="0"/>
              <w:ind w:leftChars="0"/>
              <w:jc w:val="both"/>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五)按规定对县管党政主要领导干部及其他单位主要负责人实施经济责任审计和自然资源资产离任审计。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(六)组织实施对国家财经法律法规、规章、政策和宏观调控措施执行情况、财政预算管理及国有资产管理使用等与县级财政收支有关的特定事项进行专项审计调查。</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(七)依法检查审计决定执行情况，督促整改审计查出的问题，依法办理被审计单位对审计决定提请行政复议、行政诉讼或县政府裁决中的有关事项，协助配合有关部门查处相关重大案件。</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(八)指导和监督内部审计工作，核查社会审计机构对依法属于审计监督对象的单位出具的相关审计报告。</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(九)负责实施范围内的安全生产和职业健康、生态环境保护、审批服务便民化等工作。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(十)完成县委、县政府交办的其他任务。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(十一)职能转变。优化审计工作机制，坚持科技强审，完善业务流程，改进工作方式，加强与有关部门的沟通协调，充分调动内部审计和社会审计力量，增强监督合力。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（十二）我局2024年重点工作。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资源环境审计、固定资产投资审计、财政审计、经济责任审计、农业农村审计等5大审计项目及审计发现问题的后续整改落实情况。</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严格落实预算绩效管理，强化对资金使用情况的预算约束和监管，依法履行审计监督职责，最大限度地降低行政成本，提高财政资金的使用效益。严格按照年初项目计划推进审计项目，完成各类审计及审计调查项目。</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我局严格按照年初预算进行部门整体支出。在支出过程中，严格遵守各项规章制度，严格执行经费审批制度、财务会审制度和报销程序，加强了经费支出的监督管理，实现了资金申请、审批、拨付、监督等全流程制度化管理；坚持经费预算科学化、精细化，执行控制规范化、责任化，监督检查常态化、同步化；资金使用没有截留、挪用、虚列支出、随意借用等情况；重大财务事项经由集体研究决策；专项资金做到专款专用；原始凭证的取得真实有效。部门预决算信息按规定内容，在规定的时限内予以公开。基础数据信息和会计信息资料真实、完整、准确。</w:t>
            </w:r>
          </w:p>
        </w:tc>
      </w:tr>
      <w:tr w14:paraId="00813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8541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692B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5C4A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r>
      <w:tr w14:paraId="61C50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81634">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065C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政府投资项目审计</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CDF3F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们加大对政府投资项目的审计力度，将全县政府投资项目全覆盖纳入审计监督，投资额200万元以下的项目，实行报备登记制，投资额200万元以上的项目，纳入审计计划。政府投资审计的力度加大，将为财政节约资金，充分发挥了国家审计机关在控制重大项目成本、加强项目管理中的作用。</w:t>
            </w:r>
          </w:p>
        </w:tc>
      </w:tr>
      <w:tr w14:paraId="56CB3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1C274">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3295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审计整改</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34993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资源环境审计、固定资产投资审计、财政审计、经济责任审计、农业农村审计等5大审计项目的后续整改</w:t>
            </w:r>
          </w:p>
        </w:tc>
      </w:tr>
      <w:tr w14:paraId="79C31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1F6F4">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EA3D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财政资金审计</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2BF1A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们积极探索财政审计的新思路、新方式，增强财政审计的宏观性、整体性和系统性，密切关注财政收入的完整性和财政资金的安全性，严格审核财政资金使用的合规性和效益性，促进将所有政府性收支纳入预算管理和提高财政资金使用绩效。以强化预算约束和绩效管理、促进财政资源统筹、提高财政资金使用绩效、防范化解重大风险、深化预算管理制度改革为目标，重点关注财政收支的真实性、合法性和效益性、非税收入征管和非财政拨款统筹、各类存量资源盘活、保障和改善民生等财政支出政策落实、财政保障重大战略任务助推高质量发展、财政运行风险防控落实、重点专项资金管理使用和绩效、县级决算草案编制等。</w:t>
            </w:r>
          </w:p>
        </w:tc>
      </w:tr>
      <w:tr w14:paraId="5AEE2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FB7AF">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F6D0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农业农村审计</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8C16E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以促进惠农政策落实，巩固拓展脱贫攻坚成果同乡村振兴有效衔接，持续推动夯实脱贫基础为目标的乡村振兴重点帮扶县相关政策落实和资金审计。重点关注政策衔接落地、脱贫群众持续稳定增收、帮扶资金资产管理使用绩效、以前年度审计查出问题整改等情况。</w:t>
            </w:r>
          </w:p>
        </w:tc>
      </w:tr>
      <w:tr w14:paraId="6B27D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65A1D">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8D26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环境资源审计</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82CE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深入贯彻习近平生态文明思想，认真践行长江黄河上游生态“重在保护、要在治理、高质量发展”理念，以深化拓展“一屏四带、全域生态”战略部署，推动加快建设国家生态建设示范区。重点关注重大生态保护项目建设、领导干部贯彻执行中央、省、州、县生态文明建设方针政策和相关决策部署、相关资金征管使用和项目建设运行等，推动经济社会发展与生态文明建设统筹协调，为“十四五”期间实现我县生态环境持续向好保驾护航。</w:t>
            </w:r>
          </w:p>
        </w:tc>
      </w:tr>
      <w:tr w14:paraId="1AE43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B9470">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AD2A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经济责任审计</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C6C0D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围绕规范权力运行和严格责任落实，以促进科学发展和领导干部履职尽责为目标，认真贯彻《中共中央关于加强对“一把手”和领导班子监督的意见》《中共四川省委办公厅印发&lt;关于加强对“一把手”和领导班子监督的工作措施&gt;的通知》。重点关注领导干部贯彻执行党和国家经济政策及决策部署、本地本部门重要发展规划和政策措施制定及执行效果等情况，坚持实事求是，严格落实“三个区分开来”重要要求，有效促进领导干部履职尽责，激励干部担当作为。</w:t>
            </w:r>
          </w:p>
        </w:tc>
      </w:tr>
      <w:tr w14:paraId="6C13D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58C5">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DDB7A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内审工作开展</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8A34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防保护作用，内部审计有助于强化单位内部管理制度，及时发现问题并纠正错误，防止管理漏洞的出现以保护单位资产的安全与完整，同时也确保了会计资料的真实性和可靠性。服务促进作用，内部审计可在单位改善内部管理，挖掘单位潜力，降低成本，提高经济效益等方面起到积极促进的作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评价鉴定作用，内部审计有利于对单位内部各项股室做出客观、公正的审计结论和意见。</w:t>
            </w:r>
          </w:p>
        </w:tc>
      </w:tr>
      <w:tr w14:paraId="1DD7F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659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9B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3D9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BD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14D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绩效指标性质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99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绩效指标值</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4E51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绩效度量单位</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59B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14:paraId="0EDE1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7048F">
            <w:pPr>
              <w:snapToGrid w:val="0"/>
              <w:jc w:val="center"/>
              <w:rPr>
                <w:rFonts w:hint="eastAsia" w:ascii="宋体" w:hAnsi="宋体" w:eastAsia="宋体" w:cs="宋体"/>
                <w:i w:val="0"/>
                <w:iCs w:val="0"/>
                <w:color w:val="000000"/>
                <w:sz w:val="18"/>
                <w:szCs w:val="18"/>
                <w:u w:val="none"/>
              </w:rPr>
            </w:pPr>
          </w:p>
        </w:tc>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1C44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D57B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DDD0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财政资金审计</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72E7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BEB4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09BB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85B1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474F9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84F87">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A4824">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D0EF8">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152B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环境资源审计</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477C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440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D99E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9D29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24F3F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E0DE3">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AE9AD">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D3679">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CC0E">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农业农村审计</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3BCB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40FF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014A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1393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61A02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863E4">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7899B">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BB2AB">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F070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审计整改</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4B3E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A24A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DFF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2836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066EE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1B382">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C43DD">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86D33">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9D1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政府投资项目审计</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D286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F0A6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2CF0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39B8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707A1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E8C81">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E22E4">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0205E">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0F2B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内审工作</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24E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09FB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97BE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A8FA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4DFAE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A3E61">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4F13">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64E64">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8BAB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经济责任审计</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EBD2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507E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1F02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511E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14:paraId="04CB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841B0">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026A6">
            <w:pPr>
              <w:snapToGrid w:val="0"/>
              <w:jc w:val="left"/>
              <w:rPr>
                <w:rFonts w:hint="eastAsia" w:ascii="宋体" w:hAnsi="宋体" w:eastAsia="宋体" w:cs="宋体"/>
                <w:i w:val="0"/>
                <w:iCs w:val="0"/>
                <w:color w:val="000000"/>
                <w:sz w:val="18"/>
                <w:szCs w:val="18"/>
                <w:u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0CAE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392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审计报告的审计质量</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B0F1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3C18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9E61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094A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6D842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64F49">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36C70">
            <w:pPr>
              <w:snapToGrid w:val="0"/>
              <w:jc w:val="left"/>
              <w:rPr>
                <w:rFonts w:hint="eastAsia" w:ascii="宋体" w:hAnsi="宋体" w:eastAsia="宋体" w:cs="宋体"/>
                <w:i w:val="0"/>
                <w:iCs w:val="0"/>
                <w:color w:val="000000"/>
                <w:sz w:val="18"/>
                <w:szCs w:val="18"/>
                <w:u w:val="none"/>
              </w:rPr>
            </w:pPr>
          </w:p>
        </w:tc>
        <w:tc>
          <w:tcPr>
            <w:tcW w:w="6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424C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7046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5大类审计在11月30日之前完成</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8CE3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777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21E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FD3C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302E2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AC968">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4D41D">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3C47A">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15F3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被审计单位的审计整改在11月30日之前完成</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FE1A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CA1A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9E0E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7F79C">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2B7CF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27A7E">
            <w:pPr>
              <w:snapToGrid w:val="0"/>
              <w:jc w:val="center"/>
              <w:rPr>
                <w:rFonts w:hint="eastAsia" w:ascii="宋体" w:hAnsi="宋体" w:eastAsia="宋体" w:cs="宋体"/>
                <w:i w:val="0"/>
                <w:iCs w:val="0"/>
                <w:color w:val="000000"/>
                <w:sz w:val="18"/>
                <w:szCs w:val="18"/>
                <w:u w:val="none"/>
              </w:rPr>
            </w:pPr>
          </w:p>
        </w:tc>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ED0F7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EC10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E67E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被审计单位对内审工作的认识，</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9E44B">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EC2D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提高认识</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A3670">
            <w:pPr>
              <w:snapToGrid w:val="0"/>
              <w:jc w:val="left"/>
              <w:rPr>
                <w:rFonts w:hint="eastAsia" w:ascii="宋体" w:hAnsi="宋体" w:eastAsia="宋体" w:cs="宋体"/>
                <w:i w:val="0"/>
                <w:iCs w:val="0"/>
                <w:color w:val="000000"/>
                <w:sz w:val="18"/>
                <w:szCs w:val="18"/>
                <w:u w:val="none"/>
              </w:rPr>
            </w:pP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5F21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6AD36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9D2D3">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95281">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D35DF">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53B4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提高职工工作效率，营造良好的工作氛围</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F384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89C2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423B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7EF5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14:paraId="50388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FB9C5">
            <w:pPr>
              <w:snapToGrid w:val="0"/>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9D34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47F0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D10C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被审计单位满意</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0B76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06D8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F97D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EF070">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bl>
    <w:p w14:paraId="5CB630EF">
      <w:pPr>
        <w:rPr>
          <w:rFonts w:ascii="黑体" w:hAnsi="黑体" w:eastAsia="黑体" w:cs="黑体"/>
        </w:rPr>
      </w:pPr>
      <w:r>
        <w:rPr>
          <w:rFonts w:hint="eastAsia" w:ascii="黑体" w:hAnsi="宋体" w:eastAsia="黑体" w:cs="黑体"/>
          <w:i w:val="0"/>
          <w:iCs w:val="0"/>
          <w:color w:val="000000"/>
          <w:kern w:val="0"/>
          <w:sz w:val="30"/>
          <w:szCs w:val="30"/>
          <w:u w:val="none"/>
          <w:lang w:val="en-US" w:eastAsia="zh-CN" w:bidi="ar"/>
        </w:rPr>
        <w:br w:type="page"/>
      </w:r>
    </w:p>
    <w:p w14:paraId="4B1E3770">
      <w:pPr>
        <w:rPr>
          <w:rFonts w:ascii="黑体" w:hAnsi="黑体" w:eastAsia="黑体" w:cs="黑体"/>
        </w:rPr>
      </w:pPr>
    </w:p>
    <w:p w14:paraId="79D43575">
      <w:pPr>
        <w:spacing w:line="560" w:lineRule="exact"/>
        <w:rPr>
          <w:rFonts w:hint="default" w:ascii="黑体" w:hAnsi="黑体" w:eastAsia="黑体" w:cs="黑体"/>
          <w:lang w:val="en-US" w:eastAsia="zh-CN"/>
        </w:rPr>
      </w:pPr>
      <w:r>
        <w:rPr>
          <w:rFonts w:hint="eastAsia" w:ascii="黑体" w:hAnsi="黑体" w:eastAsia="黑体" w:cs="黑体"/>
          <w:lang w:eastAsia="zh-CN"/>
        </w:rPr>
        <w:t>附表</w:t>
      </w:r>
      <w:r>
        <w:rPr>
          <w:rFonts w:hint="eastAsia" w:ascii="黑体" w:hAnsi="黑体" w:eastAsia="黑体" w:cs="黑体"/>
          <w:lang w:val="en-US" w:eastAsia="zh-CN"/>
        </w:rPr>
        <w:t>3</w:t>
      </w:r>
    </w:p>
    <w:tbl>
      <w:tblPr>
        <w:tblStyle w:val="1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703"/>
        <w:gridCol w:w="752"/>
        <w:gridCol w:w="1379"/>
        <w:gridCol w:w="2252"/>
        <w:gridCol w:w="938"/>
        <w:gridCol w:w="946"/>
        <w:gridCol w:w="943"/>
        <w:gridCol w:w="925"/>
        <w:gridCol w:w="415"/>
        <w:gridCol w:w="415"/>
        <w:gridCol w:w="3216"/>
      </w:tblGrid>
      <w:tr w14:paraId="1A49B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1974" w:type="pct"/>
            <w:gridSpan w:val="4"/>
            <w:tcBorders>
              <w:top w:val="nil"/>
              <w:left w:val="nil"/>
              <w:bottom w:val="nil"/>
              <w:right w:val="nil"/>
            </w:tcBorders>
            <w:shd w:val="clear" w:color="auto" w:fill="auto"/>
            <w:vAlign w:val="center"/>
          </w:tcPr>
          <w:p w14:paraId="2F60DF4E">
            <w:pPr>
              <w:keepNext w:val="0"/>
              <w:keepLines w:val="0"/>
              <w:widowControl/>
              <w:suppressLineNumbers w:val="0"/>
              <w:snapToGrid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364" w:type="pct"/>
            <w:tcBorders>
              <w:top w:val="nil"/>
              <w:left w:val="nil"/>
              <w:bottom w:val="nil"/>
              <w:right w:val="nil"/>
            </w:tcBorders>
            <w:shd w:val="clear" w:color="auto" w:fill="auto"/>
            <w:noWrap/>
            <w:vAlign w:val="center"/>
          </w:tcPr>
          <w:p w14:paraId="26E33BF0">
            <w:pPr>
              <w:snapToGrid w:val="0"/>
              <w:rPr>
                <w:rFonts w:hint="eastAsia" w:ascii="宋体" w:hAnsi="宋体" w:eastAsia="宋体" w:cs="宋体"/>
                <w:i w:val="0"/>
                <w:iCs w:val="0"/>
                <w:color w:val="000000"/>
                <w:sz w:val="22"/>
                <w:szCs w:val="22"/>
                <w:u w:val="none"/>
              </w:rPr>
            </w:pPr>
          </w:p>
        </w:tc>
        <w:tc>
          <w:tcPr>
            <w:tcW w:w="1090" w:type="pct"/>
            <w:gridSpan w:val="3"/>
            <w:tcBorders>
              <w:top w:val="nil"/>
              <w:left w:val="nil"/>
              <w:bottom w:val="nil"/>
              <w:right w:val="nil"/>
            </w:tcBorders>
            <w:shd w:val="clear" w:color="auto" w:fill="auto"/>
            <w:vAlign w:val="center"/>
          </w:tcPr>
          <w:p w14:paraId="34D90B64">
            <w:pPr>
              <w:snapToGrid w:val="0"/>
              <w:rPr>
                <w:rFonts w:hint="eastAsia" w:ascii="宋体" w:hAnsi="宋体" w:eastAsia="宋体" w:cs="宋体"/>
                <w:i w:val="0"/>
                <w:iCs w:val="0"/>
                <w:color w:val="000000"/>
                <w:sz w:val="20"/>
                <w:szCs w:val="20"/>
                <w:u w:val="none"/>
              </w:rPr>
            </w:pPr>
          </w:p>
        </w:tc>
        <w:tc>
          <w:tcPr>
            <w:tcW w:w="161" w:type="pct"/>
            <w:tcBorders>
              <w:top w:val="nil"/>
              <w:left w:val="nil"/>
              <w:bottom w:val="nil"/>
              <w:right w:val="nil"/>
            </w:tcBorders>
            <w:shd w:val="clear" w:color="auto" w:fill="auto"/>
            <w:noWrap/>
            <w:vAlign w:val="center"/>
          </w:tcPr>
          <w:p w14:paraId="1E33D9E1">
            <w:pPr>
              <w:snapToGrid w:val="0"/>
              <w:rPr>
                <w:rFonts w:hint="eastAsia" w:ascii="宋体" w:hAnsi="宋体" w:eastAsia="宋体" w:cs="宋体"/>
                <w:i w:val="0"/>
                <w:iCs w:val="0"/>
                <w:color w:val="000000"/>
                <w:sz w:val="22"/>
                <w:szCs w:val="22"/>
                <w:u w:val="none"/>
              </w:rPr>
            </w:pPr>
          </w:p>
        </w:tc>
        <w:tc>
          <w:tcPr>
            <w:tcW w:w="161" w:type="pct"/>
            <w:tcBorders>
              <w:top w:val="nil"/>
              <w:left w:val="nil"/>
              <w:bottom w:val="nil"/>
              <w:right w:val="nil"/>
            </w:tcBorders>
            <w:shd w:val="clear" w:color="auto" w:fill="auto"/>
            <w:noWrap/>
            <w:vAlign w:val="center"/>
          </w:tcPr>
          <w:p w14:paraId="52ED2196">
            <w:pPr>
              <w:snapToGrid w:val="0"/>
              <w:rPr>
                <w:rFonts w:hint="eastAsia" w:ascii="宋体" w:hAnsi="宋体" w:eastAsia="宋体" w:cs="宋体"/>
                <w:i w:val="0"/>
                <w:iCs w:val="0"/>
                <w:color w:val="000000"/>
                <w:sz w:val="22"/>
                <w:szCs w:val="22"/>
                <w:u w:val="none"/>
              </w:rPr>
            </w:pPr>
          </w:p>
        </w:tc>
        <w:tc>
          <w:tcPr>
            <w:tcW w:w="1247" w:type="pct"/>
            <w:tcBorders>
              <w:top w:val="nil"/>
              <w:left w:val="nil"/>
              <w:bottom w:val="nil"/>
              <w:right w:val="nil"/>
            </w:tcBorders>
            <w:shd w:val="clear" w:color="auto" w:fill="auto"/>
            <w:noWrap/>
            <w:vAlign w:val="center"/>
          </w:tcPr>
          <w:p w14:paraId="222FFAE1">
            <w:pPr>
              <w:snapToGrid w:val="0"/>
              <w:rPr>
                <w:rFonts w:hint="eastAsia" w:ascii="宋体" w:hAnsi="宋体" w:eastAsia="宋体" w:cs="宋体"/>
                <w:i w:val="0"/>
                <w:iCs w:val="0"/>
                <w:color w:val="000000"/>
                <w:sz w:val="22"/>
                <w:szCs w:val="22"/>
                <w:u w:val="none"/>
              </w:rPr>
            </w:pPr>
          </w:p>
        </w:tc>
      </w:tr>
      <w:tr w14:paraId="0918F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0B969E2">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141EE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033E8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43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B7261A4">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51322823T000009616643-2023年审计专项转移支付资金</w:t>
            </w:r>
          </w:p>
        </w:tc>
      </w:tr>
      <w:tr w14:paraId="44A56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C475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50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A9258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c>
          <w:tcPr>
            <w:tcW w:w="357" w:type="pct"/>
            <w:tcBorders>
              <w:top w:val="nil"/>
              <w:left w:val="nil"/>
              <w:bottom w:val="nil"/>
              <w:right w:val="nil"/>
            </w:tcBorders>
            <w:shd w:val="clear" w:color="auto" w:fill="auto"/>
            <w:vAlign w:val="center"/>
          </w:tcPr>
          <w:p w14:paraId="404CD54C">
            <w:pPr>
              <w:keepNext w:val="0"/>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5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8D51B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r>
      <w:tr w14:paraId="2C8CF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A475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0FE9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50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70B2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2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23D743">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84A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36AC7">
            <w:pPr>
              <w:snapToGrid w:val="0"/>
              <w:rPr>
                <w:rFonts w:hint="eastAsia" w:ascii="宋体" w:hAnsi="宋体" w:eastAsia="宋体" w:cs="宋体"/>
                <w:i w:val="0"/>
                <w:iCs w:val="0"/>
                <w:color w:val="000000"/>
                <w:sz w:val="18"/>
                <w:szCs w:val="18"/>
                <w:u w:val="none"/>
              </w:rPr>
            </w:pPr>
          </w:p>
        </w:tc>
        <w:tc>
          <w:tcPr>
            <w:tcW w:w="2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5B832">
            <w:pPr>
              <w:snapToGrid w:val="0"/>
              <w:rPr>
                <w:rFonts w:hint="eastAsia" w:ascii="宋体" w:hAnsi="宋体" w:eastAsia="宋体" w:cs="宋体"/>
                <w:i w:val="0"/>
                <w:iCs w:val="0"/>
                <w:color w:val="000000"/>
                <w:sz w:val="18"/>
                <w:szCs w:val="18"/>
                <w:u w:val="none"/>
              </w:rPr>
            </w:pPr>
          </w:p>
        </w:tc>
        <w:tc>
          <w:tcPr>
            <w:tcW w:w="250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F5ED8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用于2024年全年审计工作开展。审计下乡、审计整改等开展发生的差旅费、办公费等产生的费用。</w:t>
            </w:r>
          </w:p>
        </w:tc>
        <w:tc>
          <w:tcPr>
            <w:tcW w:w="192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4718A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用于审计业务日常工作开展的业务。</w:t>
            </w:r>
          </w:p>
        </w:tc>
      </w:tr>
      <w:tr w14:paraId="269EE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1BC1C">
            <w:pPr>
              <w:snapToGrid w:val="0"/>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E5BB7">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43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39FB58">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办人员收集整理相关资料票据，填写报销单，经报销人、出纳，会计签字后，在由财务分管领导/及主要领导签字后，金额大于2万元需经会议研究。出纳编制预算一体化用款计划，会计审核，由审计局归口股室和国库审核，在由出纳进行支付，会计审核，最终推送至银行。严格按照《会计法》《预算法》等相关规定实施，未出现截留、挪用和违规违纪的现象。</w:t>
            </w:r>
          </w:p>
        </w:tc>
      </w:tr>
      <w:tr w14:paraId="3B14F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403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6A5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5304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B1EA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45C2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339D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338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D278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3FF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D50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6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4F64A">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4CE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084C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FFC3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AA036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561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83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8EF8">
            <w:pPr>
              <w:snapToGrid w:val="0"/>
              <w:jc w:val="center"/>
              <w:rPr>
                <w:rFonts w:hint="eastAsia" w:ascii="宋体" w:hAnsi="宋体" w:eastAsia="宋体" w:cs="宋体"/>
                <w:i w:val="0"/>
                <w:iCs w:val="0"/>
                <w:color w:val="000000"/>
                <w:sz w:val="18"/>
                <w:szCs w:val="18"/>
                <w:u w:val="none"/>
              </w:rPr>
            </w:pPr>
          </w:p>
        </w:tc>
        <w:tc>
          <w:tcPr>
            <w:tcW w:w="12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6FCB1">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F61A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0FD46">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772F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B3C3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A765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CEEC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4E92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504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64B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E8D35">
            <w:pPr>
              <w:snapToGrid w:val="0"/>
              <w:rPr>
                <w:rFonts w:hint="eastAsia" w:ascii="黑体" w:hAnsi="黑体" w:eastAsia="黑体" w:cs="黑体"/>
                <w:i/>
                <w:iCs/>
                <w:color w:val="000000"/>
                <w:sz w:val="18"/>
                <w:szCs w:val="18"/>
                <w:u w:val="none"/>
              </w:rPr>
            </w:pPr>
          </w:p>
        </w:tc>
      </w:tr>
      <w:tr w14:paraId="0F64A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08E5D">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7D2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B6FD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ECEC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20F2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830D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542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6049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A42C3">
            <w:pPr>
              <w:snapToGrid w:val="0"/>
              <w:rPr>
                <w:rFonts w:hint="eastAsia" w:ascii="黑体" w:hAnsi="黑体" w:eastAsia="黑体" w:cs="黑体"/>
                <w:i/>
                <w:iCs/>
                <w:color w:val="000000"/>
                <w:sz w:val="18"/>
                <w:szCs w:val="18"/>
                <w:u w:val="none"/>
              </w:rPr>
            </w:pPr>
          </w:p>
        </w:tc>
      </w:tr>
      <w:tr w14:paraId="3A22E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10FA8">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2EC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5308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B13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A2A9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163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D62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3AA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DB849">
            <w:pPr>
              <w:snapToGrid w:val="0"/>
              <w:rPr>
                <w:rFonts w:hint="eastAsia" w:ascii="黑体" w:hAnsi="黑体" w:eastAsia="黑体" w:cs="黑体"/>
                <w:i/>
                <w:iCs/>
                <w:color w:val="000000"/>
                <w:sz w:val="18"/>
                <w:szCs w:val="18"/>
                <w:u w:val="none"/>
              </w:rPr>
            </w:pPr>
          </w:p>
        </w:tc>
      </w:tr>
      <w:tr w14:paraId="232DB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FE6DB">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BCE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B78A5">
            <w:pPr>
              <w:snapToGrid w:val="0"/>
              <w:jc w:val="center"/>
              <w:rPr>
                <w:rFonts w:hint="eastAsia" w:ascii="微软雅黑" w:hAnsi="微软雅黑" w:eastAsia="微软雅黑" w:cs="微软雅黑"/>
                <w:i/>
                <w:iCs/>
                <w:color w:val="000000"/>
                <w:sz w:val="16"/>
                <w:szCs w:val="16"/>
                <w:u w:val="none"/>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7D47">
            <w:pPr>
              <w:snapToGrid w:val="0"/>
              <w:jc w:val="center"/>
              <w:rPr>
                <w:rFonts w:hint="eastAsia" w:ascii="微软雅黑" w:hAnsi="微软雅黑" w:eastAsia="微软雅黑" w:cs="微软雅黑"/>
                <w:i/>
                <w:iCs/>
                <w:color w:val="000000"/>
                <w:sz w:val="16"/>
                <w:szCs w:val="16"/>
                <w:u w:val="none"/>
              </w:rPr>
            </w:pP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ECE108">
            <w:pPr>
              <w:snapToGrid w:val="0"/>
              <w:jc w:val="center"/>
              <w:rPr>
                <w:rFonts w:hint="eastAsia" w:ascii="微软雅黑" w:hAnsi="微软雅黑" w:eastAsia="微软雅黑" w:cs="微软雅黑"/>
                <w:i/>
                <w:iCs/>
                <w:color w:val="000000"/>
                <w:sz w:val="16"/>
                <w:szCs w:val="16"/>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0186B">
            <w:pPr>
              <w:snapToGrid w:val="0"/>
              <w:jc w:val="center"/>
              <w:rPr>
                <w:rFonts w:hint="eastAsia" w:ascii="微软雅黑" w:hAnsi="微软雅黑" w:eastAsia="微软雅黑" w:cs="微软雅黑"/>
                <w:i/>
                <w:iCs/>
                <w:color w:val="000000"/>
                <w:sz w:val="16"/>
                <w:szCs w:val="16"/>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FF9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7F4F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19DD4">
            <w:pPr>
              <w:snapToGrid w:val="0"/>
              <w:rPr>
                <w:rFonts w:hint="eastAsia" w:ascii="黑体" w:hAnsi="黑体" w:eastAsia="黑体" w:cs="黑体"/>
                <w:i/>
                <w:iCs/>
                <w:color w:val="000000"/>
                <w:sz w:val="18"/>
                <w:szCs w:val="18"/>
                <w:u w:val="none"/>
              </w:rPr>
            </w:pPr>
          </w:p>
        </w:tc>
      </w:tr>
      <w:tr w14:paraId="4DACB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1279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8A2A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A18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1B90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AD6A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6C6D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0F30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E0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854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E805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9009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599C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643BA">
            <w:pPr>
              <w:snapToGrid w:val="0"/>
              <w:jc w:val="center"/>
              <w:rPr>
                <w:rFonts w:hint="eastAsia" w:ascii="宋体" w:hAnsi="宋体" w:eastAsia="宋体" w:cs="宋体"/>
                <w:i w:val="0"/>
                <w:iCs w:val="0"/>
                <w:color w:val="000000"/>
                <w:sz w:val="18"/>
                <w:szCs w:val="18"/>
                <w:u w:val="none"/>
              </w:rPr>
            </w:pPr>
          </w:p>
        </w:tc>
        <w:tc>
          <w:tcPr>
            <w:tcW w:w="2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2383A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756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0C0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领导干部经济责任审计</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765F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CD8B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897C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B60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2CE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DED3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D0CDD">
            <w:pPr>
              <w:snapToGrid w:val="0"/>
              <w:jc w:val="center"/>
              <w:rPr>
                <w:rFonts w:hint="eastAsia" w:ascii="微软雅黑" w:hAnsi="微软雅黑" w:eastAsia="微软雅黑" w:cs="微软雅黑"/>
                <w:i/>
                <w:iCs/>
                <w:color w:val="000000"/>
                <w:sz w:val="16"/>
                <w:szCs w:val="16"/>
                <w:u w:val="none"/>
              </w:rPr>
            </w:pPr>
          </w:p>
        </w:tc>
      </w:tr>
      <w:tr w14:paraId="2BF5E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50238">
            <w:pPr>
              <w:snapToGrid w:val="0"/>
              <w:jc w:val="center"/>
              <w:rPr>
                <w:rFonts w:hint="eastAsia" w:ascii="宋体" w:hAnsi="宋体" w:eastAsia="宋体" w:cs="宋体"/>
                <w:i w:val="0"/>
                <w:iCs w:val="0"/>
                <w:color w:val="000000"/>
                <w:sz w:val="18"/>
                <w:szCs w:val="18"/>
                <w:u w:val="none"/>
              </w:rPr>
            </w:pPr>
          </w:p>
        </w:tc>
        <w:tc>
          <w:tcPr>
            <w:tcW w:w="2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70755">
            <w:pPr>
              <w:snapToGrid w:val="0"/>
              <w:jc w:val="center"/>
              <w:rPr>
                <w:rFonts w:hint="eastAsia" w:ascii="宋体" w:hAnsi="宋体" w:eastAsia="宋体" w:cs="宋体"/>
                <w:i w:val="0"/>
                <w:iCs w:val="0"/>
                <w:color w:val="000000"/>
                <w:sz w:val="18"/>
                <w:szCs w:val="18"/>
                <w:u w:val="none"/>
              </w:rPr>
            </w:pPr>
          </w:p>
        </w:tc>
        <w:tc>
          <w:tcPr>
            <w:tcW w:w="5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1537B">
            <w:pPr>
              <w:snapToGrid w:val="0"/>
              <w:jc w:val="center"/>
              <w:rPr>
                <w:rFonts w:hint="eastAsia" w:ascii="宋体" w:hAnsi="宋体" w:eastAsia="宋体" w:cs="宋体"/>
                <w:i w:val="0"/>
                <w:iCs w:val="0"/>
                <w:color w:val="000000"/>
                <w:sz w:val="18"/>
                <w:szCs w:val="18"/>
                <w:u w:val="none"/>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2EE7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提交审计建议</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DA4A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55C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632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AB78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BEF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F9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50824">
            <w:pPr>
              <w:snapToGrid w:val="0"/>
              <w:jc w:val="center"/>
              <w:rPr>
                <w:rFonts w:hint="eastAsia" w:ascii="微软雅黑" w:hAnsi="微软雅黑" w:eastAsia="微软雅黑" w:cs="微软雅黑"/>
                <w:i/>
                <w:iCs/>
                <w:color w:val="000000"/>
                <w:sz w:val="16"/>
                <w:szCs w:val="16"/>
                <w:u w:val="none"/>
              </w:rPr>
            </w:pPr>
          </w:p>
        </w:tc>
      </w:tr>
      <w:tr w14:paraId="7A51D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30D1A">
            <w:pPr>
              <w:snapToGrid w:val="0"/>
              <w:jc w:val="center"/>
              <w:rPr>
                <w:rFonts w:hint="eastAsia" w:ascii="宋体" w:hAnsi="宋体" w:eastAsia="宋体" w:cs="宋体"/>
                <w:i w:val="0"/>
                <w:iCs w:val="0"/>
                <w:color w:val="000000"/>
                <w:sz w:val="18"/>
                <w:szCs w:val="18"/>
                <w:u w:val="none"/>
              </w:rPr>
            </w:pPr>
          </w:p>
        </w:tc>
        <w:tc>
          <w:tcPr>
            <w:tcW w:w="2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E2C21">
            <w:pPr>
              <w:snapToGrid w:val="0"/>
              <w:jc w:val="center"/>
              <w:rPr>
                <w:rFonts w:hint="eastAsia" w:ascii="宋体" w:hAnsi="宋体" w:eastAsia="宋体" w:cs="宋体"/>
                <w:i w:val="0"/>
                <w:iCs w:val="0"/>
                <w:color w:val="000000"/>
                <w:sz w:val="18"/>
                <w:szCs w:val="18"/>
                <w:u w:val="none"/>
              </w:rPr>
            </w:pPr>
          </w:p>
        </w:tc>
        <w:tc>
          <w:tcPr>
            <w:tcW w:w="5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1563B">
            <w:pPr>
              <w:snapToGrid w:val="0"/>
              <w:jc w:val="center"/>
              <w:rPr>
                <w:rFonts w:hint="eastAsia" w:ascii="宋体" w:hAnsi="宋体" w:eastAsia="宋体" w:cs="宋体"/>
                <w:i w:val="0"/>
                <w:iCs w:val="0"/>
                <w:color w:val="000000"/>
                <w:sz w:val="18"/>
                <w:szCs w:val="18"/>
                <w:u w:val="none"/>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4F9E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报送审计信息简报</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801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D16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EAA3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B79B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CFF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6B54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D6042">
            <w:pPr>
              <w:snapToGrid w:val="0"/>
              <w:jc w:val="center"/>
              <w:rPr>
                <w:rFonts w:hint="eastAsia" w:ascii="微软雅黑" w:hAnsi="微软雅黑" w:eastAsia="微软雅黑" w:cs="微软雅黑"/>
                <w:i/>
                <w:iCs/>
                <w:color w:val="000000"/>
                <w:sz w:val="16"/>
                <w:szCs w:val="16"/>
                <w:u w:val="none"/>
              </w:rPr>
            </w:pPr>
          </w:p>
        </w:tc>
      </w:tr>
      <w:tr w14:paraId="39A2C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F80E9">
            <w:pPr>
              <w:snapToGrid w:val="0"/>
              <w:jc w:val="center"/>
              <w:rPr>
                <w:rFonts w:hint="eastAsia" w:ascii="宋体" w:hAnsi="宋体" w:eastAsia="宋体" w:cs="宋体"/>
                <w:i w:val="0"/>
                <w:iCs w:val="0"/>
                <w:color w:val="000000"/>
                <w:sz w:val="18"/>
                <w:szCs w:val="18"/>
                <w:u w:val="none"/>
              </w:rPr>
            </w:pPr>
          </w:p>
        </w:tc>
        <w:tc>
          <w:tcPr>
            <w:tcW w:w="2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711A1">
            <w:pPr>
              <w:snapToGrid w:val="0"/>
              <w:jc w:val="center"/>
              <w:rPr>
                <w:rFonts w:hint="eastAsia" w:ascii="宋体" w:hAnsi="宋体" w:eastAsia="宋体" w:cs="宋体"/>
                <w:i w:val="0"/>
                <w:iCs w:val="0"/>
                <w:color w:val="000000"/>
                <w:sz w:val="18"/>
                <w:szCs w:val="18"/>
                <w:u w:val="none"/>
              </w:rPr>
            </w:pPr>
          </w:p>
        </w:tc>
        <w:tc>
          <w:tcPr>
            <w:tcW w:w="5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0F7FC">
            <w:pPr>
              <w:snapToGrid w:val="0"/>
              <w:jc w:val="center"/>
              <w:rPr>
                <w:rFonts w:hint="eastAsia" w:ascii="宋体" w:hAnsi="宋体" w:eastAsia="宋体" w:cs="宋体"/>
                <w:i w:val="0"/>
                <w:iCs w:val="0"/>
                <w:color w:val="000000"/>
                <w:sz w:val="18"/>
                <w:szCs w:val="18"/>
                <w:u w:val="none"/>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DD9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数据分析</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FCCF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4EC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77D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099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1BD3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AF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062DD">
            <w:pPr>
              <w:snapToGrid w:val="0"/>
              <w:jc w:val="center"/>
              <w:rPr>
                <w:rFonts w:hint="eastAsia" w:ascii="微软雅黑" w:hAnsi="微软雅黑" w:eastAsia="微软雅黑" w:cs="微软雅黑"/>
                <w:i/>
                <w:iCs/>
                <w:color w:val="000000"/>
                <w:sz w:val="16"/>
                <w:szCs w:val="16"/>
                <w:u w:val="none"/>
              </w:rPr>
            </w:pPr>
          </w:p>
        </w:tc>
      </w:tr>
      <w:tr w14:paraId="70602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B1D5D">
            <w:pPr>
              <w:snapToGrid w:val="0"/>
              <w:jc w:val="center"/>
              <w:rPr>
                <w:rFonts w:hint="eastAsia" w:ascii="宋体" w:hAnsi="宋体" w:eastAsia="宋体" w:cs="宋体"/>
                <w:i w:val="0"/>
                <w:iCs w:val="0"/>
                <w:color w:val="000000"/>
                <w:sz w:val="18"/>
                <w:szCs w:val="18"/>
                <w:u w:val="none"/>
              </w:rPr>
            </w:pPr>
          </w:p>
        </w:tc>
        <w:tc>
          <w:tcPr>
            <w:tcW w:w="2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87E4A">
            <w:pPr>
              <w:snapToGrid w:val="0"/>
              <w:jc w:val="center"/>
              <w:rPr>
                <w:rFonts w:hint="eastAsia" w:ascii="宋体" w:hAnsi="宋体" w:eastAsia="宋体" w:cs="宋体"/>
                <w:i w:val="0"/>
                <w:iCs w:val="0"/>
                <w:color w:val="000000"/>
                <w:sz w:val="18"/>
                <w:szCs w:val="18"/>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21E3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1745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报送州级项目</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A589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AFC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D4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95E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7F57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A8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FCF28">
            <w:pPr>
              <w:snapToGrid w:val="0"/>
              <w:jc w:val="center"/>
              <w:rPr>
                <w:rFonts w:hint="eastAsia" w:ascii="微软雅黑" w:hAnsi="微软雅黑" w:eastAsia="微软雅黑" w:cs="微软雅黑"/>
                <w:i/>
                <w:iCs/>
                <w:color w:val="000000"/>
                <w:sz w:val="16"/>
                <w:szCs w:val="16"/>
                <w:u w:val="none"/>
              </w:rPr>
            </w:pPr>
          </w:p>
        </w:tc>
      </w:tr>
      <w:tr w14:paraId="0DA2F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0E07C">
            <w:pPr>
              <w:snapToGrid w:val="0"/>
              <w:jc w:val="center"/>
              <w:rPr>
                <w:rFonts w:hint="eastAsia" w:ascii="宋体" w:hAnsi="宋体" w:eastAsia="宋体" w:cs="宋体"/>
                <w:i w:val="0"/>
                <w:iCs w:val="0"/>
                <w:color w:val="000000"/>
                <w:sz w:val="18"/>
                <w:szCs w:val="18"/>
                <w:u w:val="none"/>
              </w:rPr>
            </w:pPr>
          </w:p>
        </w:tc>
        <w:tc>
          <w:tcPr>
            <w:tcW w:w="2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AC3E3">
            <w:pPr>
              <w:snapToGrid w:val="0"/>
              <w:jc w:val="center"/>
              <w:rPr>
                <w:rFonts w:hint="eastAsia" w:ascii="宋体" w:hAnsi="宋体" w:eastAsia="宋体" w:cs="宋体"/>
                <w:i w:val="0"/>
                <w:iCs w:val="0"/>
                <w:color w:val="000000"/>
                <w:sz w:val="18"/>
                <w:szCs w:val="18"/>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DDAB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F4E5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审计项目完成时间</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B0C4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CB0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F3E8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258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DD8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507E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82613">
            <w:pPr>
              <w:snapToGrid w:val="0"/>
              <w:jc w:val="center"/>
              <w:rPr>
                <w:rFonts w:hint="eastAsia" w:ascii="微软雅黑" w:hAnsi="微软雅黑" w:eastAsia="微软雅黑" w:cs="微软雅黑"/>
                <w:i/>
                <w:iCs/>
                <w:color w:val="000000"/>
                <w:sz w:val="16"/>
                <w:szCs w:val="16"/>
                <w:u w:val="none"/>
              </w:rPr>
            </w:pPr>
          </w:p>
        </w:tc>
      </w:tr>
      <w:tr w14:paraId="203CB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ED31A">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31F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90C3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4AD1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基层审计队伍水平能力提升</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6B38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E137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4496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0C82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2773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111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EF3BE">
            <w:pPr>
              <w:snapToGrid w:val="0"/>
              <w:jc w:val="center"/>
              <w:rPr>
                <w:rFonts w:hint="eastAsia" w:ascii="微软雅黑" w:hAnsi="微软雅黑" w:eastAsia="微软雅黑" w:cs="微软雅黑"/>
                <w:i/>
                <w:iCs/>
                <w:color w:val="000000"/>
                <w:sz w:val="16"/>
                <w:szCs w:val="16"/>
                <w:u w:val="none"/>
              </w:rPr>
            </w:pPr>
          </w:p>
        </w:tc>
      </w:tr>
      <w:tr w14:paraId="1543B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4CFD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B4E7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39D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6CCDF">
            <w:pPr>
              <w:snapToGrid w:val="0"/>
              <w:rPr>
                <w:rFonts w:hint="eastAsia" w:ascii="宋体" w:hAnsi="宋体" w:eastAsia="宋体" w:cs="宋体"/>
                <w:i w:val="0"/>
                <w:iCs w:val="0"/>
                <w:color w:val="000000"/>
                <w:sz w:val="18"/>
                <w:szCs w:val="18"/>
                <w:u w:val="none"/>
              </w:rPr>
            </w:pPr>
          </w:p>
        </w:tc>
      </w:tr>
      <w:tr w14:paraId="753A4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FC0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2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33C85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按照国家的法律法规加强管理，对每笔支出严格把关，没有无预算或超预算支出，也没有虚列支出或套取资金、转嫁等问题；没有超标准超范围发放；并未出现违规违纪情况；</w:t>
            </w:r>
          </w:p>
        </w:tc>
      </w:tr>
      <w:tr w14:paraId="07094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B47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2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A9A33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AA15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A5BC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2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15431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094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3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32588D">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项目负责人：许勇</w:t>
            </w:r>
          </w:p>
        </w:tc>
        <w:tc>
          <w:tcPr>
            <w:tcW w:w="266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2906AF">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财务负责人：吕恒聪</w:t>
            </w:r>
          </w:p>
        </w:tc>
      </w:tr>
      <w:tr w14:paraId="6EA6E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tcBorders>
              <w:top w:val="nil"/>
              <w:left w:val="nil"/>
              <w:bottom w:val="nil"/>
              <w:right w:val="nil"/>
            </w:tcBorders>
            <w:shd w:val="clear" w:color="auto" w:fill="auto"/>
            <w:vAlign w:val="center"/>
          </w:tcPr>
          <w:p w14:paraId="6090460B">
            <w:pPr>
              <w:snapToGrid w:val="0"/>
              <w:rPr>
                <w:rFonts w:hint="eastAsia" w:ascii="宋体" w:hAnsi="宋体" w:eastAsia="宋体" w:cs="宋体"/>
                <w:i w:val="0"/>
                <w:iCs w:val="0"/>
                <w:color w:val="000000"/>
                <w:sz w:val="18"/>
                <w:szCs w:val="18"/>
                <w:u w:val="none"/>
              </w:rPr>
            </w:pPr>
          </w:p>
        </w:tc>
        <w:tc>
          <w:tcPr>
            <w:tcW w:w="291" w:type="pct"/>
            <w:tcBorders>
              <w:top w:val="nil"/>
              <w:left w:val="nil"/>
              <w:bottom w:val="nil"/>
              <w:right w:val="nil"/>
            </w:tcBorders>
            <w:shd w:val="clear" w:color="auto" w:fill="auto"/>
            <w:vAlign w:val="center"/>
          </w:tcPr>
          <w:p w14:paraId="42C41564">
            <w:pPr>
              <w:snapToGrid w:val="0"/>
              <w:rPr>
                <w:rFonts w:hint="eastAsia" w:ascii="宋体" w:hAnsi="宋体" w:eastAsia="宋体" w:cs="宋体"/>
                <w:i w:val="0"/>
                <w:iCs w:val="0"/>
                <w:color w:val="000000"/>
                <w:sz w:val="18"/>
                <w:szCs w:val="18"/>
                <w:u w:val="none"/>
              </w:rPr>
            </w:pPr>
          </w:p>
        </w:tc>
        <w:tc>
          <w:tcPr>
            <w:tcW w:w="535" w:type="pct"/>
            <w:tcBorders>
              <w:top w:val="nil"/>
              <w:left w:val="nil"/>
              <w:bottom w:val="nil"/>
              <w:right w:val="nil"/>
            </w:tcBorders>
            <w:shd w:val="clear" w:color="auto" w:fill="auto"/>
            <w:vAlign w:val="center"/>
          </w:tcPr>
          <w:p w14:paraId="0022C42B">
            <w:pPr>
              <w:snapToGrid w:val="0"/>
              <w:rPr>
                <w:rFonts w:hint="eastAsia" w:ascii="宋体" w:hAnsi="宋体" w:eastAsia="宋体" w:cs="宋体"/>
                <w:i w:val="0"/>
                <w:iCs w:val="0"/>
                <w:color w:val="000000"/>
                <w:sz w:val="18"/>
                <w:szCs w:val="18"/>
                <w:u w:val="none"/>
              </w:rPr>
            </w:pPr>
          </w:p>
        </w:tc>
        <w:tc>
          <w:tcPr>
            <w:tcW w:w="873" w:type="pct"/>
            <w:tcBorders>
              <w:top w:val="nil"/>
              <w:left w:val="nil"/>
              <w:bottom w:val="nil"/>
              <w:right w:val="nil"/>
            </w:tcBorders>
            <w:shd w:val="clear" w:color="auto" w:fill="auto"/>
            <w:vAlign w:val="center"/>
          </w:tcPr>
          <w:p w14:paraId="0431A19F">
            <w:pPr>
              <w:snapToGrid w:val="0"/>
              <w:rPr>
                <w:rFonts w:hint="eastAsia" w:ascii="宋体" w:hAnsi="宋体" w:eastAsia="宋体" w:cs="宋体"/>
                <w:i w:val="0"/>
                <w:iCs w:val="0"/>
                <w:color w:val="000000"/>
                <w:sz w:val="18"/>
                <w:szCs w:val="18"/>
                <w:u w:val="none"/>
              </w:rPr>
            </w:pPr>
          </w:p>
        </w:tc>
        <w:tc>
          <w:tcPr>
            <w:tcW w:w="364" w:type="pct"/>
            <w:tcBorders>
              <w:top w:val="nil"/>
              <w:left w:val="nil"/>
              <w:bottom w:val="nil"/>
              <w:right w:val="nil"/>
            </w:tcBorders>
            <w:shd w:val="clear" w:color="auto" w:fill="auto"/>
            <w:vAlign w:val="center"/>
          </w:tcPr>
          <w:p w14:paraId="039568F2">
            <w:pPr>
              <w:snapToGrid w:val="0"/>
              <w:rPr>
                <w:rFonts w:hint="eastAsia" w:ascii="宋体" w:hAnsi="宋体" w:eastAsia="宋体" w:cs="宋体"/>
                <w:i w:val="0"/>
                <w:iCs w:val="0"/>
                <w:color w:val="000000"/>
                <w:sz w:val="18"/>
                <w:szCs w:val="18"/>
                <w:u w:val="none"/>
              </w:rPr>
            </w:pPr>
          </w:p>
        </w:tc>
        <w:tc>
          <w:tcPr>
            <w:tcW w:w="367" w:type="pct"/>
            <w:tcBorders>
              <w:top w:val="nil"/>
              <w:left w:val="nil"/>
              <w:bottom w:val="nil"/>
              <w:right w:val="nil"/>
            </w:tcBorders>
            <w:shd w:val="clear" w:color="auto" w:fill="auto"/>
            <w:vAlign w:val="center"/>
          </w:tcPr>
          <w:p w14:paraId="732090BB">
            <w:pPr>
              <w:snapToGrid w:val="0"/>
              <w:rPr>
                <w:rFonts w:hint="eastAsia" w:ascii="宋体" w:hAnsi="宋体" w:eastAsia="宋体" w:cs="宋体"/>
                <w:i w:val="0"/>
                <w:iCs w:val="0"/>
                <w:color w:val="000000"/>
                <w:sz w:val="18"/>
                <w:szCs w:val="18"/>
                <w:u w:val="none"/>
              </w:rPr>
            </w:pPr>
          </w:p>
        </w:tc>
        <w:tc>
          <w:tcPr>
            <w:tcW w:w="365" w:type="pct"/>
            <w:tcBorders>
              <w:top w:val="nil"/>
              <w:left w:val="nil"/>
              <w:bottom w:val="nil"/>
              <w:right w:val="nil"/>
            </w:tcBorders>
            <w:shd w:val="clear" w:color="auto" w:fill="auto"/>
            <w:vAlign w:val="center"/>
          </w:tcPr>
          <w:p w14:paraId="36B7F49E">
            <w:pPr>
              <w:snapToGrid w:val="0"/>
              <w:jc w:val="center"/>
              <w:rPr>
                <w:rFonts w:hint="eastAsia" w:ascii="宋体" w:hAnsi="宋体" w:eastAsia="宋体" w:cs="宋体"/>
                <w:i w:val="0"/>
                <w:iCs w:val="0"/>
                <w:color w:val="000000"/>
                <w:sz w:val="18"/>
                <w:szCs w:val="18"/>
                <w:u w:val="none"/>
              </w:rPr>
            </w:pPr>
          </w:p>
        </w:tc>
        <w:tc>
          <w:tcPr>
            <w:tcW w:w="357" w:type="pct"/>
            <w:tcBorders>
              <w:top w:val="nil"/>
              <w:left w:val="nil"/>
              <w:bottom w:val="nil"/>
              <w:right w:val="nil"/>
            </w:tcBorders>
            <w:shd w:val="clear" w:color="auto" w:fill="auto"/>
            <w:vAlign w:val="center"/>
          </w:tcPr>
          <w:p w14:paraId="3381BDAA">
            <w:pPr>
              <w:snapToGrid w:val="0"/>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8736D55">
            <w:pPr>
              <w:snapToGrid w:val="0"/>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1C4DD42">
            <w:pPr>
              <w:snapToGrid w:val="0"/>
              <w:rPr>
                <w:rFonts w:hint="eastAsia" w:ascii="宋体" w:hAnsi="宋体" w:eastAsia="宋体" w:cs="宋体"/>
                <w:i w:val="0"/>
                <w:iCs w:val="0"/>
                <w:color w:val="000000"/>
                <w:sz w:val="18"/>
                <w:szCs w:val="18"/>
                <w:u w:val="none"/>
              </w:rPr>
            </w:pPr>
          </w:p>
        </w:tc>
        <w:tc>
          <w:tcPr>
            <w:tcW w:w="1247" w:type="pct"/>
            <w:tcBorders>
              <w:top w:val="nil"/>
              <w:left w:val="nil"/>
              <w:bottom w:val="nil"/>
              <w:right w:val="nil"/>
            </w:tcBorders>
            <w:shd w:val="clear" w:color="auto" w:fill="auto"/>
            <w:vAlign w:val="center"/>
          </w:tcPr>
          <w:p w14:paraId="415E1581">
            <w:pPr>
              <w:snapToGrid w:val="0"/>
              <w:rPr>
                <w:rFonts w:hint="eastAsia" w:ascii="宋体" w:hAnsi="宋体" w:eastAsia="宋体" w:cs="宋体"/>
                <w:i w:val="0"/>
                <w:iCs w:val="0"/>
                <w:color w:val="000000"/>
                <w:sz w:val="18"/>
                <w:szCs w:val="18"/>
                <w:u w:val="none"/>
              </w:rPr>
            </w:pPr>
          </w:p>
        </w:tc>
      </w:tr>
      <w:tr w14:paraId="7F826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B391B24">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14:paraId="6B61B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430CD">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43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6F64F2">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51322825T000012543136-设备购置</w:t>
            </w:r>
          </w:p>
        </w:tc>
      </w:tr>
      <w:tr w14:paraId="7EFCD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4628C1">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50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9D7C56">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c>
          <w:tcPr>
            <w:tcW w:w="357" w:type="pct"/>
            <w:tcBorders>
              <w:top w:val="nil"/>
              <w:left w:val="nil"/>
              <w:bottom w:val="nil"/>
              <w:right w:val="nil"/>
            </w:tcBorders>
            <w:shd w:val="clear" w:color="auto" w:fill="auto"/>
            <w:vAlign w:val="center"/>
          </w:tcPr>
          <w:p w14:paraId="57185145">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5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B3367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r>
      <w:tr w14:paraId="308CA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11CB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EAB92A">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50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79F64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92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B7B084">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EA6B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42418">
            <w:pPr>
              <w:snapToGrid w:val="0"/>
              <w:rPr>
                <w:rFonts w:hint="eastAsia" w:ascii="宋体" w:hAnsi="宋体" w:eastAsia="宋体" w:cs="宋体"/>
                <w:i w:val="0"/>
                <w:iCs w:val="0"/>
                <w:color w:val="000000"/>
                <w:sz w:val="18"/>
                <w:szCs w:val="18"/>
                <w:u w:val="none"/>
              </w:rPr>
            </w:pPr>
          </w:p>
        </w:tc>
        <w:tc>
          <w:tcPr>
            <w:tcW w:w="2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86797">
            <w:pPr>
              <w:snapToGrid w:val="0"/>
              <w:rPr>
                <w:rFonts w:hint="eastAsia" w:ascii="宋体" w:hAnsi="宋体" w:eastAsia="宋体" w:cs="宋体"/>
                <w:i w:val="0"/>
                <w:iCs w:val="0"/>
                <w:color w:val="000000"/>
                <w:sz w:val="18"/>
                <w:szCs w:val="18"/>
                <w:u w:val="none"/>
              </w:rPr>
            </w:pPr>
          </w:p>
        </w:tc>
        <w:tc>
          <w:tcPr>
            <w:tcW w:w="250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7391DF">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坚持以习近平新时代中国特色社会主义思想为指导，全面贯彻党的二十大及省委十二届二次全会和省委审计委员会历次会议精神，认真贯彻落实“十四五"规划和中央和省州县关于审计工作的决策部署，按照“揭示问题、规范管理、防范风险、促进改革”的工作思路，聚焦财政财务收支、政策落实、民生资金、经济责任、重大项目、资源统筹等审计项目工作要求，对于审计发现问题与实际相结合分析原因并提出有针对性的改进建议，促进加强管理，严肃审计工作要求，完善体制机制制度，更好发挥审计在党和国家监督体系中的重要作用。</w:t>
            </w:r>
          </w:p>
        </w:tc>
        <w:tc>
          <w:tcPr>
            <w:tcW w:w="192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DA8CE4">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用于审计业务日常工作开展的业务。</w:t>
            </w:r>
          </w:p>
        </w:tc>
      </w:tr>
      <w:tr w14:paraId="6D8DE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561C5">
            <w:pPr>
              <w:snapToGrid w:val="0"/>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26F45">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43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34EE69">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办人员收集整理相关资料票据，填写报销单，经报销人、出纳，会计签字后，在由财务分管领导/及主要领导签字后，金额大于2万元需经会议研究。出纳编制预算一体化用款计划，会计审核，由审计局归口股室和国库审核，在由出纳进行支付，会计审核，最终推送至银行。严格按照《会计法》《预算法》等相关规定实施，未出现截留、挪用和违规违纪的现象。</w:t>
            </w:r>
          </w:p>
        </w:tc>
      </w:tr>
      <w:tr w14:paraId="5FD3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27D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12F6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ECBA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C5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CBFF7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FA9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1354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9C7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5EFA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B3B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B5583">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5EEA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421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ADE8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A499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A99B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DA40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B7992">
            <w:pPr>
              <w:snapToGrid w:val="0"/>
              <w:jc w:val="center"/>
              <w:rPr>
                <w:rFonts w:hint="eastAsia" w:ascii="宋体" w:hAnsi="宋体" w:eastAsia="宋体" w:cs="宋体"/>
                <w:i w:val="0"/>
                <w:iCs w:val="0"/>
                <w:color w:val="000000"/>
                <w:sz w:val="18"/>
                <w:szCs w:val="18"/>
                <w:u w:val="none"/>
              </w:rPr>
            </w:pPr>
          </w:p>
        </w:tc>
        <w:tc>
          <w:tcPr>
            <w:tcW w:w="12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3F7DE">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C515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967A2">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ABBD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B6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74F6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F863B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5.95</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0772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99D1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6B66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0CFA3">
            <w:pPr>
              <w:snapToGrid w:val="0"/>
              <w:rPr>
                <w:rFonts w:hint="eastAsia" w:ascii="黑体" w:hAnsi="黑体" w:eastAsia="黑体" w:cs="黑体"/>
                <w:i/>
                <w:iCs/>
                <w:color w:val="000000"/>
                <w:sz w:val="18"/>
                <w:szCs w:val="18"/>
                <w:u w:val="none"/>
              </w:rPr>
            </w:pPr>
          </w:p>
        </w:tc>
      </w:tr>
      <w:tr w14:paraId="2F707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24FD0">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124E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78F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BB5F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00AB5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B790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6E8D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3FD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2B957">
            <w:pPr>
              <w:snapToGrid w:val="0"/>
              <w:rPr>
                <w:rFonts w:hint="eastAsia" w:ascii="黑体" w:hAnsi="黑体" w:eastAsia="黑体" w:cs="黑体"/>
                <w:i/>
                <w:iCs/>
                <w:color w:val="000000"/>
                <w:sz w:val="18"/>
                <w:szCs w:val="18"/>
                <w:u w:val="none"/>
              </w:rPr>
            </w:pPr>
          </w:p>
        </w:tc>
      </w:tr>
      <w:tr w14:paraId="7A1F0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9D71F">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C0EC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E32F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97C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335EB">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4B45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F7F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FB5E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23E10">
            <w:pPr>
              <w:snapToGrid w:val="0"/>
              <w:rPr>
                <w:rFonts w:hint="eastAsia" w:ascii="黑体" w:hAnsi="黑体" w:eastAsia="黑体" w:cs="黑体"/>
                <w:i/>
                <w:iCs/>
                <w:color w:val="000000"/>
                <w:sz w:val="18"/>
                <w:szCs w:val="18"/>
                <w:u w:val="none"/>
              </w:rPr>
            </w:pPr>
          </w:p>
        </w:tc>
      </w:tr>
      <w:tr w14:paraId="3C7D2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4B0CE">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BB49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7AB0">
            <w:pPr>
              <w:snapToGrid w:val="0"/>
              <w:jc w:val="center"/>
              <w:rPr>
                <w:rFonts w:hint="eastAsia" w:ascii="微软雅黑" w:hAnsi="微软雅黑" w:eastAsia="微软雅黑" w:cs="微软雅黑"/>
                <w:i/>
                <w:iCs/>
                <w:color w:val="000000"/>
                <w:sz w:val="16"/>
                <w:szCs w:val="16"/>
                <w:u w:val="none"/>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02689">
            <w:pPr>
              <w:snapToGrid w:val="0"/>
              <w:jc w:val="center"/>
              <w:rPr>
                <w:rFonts w:hint="eastAsia" w:ascii="微软雅黑" w:hAnsi="微软雅黑" w:eastAsia="微软雅黑" w:cs="微软雅黑"/>
                <w:i/>
                <w:iCs/>
                <w:color w:val="000000"/>
                <w:sz w:val="16"/>
                <w:szCs w:val="16"/>
                <w:u w:val="none"/>
              </w:rPr>
            </w:pPr>
          </w:p>
        </w:tc>
        <w:tc>
          <w:tcPr>
            <w:tcW w:w="109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0D0A58">
            <w:pPr>
              <w:snapToGrid w:val="0"/>
              <w:jc w:val="center"/>
              <w:rPr>
                <w:rFonts w:hint="eastAsia" w:ascii="微软雅黑" w:hAnsi="微软雅黑" w:eastAsia="微软雅黑" w:cs="微软雅黑"/>
                <w:i/>
                <w:iCs/>
                <w:color w:val="000000"/>
                <w:sz w:val="16"/>
                <w:szCs w:val="16"/>
                <w:u w:val="none"/>
              </w:rPr>
            </w:pP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FFD4A">
            <w:pPr>
              <w:snapToGrid w:val="0"/>
              <w:jc w:val="center"/>
              <w:rPr>
                <w:rFonts w:hint="eastAsia" w:ascii="微软雅黑" w:hAnsi="微软雅黑" w:eastAsia="微软雅黑" w:cs="微软雅黑"/>
                <w:i/>
                <w:iCs/>
                <w:color w:val="000000"/>
                <w:sz w:val="16"/>
                <w:szCs w:val="16"/>
                <w:u w:val="none"/>
              </w:rPr>
            </w:pP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9D30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320D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2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2A398">
            <w:pPr>
              <w:snapToGrid w:val="0"/>
              <w:rPr>
                <w:rFonts w:hint="eastAsia" w:ascii="黑体" w:hAnsi="黑体" w:eastAsia="黑体" w:cs="黑体"/>
                <w:i/>
                <w:iCs/>
                <w:color w:val="000000"/>
                <w:sz w:val="18"/>
                <w:szCs w:val="18"/>
                <w:u w:val="none"/>
              </w:rPr>
            </w:pPr>
          </w:p>
        </w:tc>
      </w:tr>
      <w:tr w14:paraId="7F8CA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ACD3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6B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9AED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D0E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139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FC01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88C1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975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3EA5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CEE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96BE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352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FC789">
            <w:pPr>
              <w:snapToGrid w:val="0"/>
              <w:jc w:val="center"/>
              <w:rPr>
                <w:rFonts w:hint="eastAsia" w:ascii="宋体" w:hAnsi="宋体" w:eastAsia="宋体" w:cs="宋体"/>
                <w:i w:val="0"/>
                <w:iCs w:val="0"/>
                <w:color w:val="000000"/>
                <w:sz w:val="18"/>
                <w:szCs w:val="18"/>
                <w:u w:val="none"/>
              </w:rPr>
            </w:pPr>
          </w:p>
        </w:tc>
        <w:tc>
          <w:tcPr>
            <w:tcW w:w="2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8B7E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A3DF2">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7E51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购买笔记本电脑</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1F5B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89913">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78CE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BE69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5D9D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E9A7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E9CD5">
            <w:pPr>
              <w:snapToGrid w:val="0"/>
              <w:jc w:val="center"/>
              <w:rPr>
                <w:rFonts w:hint="eastAsia" w:ascii="微软雅黑" w:hAnsi="微软雅黑" w:eastAsia="微软雅黑" w:cs="微软雅黑"/>
                <w:i/>
                <w:iCs/>
                <w:color w:val="000000"/>
                <w:sz w:val="16"/>
                <w:szCs w:val="16"/>
                <w:u w:val="none"/>
              </w:rPr>
            </w:pPr>
          </w:p>
        </w:tc>
      </w:tr>
      <w:tr w14:paraId="1CEF9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82226">
            <w:pPr>
              <w:snapToGrid w:val="0"/>
              <w:jc w:val="center"/>
              <w:rPr>
                <w:rFonts w:hint="eastAsia" w:ascii="宋体" w:hAnsi="宋体" w:eastAsia="宋体" w:cs="宋体"/>
                <w:i w:val="0"/>
                <w:iCs w:val="0"/>
                <w:color w:val="000000"/>
                <w:sz w:val="18"/>
                <w:szCs w:val="18"/>
                <w:u w:val="none"/>
              </w:rPr>
            </w:pPr>
          </w:p>
        </w:tc>
        <w:tc>
          <w:tcPr>
            <w:tcW w:w="2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AF8D7">
            <w:pPr>
              <w:snapToGrid w:val="0"/>
              <w:jc w:val="center"/>
              <w:rPr>
                <w:rFonts w:hint="eastAsia" w:ascii="宋体" w:hAnsi="宋体" w:eastAsia="宋体" w:cs="宋体"/>
                <w:i w:val="0"/>
                <w:iCs w:val="0"/>
                <w:color w:val="000000"/>
                <w:sz w:val="18"/>
                <w:szCs w:val="18"/>
                <w:u w:val="none"/>
              </w:rPr>
            </w:pPr>
          </w:p>
        </w:tc>
        <w:tc>
          <w:tcPr>
            <w:tcW w:w="5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0648A">
            <w:pPr>
              <w:snapToGrid w:val="0"/>
              <w:jc w:val="center"/>
              <w:rPr>
                <w:rFonts w:hint="eastAsia" w:ascii="宋体" w:hAnsi="宋体" w:eastAsia="宋体" w:cs="宋体"/>
                <w:i w:val="0"/>
                <w:iCs w:val="0"/>
                <w:color w:val="000000"/>
                <w:sz w:val="18"/>
                <w:szCs w:val="18"/>
                <w:u w:val="none"/>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23C2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购买台式电脑</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763D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0D30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50D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ED98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B7C0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F119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8F710">
            <w:pPr>
              <w:snapToGrid w:val="0"/>
              <w:jc w:val="center"/>
              <w:rPr>
                <w:rFonts w:hint="eastAsia" w:ascii="微软雅黑" w:hAnsi="微软雅黑" w:eastAsia="微软雅黑" w:cs="微软雅黑"/>
                <w:i/>
                <w:iCs/>
                <w:color w:val="000000"/>
                <w:sz w:val="16"/>
                <w:szCs w:val="16"/>
                <w:u w:val="none"/>
              </w:rPr>
            </w:pPr>
          </w:p>
        </w:tc>
      </w:tr>
      <w:tr w14:paraId="2949A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4231">
            <w:pPr>
              <w:snapToGrid w:val="0"/>
              <w:jc w:val="center"/>
              <w:rPr>
                <w:rFonts w:hint="eastAsia" w:ascii="宋体" w:hAnsi="宋体" w:eastAsia="宋体" w:cs="宋体"/>
                <w:i w:val="0"/>
                <w:iCs w:val="0"/>
                <w:color w:val="000000"/>
                <w:sz w:val="18"/>
                <w:szCs w:val="18"/>
                <w:u w:val="none"/>
              </w:rPr>
            </w:pPr>
          </w:p>
        </w:tc>
        <w:tc>
          <w:tcPr>
            <w:tcW w:w="2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8317C">
            <w:pPr>
              <w:snapToGrid w:val="0"/>
              <w:jc w:val="center"/>
              <w:rPr>
                <w:rFonts w:hint="eastAsia" w:ascii="宋体" w:hAnsi="宋体" w:eastAsia="宋体" w:cs="宋体"/>
                <w:i w:val="0"/>
                <w:iCs w:val="0"/>
                <w:color w:val="000000"/>
                <w:sz w:val="18"/>
                <w:szCs w:val="18"/>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C3BC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9736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硬件达标</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FC6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D7D6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C00F8">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0509D">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E3829">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94C6F">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42716">
            <w:pPr>
              <w:snapToGrid w:val="0"/>
              <w:jc w:val="center"/>
              <w:rPr>
                <w:rFonts w:hint="eastAsia" w:ascii="微软雅黑" w:hAnsi="微软雅黑" w:eastAsia="微软雅黑" w:cs="微软雅黑"/>
                <w:i/>
                <w:iCs/>
                <w:color w:val="000000"/>
                <w:sz w:val="16"/>
                <w:szCs w:val="16"/>
                <w:u w:val="none"/>
              </w:rPr>
            </w:pPr>
          </w:p>
        </w:tc>
      </w:tr>
      <w:tr w14:paraId="0ADB8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26B1A">
            <w:pPr>
              <w:snapToGrid w:val="0"/>
              <w:jc w:val="center"/>
              <w:rPr>
                <w:rFonts w:hint="eastAsia" w:ascii="宋体" w:hAnsi="宋体" w:eastAsia="宋体" w:cs="宋体"/>
                <w:i w:val="0"/>
                <w:iCs w:val="0"/>
                <w:color w:val="000000"/>
                <w:sz w:val="18"/>
                <w:szCs w:val="18"/>
                <w:u w:val="none"/>
              </w:rPr>
            </w:pPr>
          </w:p>
        </w:tc>
        <w:tc>
          <w:tcPr>
            <w:tcW w:w="2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8E296">
            <w:pPr>
              <w:snapToGrid w:val="0"/>
              <w:jc w:val="center"/>
              <w:rPr>
                <w:rFonts w:hint="eastAsia" w:ascii="宋体" w:hAnsi="宋体" w:eastAsia="宋体" w:cs="宋体"/>
                <w:i w:val="0"/>
                <w:iCs w:val="0"/>
                <w:color w:val="000000"/>
                <w:sz w:val="18"/>
                <w:szCs w:val="18"/>
                <w:u w:val="none"/>
              </w:rPr>
            </w:pP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7B7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8A4A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864A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6E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A3F5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09D7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F8D2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3A1E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FF069">
            <w:pPr>
              <w:snapToGrid w:val="0"/>
              <w:jc w:val="center"/>
              <w:rPr>
                <w:rFonts w:hint="eastAsia" w:ascii="微软雅黑" w:hAnsi="微软雅黑" w:eastAsia="微软雅黑" w:cs="微软雅黑"/>
                <w:i/>
                <w:iCs/>
                <w:color w:val="000000"/>
                <w:sz w:val="16"/>
                <w:szCs w:val="16"/>
                <w:u w:val="none"/>
              </w:rPr>
            </w:pPr>
          </w:p>
        </w:tc>
      </w:tr>
      <w:tr w14:paraId="65E15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60193">
            <w:pPr>
              <w:snapToGrid w:val="0"/>
              <w:jc w:val="center"/>
              <w:rPr>
                <w:rFonts w:hint="eastAsia" w:ascii="宋体" w:hAnsi="宋体" w:eastAsia="宋体" w:cs="宋体"/>
                <w:i w:val="0"/>
                <w:iCs w:val="0"/>
                <w:color w:val="000000"/>
                <w:sz w:val="18"/>
                <w:szCs w:val="18"/>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A7AE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F45E7">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B4E7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基层审计队伍水平能力提升</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9D2D0">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76B6">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3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2636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3A83C">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0E57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2804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8F1DC">
            <w:pPr>
              <w:snapToGrid w:val="0"/>
              <w:jc w:val="center"/>
              <w:rPr>
                <w:rFonts w:hint="eastAsia" w:ascii="微软雅黑" w:hAnsi="微软雅黑" w:eastAsia="微软雅黑" w:cs="微软雅黑"/>
                <w:i/>
                <w:iCs/>
                <w:color w:val="000000"/>
                <w:sz w:val="16"/>
                <w:szCs w:val="16"/>
                <w:u w:val="none"/>
              </w:rPr>
            </w:pPr>
          </w:p>
        </w:tc>
      </w:tr>
      <w:tr w14:paraId="7A20B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42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304B2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E6015">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CDC4A">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8BC0E">
            <w:pPr>
              <w:snapToGrid w:val="0"/>
              <w:rPr>
                <w:rFonts w:hint="eastAsia" w:ascii="宋体" w:hAnsi="宋体" w:eastAsia="宋体" w:cs="宋体"/>
                <w:i w:val="0"/>
                <w:iCs w:val="0"/>
                <w:color w:val="000000"/>
                <w:sz w:val="18"/>
                <w:szCs w:val="18"/>
                <w:u w:val="none"/>
              </w:rPr>
            </w:pPr>
          </w:p>
        </w:tc>
      </w:tr>
      <w:tr w14:paraId="24138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B5661">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2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EAB3B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按照国家的法律法规加强管理，对每笔支出严格把关，没有无预算或超预算支出，也没有虚列支出或套取资金、转嫁等问题；没有超标准超范围发放；并未出现违规违纪情况；</w:t>
            </w:r>
          </w:p>
        </w:tc>
      </w:tr>
      <w:tr w14:paraId="6B85E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2CACE">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2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8C1960">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9BD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9CEF4">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2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9348DE">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D33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3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4FFFDC">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项目负责人：许勇</w:t>
            </w:r>
          </w:p>
        </w:tc>
        <w:tc>
          <w:tcPr>
            <w:tcW w:w="266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7C3DB2">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财务负责人：吕恒聪</w:t>
            </w:r>
          </w:p>
        </w:tc>
      </w:tr>
    </w:tbl>
    <w:p w14:paraId="720FA4B2">
      <w:pPr>
        <w:rPr>
          <w:rFonts w:ascii="Times New Roman" w:eastAsia="黑体"/>
          <w:sz w:val="24"/>
          <w:szCs w:val="24"/>
        </w:rPr>
        <w:sectPr>
          <w:pgSz w:w="16838" w:h="11906" w:orient="landscape"/>
          <w:pgMar w:top="1474" w:right="1984" w:bottom="1587" w:left="2098" w:header="851" w:footer="992" w:gutter="0"/>
          <w:pgNumType w:fmt="numberInDash"/>
          <w:cols w:space="425" w:num="1"/>
          <w:docGrid w:type="lines" w:linePitch="435" w:charSpace="0"/>
        </w:sectPr>
      </w:pPr>
    </w:p>
    <w:p w14:paraId="5F53701A">
      <w:pPr>
        <w:pStyle w:val="12"/>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eastAsia="黑体"/>
          <w:sz w:val="24"/>
          <w:szCs w:val="24"/>
          <w:lang w:val="en-US" w:eastAsia="zh-CN"/>
        </w:rPr>
      </w:pPr>
    </w:p>
    <w:sectPr>
      <w:footerReference r:id="rId5" w:type="default"/>
      <w:pgSz w:w="16838" w:h="11906" w:orient="landscape"/>
      <w:pgMar w:top="1474" w:right="1984" w:bottom="1587" w:left="2098"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altName w:val="Wingdings"/>
    <w:panose1 w:val="00000000000000000000"/>
    <w:charset w:val="00"/>
    <w:family w:val="auto"/>
    <w:pitch w:val="default"/>
    <w:sig w:usb0="00000000" w:usb1="00000000" w:usb2="00000000" w:usb3="00000000" w:csb0="8000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C720B">
    <w:pPr>
      <w:pStyle w:val="7"/>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v:imagedata o:title=""/>
          <o:lock v:ext="edit" aspectratio="f"/>
          <v:textbox inset="0mm,0mm,0mm,0mm" style="mso-fit-shape-to-text:t;">
            <w:txbxContent>
              <w:p w14:paraId="7663B0EB">
                <w:pPr>
                  <w:pStyle w:val="7"/>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23 -</w:t>
                </w:r>
                <w:r>
                  <w:rPr>
                    <w:rFonts w:ascii="宋体" w:hAnsi="宋体"/>
                    <w:sz w:val="28"/>
                    <w:szCs w:val="28"/>
                  </w:rPr>
                  <w:fldChar w:fldCharType="end"/>
                </w:r>
              </w:p>
              <w:p w14:paraId="1B65F160"/>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DAA94">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BB2CF">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29D267"/>
    <w:multiLevelType w:val="singleLevel"/>
    <w:tmpl w:val="7229D267"/>
    <w:lvl w:ilvl="0" w:tentative="0">
      <w:start w:val="1"/>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g2NzBmZGI1ODZhMDU1NjZjZmUyMmE1ODg1YTYzNjAifQ=="/>
  </w:docVars>
  <w:rsids>
    <w:rsidRoot w:val="00EC0174"/>
    <w:rsid w:val="00001DA4"/>
    <w:rsid w:val="0000676E"/>
    <w:rsid w:val="00006E4D"/>
    <w:rsid w:val="00010ED2"/>
    <w:rsid w:val="00013195"/>
    <w:rsid w:val="000161F3"/>
    <w:rsid w:val="00021652"/>
    <w:rsid w:val="00030311"/>
    <w:rsid w:val="00030782"/>
    <w:rsid w:val="00030B66"/>
    <w:rsid w:val="00044BC4"/>
    <w:rsid w:val="00045078"/>
    <w:rsid w:val="0006102A"/>
    <w:rsid w:val="00065B0F"/>
    <w:rsid w:val="00065E7E"/>
    <w:rsid w:val="00073F26"/>
    <w:rsid w:val="00076585"/>
    <w:rsid w:val="000820BB"/>
    <w:rsid w:val="0008241B"/>
    <w:rsid w:val="00086072"/>
    <w:rsid w:val="000866D2"/>
    <w:rsid w:val="00092280"/>
    <w:rsid w:val="00095AE3"/>
    <w:rsid w:val="00096F3E"/>
    <w:rsid w:val="00097FAE"/>
    <w:rsid w:val="000A177C"/>
    <w:rsid w:val="000A3233"/>
    <w:rsid w:val="000A7CE3"/>
    <w:rsid w:val="000B04D6"/>
    <w:rsid w:val="000B15CE"/>
    <w:rsid w:val="000C40C6"/>
    <w:rsid w:val="000C79C1"/>
    <w:rsid w:val="000D208A"/>
    <w:rsid w:val="000D6258"/>
    <w:rsid w:val="000E037E"/>
    <w:rsid w:val="000F3DED"/>
    <w:rsid w:val="000F659A"/>
    <w:rsid w:val="000F77B0"/>
    <w:rsid w:val="0010235D"/>
    <w:rsid w:val="00103A47"/>
    <w:rsid w:val="00106D4D"/>
    <w:rsid w:val="001119A2"/>
    <w:rsid w:val="00113AB4"/>
    <w:rsid w:val="0011519E"/>
    <w:rsid w:val="001221D6"/>
    <w:rsid w:val="00124578"/>
    <w:rsid w:val="00124ADE"/>
    <w:rsid w:val="0012510A"/>
    <w:rsid w:val="00125F67"/>
    <w:rsid w:val="001261AE"/>
    <w:rsid w:val="00127EBB"/>
    <w:rsid w:val="001348A4"/>
    <w:rsid w:val="00137A71"/>
    <w:rsid w:val="0014117C"/>
    <w:rsid w:val="001442E3"/>
    <w:rsid w:val="00146FE8"/>
    <w:rsid w:val="0014767B"/>
    <w:rsid w:val="00147AED"/>
    <w:rsid w:val="0015556D"/>
    <w:rsid w:val="00156831"/>
    <w:rsid w:val="00157F14"/>
    <w:rsid w:val="001766FE"/>
    <w:rsid w:val="00177AAF"/>
    <w:rsid w:val="00183850"/>
    <w:rsid w:val="00184D9F"/>
    <w:rsid w:val="001851B3"/>
    <w:rsid w:val="00196147"/>
    <w:rsid w:val="001A4749"/>
    <w:rsid w:val="001A4842"/>
    <w:rsid w:val="001A5833"/>
    <w:rsid w:val="001B2B3F"/>
    <w:rsid w:val="001C2158"/>
    <w:rsid w:val="001C365A"/>
    <w:rsid w:val="001C44CC"/>
    <w:rsid w:val="001C4DE9"/>
    <w:rsid w:val="001C51F2"/>
    <w:rsid w:val="001C52C6"/>
    <w:rsid w:val="001C73AB"/>
    <w:rsid w:val="001D2EA4"/>
    <w:rsid w:val="001E4E8D"/>
    <w:rsid w:val="001F2995"/>
    <w:rsid w:val="001F47CE"/>
    <w:rsid w:val="001F5776"/>
    <w:rsid w:val="0020620D"/>
    <w:rsid w:val="002069BC"/>
    <w:rsid w:val="002069EB"/>
    <w:rsid w:val="00213619"/>
    <w:rsid w:val="00215E0C"/>
    <w:rsid w:val="002167ED"/>
    <w:rsid w:val="002201B0"/>
    <w:rsid w:val="00220900"/>
    <w:rsid w:val="0022307E"/>
    <w:rsid w:val="00224D05"/>
    <w:rsid w:val="00225BDA"/>
    <w:rsid w:val="00226669"/>
    <w:rsid w:val="002323A3"/>
    <w:rsid w:val="00234D87"/>
    <w:rsid w:val="00235E19"/>
    <w:rsid w:val="00236EF7"/>
    <w:rsid w:val="0024058A"/>
    <w:rsid w:val="002410C0"/>
    <w:rsid w:val="00241BDB"/>
    <w:rsid w:val="002471B1"/>
    <w:rsid w:val="00252894"/>
    <w:rsid w:val="00253FA6"/>
    <w:rsid w:val="00254728"/>
    <w:rsid w:val="00254F9D"/>
    <w:rsid w:val="002550E7"/>
    <w:rsid w:val="002558D4"/>
    <w:rsid w:val="00255A00"/>
    <w:rsid w:val="002560E2"/>
    <w:rsid w:val="00260EF9"/>
    <w:rsid w:val="00264CFA"/>
    <w:rsid w:val="0026683D"/>
    <w:rsid w:val="00267005"/>
    <w:rsid w:val="00270DD7"/>
    <w:rsid w:val="00276F4A"/>
    <w:rsid w:val="00280BFB"/>
    <w:rsid w:val="00280C88"/>
    <w:rsid w:val="00281D60"/>
    <w:rsid w:val="002973A4"/>
    <w:rsid w:val="002A0195"/>
    <w:rsid w:val="002A600D"/>
    <w:rsid w:val="002B54AB"/>
    <w:rsid w:val="002B5B34"/>
    <w:rsid w:val="002B6906"/>
    <w:rsid w:val="002B7215"/>
    <w:rsid w:val="002C0AFD"/>
    <w:rsid w:val="002C59D0"/>
    <w:rsid w:val="002D1A18"/>
    <w:rsid w:val="002D6C79"/>
    <w:rsid w:val="002E1104"/>
    <w:rsid w:val="002E3FDD"/>
    <w:rsid w:val="00300EF4"/>
    <w:rsid w:val="00301353"/>
    <w:rsid w:val="0030148D"/>
    <w:rsid w:val="00305FF6"/>
    <w:rsid w:val="00306AD0"/>
    <w:rsid w:val="00307568"/>
    <w:rsid w:val="00311506"/>
    <w:rsid w:val="003137A8"/>
    <w:rsid w:val="00313DFC"/>
    <w:rsid w:val="00316ADB"/>
    <w:rsid w:val="00317623"/>
    <w:rsid w:val="003216A7"/>
    <w:rsid w:val="00322FAF"/>
    <w:rsid w:val="003260D0"/>
    <w:rsid w:val="00330130"/>
    <w:rsid w:val="00333613"/>
    <w:rsid w:val="00335F67"/>
    <w:rsid w:val="003361E9"/>
    <w:rsid w:val="00350A65"/>
    <w:rsid w:val="00351A0F"/>
    <w:rsid w:val="00361C85"/>
    <w:rsid w:val="00371352"/>
    <w:rsid w:val="00376753"/>
    <w:rsid w:val="003805E0"/>
    <w:rsid w:val="00382223"/>
    <w:rsid w:val="0038541D"/>
    <w:rsid w:val="003867F1"/>
    <w:rsid w:val="00387818"/>
    <w:rsid w:val="00391A13"/>
    <w:rsid w:val="00391FD0"/>
    <w:rsid w:val="003A127A"/>
    <w:rsid w:val="003A3D40"/>
    <w:rsid w:val="003A44FC"/>
    <w:rsid w:val="003B3299"/>
    <w:rsid w:val="003D10A2"/>
    <w:rsid w:val="003D33B8"/>
    <w:rsid w:val="003D433C"/>
    <w:rsid w:val="003D588F"/>
    <w:rsid w:val="003D624D"/>
    <w:rsid w:val="003D719A"/>
    <w:rsid w:val="003E41D4"/>
    <w:rsid w:val="003F5EB7"/>
    <w:rsid w:val="003F7FE2"/>
    <w:rsid w:val="004004E7"/>
    <w:rsid w:val="0040205A"/>
    <w:rsid w:val="00416E1A"/>
    <w:rsid w:val="00426A3F"/>
    <w:rsid w:val="004277D4"/>
    <w:rsid w:val="00442FD1"/>
    <w:rsid w:val="00452790"/>
    <w:rsid w:val="00461638"/>
    <w:rsid w:val="00462F82"/>
    <w:rsid w:val="0046583F"/>
    <w:rsid w:val="004706FA"/>
    <w:rsid w:val="00474D8D"/>
    <w:rsid w:val="00475CCD"/>
    <w:rsid w:val="00476C0A"/>
    <w:rsid w:val="00477266"/>
    <w:rsid w:val="004811BC"/>
    <w:rsid w:val="00483688"/>
    <w:rsid w:val="004838F2"/>
    <w:rsid w:val="00486492"/>
    <w:rsid w:val="00492CF6"/>
    <w:rsid w:val="004975F5"/>
    <w:rsid w:val="004A4C9D"/>
    <w:rsid w:val="004A6ED8"/>
    <w:rsid w:val="004C2078"/>
    <w:rsid w:val="004C228F"/>
    <w:rsid w:val="004C37CE"/>
    <w:rsid w:val="004C3CD0"/>
    <w:rsid w:val="004C50FC"/>
    <w:rsid w:val="004D3AE0"/>
    <w:rsid w:val="004E0951"/>
    <w:rsid w:val="004E1055"/>
    <w:rsid w:val="004E407F"/>
    <w:rsid w:val="004E752F"/>
    <w:rsid w:val="004F046D"/>
    <w:rsid w:val="004F1E37"/>
    <w:rsid w:val="004F5B5A"/>
    <w:rsid w:val="00502ECA"/>
    <w:rsid w:val="00503E1E"/>
    <w:rsid w:val="0050719E"/>
    <w:rsid w:val="00514B38"/>
    <w:rsid w:val="00515198"/>
    <w:rsid w:val="00521C44"/>
    <w:rsid w:val="005266AA"/>
    <w:rsid w:val="005274E1"/>
    <w:rsid w:val="00531DDF"/>
    <w:rsid w:val="00535F07"/>
    <w:rsid w:val="00535FA6"/>
    <w:rsid w:val="0053698E"/>
    <w:rsid w:val="00542AB7"/>
    <w:rsid w:val="0055358D"/>
    <w:rsid w:val="005540C8"/>
    <w:rsid w:val="00555371"/>
    <w:rsid w:val="00555809"/>
    <w:rsid w:val="00562165"/>
    <w:rsid w:val="00571B46"/>
    <w:rsid w:val="005756AF"/>
    <w:rsid w:val="00575A4A"/>
    <w:rsid w:val="00590886"/>
    <w:rsid w:val="00591B6F"/>
    <w:rsid w:val="005A1DAF"/>
    <w:rsid w:val="005B0680"/>
    <w:rsid w:val="005C0B9B"/>
    <w:rsid w:val="005C17C8"/>
    <w:rsid w:val="005C2098"/>
    <w:rsid w:val="005C2E6C"/>
    <w:rsid w:val="005C69D6"/>
    <w:rsid w:val="005D018D"/>
    <w:rsid w:val="005D0CCF"/>
    <w:rsid w:val="005D0EBD"/>
    <w:rsid w:val="005D1C01"/>
    <w:rsid w:val="005D6198"/>
    <w:rsid w:val="005E297D"/>
    <w:rsid w:val="005E3F12"/>
    <w:rsid w:val="005E7091"/>
    <w:rsid w:val="005F627E"/>
    <w:rsid w:val="00603B7F"/>
    <w:rsid w:val="0061652E"/>
    <w:rsid w:val="0061764E"/>
    <w:rsid w:val="006205E9"/>
    <w:rsid w:val="00622D0B"/>
    <w:rsid w:val="006270DA"/>
    <w:rsid w:val="00627DA2"/>
    <w:rsid w:val="00630B75"/>
    <w:rsid w:val="006340C5"/>
    <w:rsid w:val="006341E0"/>
    <w:rsid w:val="00634DFF"/>
    <w:rsid w:val="00635337"/>
    <w:rsid w:val="006422CF"/>
    <w:rsid w:val="0064239F"/>
    <w:rsid w:val="0064265B"/>
    <w:rsid w:val="0064519C"/>
    <w:rsid w:val="00650248"/>
    <w:rsid w:val="0065082E"/>
    <w:rsid w:val="006512D0"/>
    <w:rsid w:val="00652663"/>
    <w:rsid w:val="006535B3"/>
    <w:rsid w:val="006560A3"/>
    <w:rsid w:val="00656301"/>
    <w:rsid w:val="006600C9"/>
    <w:rsid w:val="006701CC"/>
    <w:rsid w:val="00671423"/>
    <w:rsid w:val="00671F58"/>
    <w:rsid w:val="006762A4"/>
    <w:rsid w:val="006900E7"/>
    <w:rsid w:val="00691DA7"/>
    <w:rsid w:val="00691ED3"/>
    <w:rsid w:val="006A00A8"/>
    <w:rsid w:val="006A37DD"/>
    <w:rsid w:val="006A4361"/>
    <w:rsid w:val="006A482D"/>
    <w:rsid w:val="006B0C28"/>
    <w:rsid w:val="006B11E0"/>
    <w:rsid w:val="006B181E"/>
    <w:rsid w:val="006B386A"/>
    <w:rsid w:val="006B7CB4"/>
    <w:rsid w:val="006C0A61"/>
    <w:rsid w:val="006C24D3"/>
    <w:rsid w:val="006C7917"/>
    <w:rsid w:val="006D2C9D"/>
    <w:rsid w:val="006D6071"/>
    <w:rsid w:val="006E51AE"/>
    <w:rsid w:val="006F024C"/>
    <w:rsid w:val="006F29E1"/>
    <w:rsid w:val="006F334B"/>
    <w:rsid w:val="0070081F"/>
    <w:rsid w:val="007018F5"/>
    <w:rsid w:val="007029D9"/>
    <w:rsid w:val="00702D14"/>
    <w:rsid w:val="00710897"/>
    <w:rsid w:val="00712F45"/>
    <w:rsid w:val="00716567"/>
    <w:rsid w:val="00720A2F"/>
    <w:rsid w:val="00734305"/>
    <w:rsid w:val="007370E1"/>
    <w:rsid w:val="00771383"/>
    <w:rsid w:val="007732A1"/>
    <w:rsid w:val="00774C4A"/>
    <w:rsid w:val="00782BBB"/>
    <w:rsid w:val="007854B2"/>
    <w:rsid w:val="007A0690"/>
    <w:rsid w:val="007A078F"/>
    <w:rsid w:val="007B34D4"/>
    <w:rsid w:val="007B36DC"/>
    <w:rsid w:val="007C0633"/>
    <w:rsid w:val="007D086C"/>
    <w:rsid w:val="007F1BE1"/>
    <w:rsid w:val="007F6878"/>
    <w:rsid w:val="007F707F"/>
    <w:rsid w:val="007F794C"/>
    <w:rsid w:val="007F7AC9"/>
    <w:rsid w:val="007F7BD9"/>
    <w:rsid w:val="00801C1C"/>
    <w:rsid w:val="00803B42"/>
    <w:rsid w:val="008073EF"/>
    <w:rsid w:val="0081095C"/>
    <w:rsid w:val="00810C41"/>
    <w:rsid w:val="00813E74"/>
    <w:rsid w:val="00814740"/>
    <w:rsid w:val="00814DB6"/>
    <w:rsid w:val="008212FF"/>
    <w:rsid w:val="00824524"/>
    <w:rsid w:val="0082593B"/>
    <w:rsid w:val="00827537"/>
    <w:rsid w:val="0083478A"/>
    <w:rsid w:val="00845B78"/>
    <w:rsid w:val="008468EA"/>
    <w:rsid w:val="00846EE3"/>
    <w:rsid w:val="008477B6"/>
    <w:rsid w:val="00851D46"/>
    <w:rsid w:val="00855D38"/>
    <w:rsid w:val="00861DD1"/>
    <w:rsid w:val="00867140"/>
    <w:rsid w:val="00881134"/>
    <w:rsid w:val="00884926"/>
    <w:rsid w:val="008903FA"/>
    <w:rsid w:val="008904F0"/>
    <w:rsid w:val="00894931"/>
    <w:rsid w:val="008A3B50"/>
    <w:rsid w:val="008A6039"/>
    <w:rsid w:val="008B2D01"/>
    <w:rsid w:val="008B2F27"/>
    <w:rsid w:val="008B4A72"/>
    <w:rsid w:val="008B585E"/>
    <w:rsid w:val="008B6673"/>
    <w:rsid w:val="008B7FC7"/>
    <w:rsid w:val="008C42F4"/>
    <w:rsid w:val="008C49C4"/>
    <w:rsid w:val="008C68B8"/>
    <w:rsid w:val="008D028C"/>
    <w:rsid w:val="008D0A37"/>
    <w:rsid w:val="008D2C8A"/>
    <w:rsid w:val="008E6C0C"/>
    <w:rsid w:val="008F1E63"/>
    <w:rsid w:val="008F3052"/>
    <w:rsid w:val="008F4D81"/>
    <w:rsid w:val="009011DE"/>
    <w:rsid w:val="00901E19"/>
    <w:rsid w:val="0090209D"/>
    <w:rsid w:val="009043D5"/>
    <w:rsid w:val="0091367F"/>
    <w:rsid w:val="009150DD"/>
    <w:rsid w:val="009214F7"/>
    <w:rsid w:val="00921CD7"/>
    <w:rsid w:val="00932A58"/>
    <w:rsid w:val="00933FDB"/>
    <w:rsid w:val="00940EB6"/>
    <w:rsid w:val="00944771"/>
    <w:rsid w:val="00956AE9"/>
    <w:rsid w:val="00957946"/>
    <w:rsid w:val="009601FC"/>
    <w:rsid w:val="00965426"/>
    <w:rsid w:val="0096654A"/>
    <w:rsid w:val="009711E4"/>
    <w:rsid w:val="00971572"/>
    <w:rsid w:val="00971963"/>
    <w:rsid w:val="00981E55"/>
    <w:rsid w:val="00986C32"/>
    <w:rsid w:val="00986CEF"/>
    <w:rsid w:val="00987212"/>
    <w:rsid w:val="009926FC"/>
    <w:rsid w:val="009A0E5F"/>
    <w:rsid w:val="009A675F"/>
    <w:rsid w:val="009D6E02"/>
    <w:rsid w:val="009E3A1D"/>
    <w:rsid w:val="009F115B"/>
    <w:rsid w:val="009F179E"/>
    <w:rsid w:val="009F1AF3"/>
    <w:rsid w:val="009F233E"/>
    <w:rsid w:val="009F4E88"/>
    <w:rsid w:val="00A01050"/>
    <w:rsid w:val="00A024AB"/>
    <w:rsid w:val="00A050A5"/>
    <w:rsid w:val="00A05B8B"/>
    <w:rsid w:val="00A1372F"/>
    <w:rsid w:val="00A170EC"/>
    <w:rsid w:val="00A217B3"/>
    <w:rsid w:val="00A21C44"/>
    <w:rsid w:val="00A23D04"/>
    <w:rsid w:val="00A277D9"/>
    <w:rsid w:val="00A30CEB"/>
    <w:rsid w:val="00A31318"/>
    <w:rsid w:val="00A37BB8"/>
    <w:rsid w:val="00A5432A"/>
    <w:rsid w:val="00A55F8A"/>
    <w:rsid w:val="00A64A26"/>
    <w:rsid w:val="00A73455"/>
    <w:rsid w:val="00A90DCA"/>
    <w:rsid w:val="00A9670E"/>
    <w:rsid w:val="00AA1423"/>
    <w:rsid w:val="00AB3B0C"/>
    <w:rsid w:val="00AB7996"/>
    <w:rsid w:val="00AC0F39"/>
    <w:rsid w:val="00AC43C3"/>
    <w:rsid w:val="00AC6566"/>
    <w:rsid w:val="00AC6CC9"/>
    <w:rsid w:val="00AD05F3"/>
    <w:rsid w:val="00AE2EAD"/>
    <w:rsid w:val="00AF0654"/>
    <w:rsid w:val="00AF77BE"/>
    <w:rsid w:val="00B05544"/>
    <w:rsid w:val="00B11514"/>
    <w:rsid w:val="00B11CEE"/>
    <w:rsid w:val="00B147DA"/>
    <w:rsid w:val="00B15F33"/>
    <w:rsid w:val="00B1710C"/>
    <w:rsid w:val="00B20C23"/>
    <w:rsid w:val="00B20F0A"/>
    <w:rsid w:val="00B21EAF"/>
    <w:rsid w:val="00B23428"/>
    <w:rsid w:val="00B264BF"/>
    <w:rsid w:val="00B26968"/>
    <w:rsid w:val="00B27CE8"/>
    <w:rsid w:val="00B401BA"/>
    <w:rsid w:val="00B42E74"/>
    <w:rsid w:val="00B46874"/>
    <w:rsid w:val="00B50E8F"/>
    <w:rsid w:val="00B51151"/>
    <w:rsid w:val="00B523E4"/>
    <w:rsid w:val="00B52B4F"/>
    <w:rsid w:val="00B563F5"/>
    <w:rsid w:val="00B60A3F"/>
    <w:rsid w:val="00B6108C"/>
    <w:rsid w:val="00B649AD"/>
    <w:rsid w:val="00B64B9C"/>
    <w:rsid w:val="00B67A3E"/>
    <w:rsid w:val="00B735CC"/>
    <w:rsid w:val="00B82C95"/>
    <w:rsid w:val="00B83F87"/>
    <w:rsid w:val="00B84DFD"/>
    <w:rsid w:val="00B95763"/>
    <w:rsid w:val="00BA13C4"/>
    <w:rsid w:val="00BA3B51"/>
    <w:rsid w:val="00BB0E59"/>
    <w:rsid w:val="00BB2ACC"/>
    <w:rsid w:val="00BB3C84"/>
    <w:rsid w:val="00BB4E38"/>
    <w:rsid w:val="00BB583B"/>
    <w:rsid w:val="00BB6171"/>
    <w:rsid w:val="00BB61E2"/>
    <w:rsid w:val="00BC30EF"/>
    <w:rsid w:val="00BC368E"/>
    <w:rsid w:val="00BC3879"/>
    <w:rsid w:val="00BD0E0D"/>
    <w:rsid w:val="00BD41BC"/>
    <w:rsid w:val="00BD55AD"/>
    <w:rsid w:val="00BD68D2"/>
    <w:rsid w:val="00BE0305"/>
    <w:rsid w:val="00BF15F0"/>
    <w:rsid w:val="00BF240E"/>
    <w:rsid w:val="00BF7DF9"/>
    <w:rsid w:val="00C02292"/>
    <w:rsid w:val="00C03559"/>
    <w:rsid w:val="00C05395"/>
    <w:rsid w:val="00C22AD7"/>
    <w:rsid w:val="00C26D8C"/>
    <w:rsid w:val="00C272C1"/>
    <w:rsid w:val="00C27423"/>
    <w:rsid w:val="00C32A68"/>
    <w:rsid w:val="00C34282"/>
    <w:rsid w:val="00C35350"/>
    <w:rsid w:val="00C3564B"/>
    <w:rsid w:val="00C357A6"/>
    <w:rsid w:val="00C37A3C"/>
    <w:rsid w:val="00C37D04"/>
    <w:rsid w:val="00C4483A"/>
    <w:rsid w:val="00C47F39"/>
    <w:rsid w:val="00C53721"/>
    <w:rsid w:val="00C63CE0"/>
    <w:rsid w:val="00C64150"/>
    <w:rsid w:val="00C64D2E"/>
    <w:rsid w:val="00C70B25"/>
    <w:rsid w:val="00C70D9B"/>
    <w:rsid w:val="00C70F97"/>
    <w:rsid w:val="00C7497C"/>
    <w:rsid w:val="00C757A2"/>
    <w:rsid w:val="00C75966"/>
    <w:rsid w:val="00C76577"/>
    <w:rsid w:val="00C80225"/>
    <w:rsid w:val="00C81349"/>
    <w:rsid w:val="00C855B5"/>
    <w:rsid w:val="00C90B65"/>
    <w:rsid w:val="00C93139"/>
    <w:rsid w:val="00CA07BB"/>
    <w:rsid w:val="00CA08A0"/>
    <w:rsid w:val="00CA32D2"/>
    <w:rsid w:val="00CA4E07"/>
    <w:rsid w:val="00CA630F"/>
    <w:rsid w:val="00CA737D"/>
    <w:rsid w:val="00CB0AEA"/>
    <w:rsid w:val="00CB1EF5"/>
    <w:rsid w:val="00CC05D4"/>
    <w:rsid w:val="00CC3827"/>
    <w:rsid w:val="00CC4C0E"/>
    <w:rsid w:val="00CC7166"/>
    <w:rsid w:val="00CD4303"/>
    <w:rsid w:val="00CE05AB"/>
    <w:rsid w:val="00CE4220"/>
    <w:rsid w:val="00CE72AE"/>
    <w:rsid w:val="00CF2B1B"/>
    <w:rsid w:val="00CF3B5B"/>
    <w:rsid w:val="00CF5275"/>
    <w:rsid w:val="00CF6136"/>
    <w:rsid w:val="00D0023D"/>
    <w:rsid w:val="00D006C6"/>
    <w:rsid w:val="00D1161A"/>
    <w:rsid w:val="00D14A65"/>
    <w:rsid w:val="00D14B31"/>
    <w:rsid w:val="00D159CF"/>
    <w:rsid w:val="00D162B9"/>
    <w:rsid w:val="00D17E12"/>
    <w:rsid w:val="00D249D4"/>
    <w:rsid w:val="00D251E2"/>
    <w:rsid w:val="00D254F4"/>
    <w:rsid w:val="00D263A7"/>
    <w:rsid w:val="00D26A30"/>
    <w:rsid w:val="00D26B5D"/>
    <w:rsid w:val="00D305E0"/>
    <w:rsid w:val="00D319C3"/>
    <w:rsid w:val="00D33159"/>
    <w:rsid w:val="00D33883"/>
    <w:rsid w:val="00D33A19"/>
    <w:rsid w:val="00D34AEA"/>
    <w:rsid w:val="00D355B5"/>
    <w:rsid w:val="00D35782"/>
    <w:rsid w:val="00D43DC3"/>
    <w:rsid w:val="00D473B4"/>
    <w:rsid w:val="00D4783A"/>
    <w:rsid w:val="00D51791"/>
    <w:rsid w:val="00D5281E"/>
    <w:rsid w:val="00D573AE"/>
    <w:rsid w:val="00D60560"/>
    <w:rsid w:val="00D615B3"/>
    <w:rsid w:val="00D6531B"/>
    <w:rsid w:val="00D6612D"/>
    <w:rsid w:val="00D70B88"/>
    <w:rsid w:val="00D71AD9"/>
    <w:rsid w:val="00D73C02"/>
    <w:rsid w:val="00D85AF4"/>
    <w:rsid w:val="00D872ED"/>
    <w:rsid w:val="00D91100"/>
    <w:rsid w:val="00D913C6"/>
    <w:rsid w:val="00D958BB"/>
    <w:rsid w:val="00D968A5"/>
    <w:rsid w:val="00DA0236"/>
    <w:rsid w:val="00DA5D51"/>
    <w:rsid w:val="00DA5E29"/>
    <w:rsid w:val="00DA61CA"/>
    <w:rsid w:val="00DB42BC"/>
    <w:rsid w:val="00DB66BB"/>
    <w:rsid w:val="00DB73AF"/>
    <w:rsid w:val="00DB76AC"/>
    <w:rsid w:val="00DC2865"/>
    <w:rsid w:val="00DC6B18"/>
    <w:rsid w:val="00DD0894"/>
    <w:rsid w:val="00DD3CF3"/>
    <w:rsid w:val="00DE00C0"/>
    <w:rsid w:val="00DE1888"/>
    <w:rsid w:val="00DE7B6C"/>
    <w:rsid w:val="00DF1250"/>
    <w:rsid w:val="00DF4A38"/>
    <w:rsid w:val="00DF5BA6"/>
    <w:rsid w:val="00DF6EF7"/>
    <w:rsid w:val="00DF7FB1"/>
    <w:rsid w:val="00E01594"/>
    <w:rsid w:val="00E05454"/>
    <w:rsid w:val="00E074C3"/>
    <w:rsid w:val="00E127FF"/>
    <w:rsid w:val="00E16EE2"/>
    <w:rsid w:val="00E23329"/>
    <w:rsid w:val="00E24D6D"/>
    <w:rsid w:val="00E30EC7"/>
    <w:rsid w:val="00E3415D"/>
    <w:rsid w:val="00E341B2"/>
    <w:rsid w:val="00E42633"/>
    <w:rsid w:val="00E457BF"/>
    <w:rsid w:val="00E543E6"/>
    <w:rsid w:val="00E5699E"/>
    <w:rsid w:val="00E570E1"/>
    <w:rsid w:val="00E60ADC"/>
    <w:rsid w:val="00E72773"/>
    <w:rsid w:val="00E73D70"/>
    <w:rsid w:val="00E76739"/>
    <w:rsid w:val="00E81946"/>
    <w:rsid w:val="00E82BB7"/>
    <w:rsid w:val="00E82CE2"/>
    <w:rsid w:val="00E84ED8"/>
    <w:rsid w:val="00E8651F"/>
    <w:rsid w:val="00E86D13"/>
    <w:rsid w:val="00E8778E"/>
    <w:rsid w:val="00E91BCA"/>
    <w:rsid w:val="00E936C2"/>
    <w:rsid w:val="00E95346"/>
    <w:rsid w:val="00E96E05"/>
    <w:rsid w:val="00EA0CEF"/>
    <w:rsid w:val="00EA2748"/>
    <w:rsid w:val="00EA2E2A"/>
    <w:rsid w:val="00EB207A"/>
    <w:rsid w:val="00EB2438"/>
    <w:rsid w:val="00EB785C"/>
    <w:rsid w:val="00EB79D2"/>
    <w:rsid w:val="00EC0174"/>
    <w:rsid w:val="00EC763B"/>
    <w:rsid w:val="00ED3EEB"/>
    <w:rsid w:val="00ED5749"/>
    <w:rsid w:val="00ED5FA3"/>
    <w:rsid w:val="00ED68C4"/>
    <w:rsid w:val="00ED6A4E"/>
    <w:rsid w:val="00ED72EA"/>
    <w:rsid w:val="00EE072D"/>
    <w:rsid w:val="00EE3A4F"/>
    <w:rsid w:val="00EE7F05"/>
    <w:rsid w:val="00EF10C3"/>
    <w:rsid w:val="00EF2781"/>
    <w:rsid w:val="00EF3BD2"/>
    <w:rsid w:val="00F112AE"/>
    <w:rsid w:val="00F16BCE"/>
    <w:rsid w:val="00F45DA1"/>
    <w:rsid w:val="00F5267B"/>
    <w:rsid w:val="00F52860"/>
    <w:rsid w:val="00F53E8B"/>
    <w:rsid w:val="00F663FD"/>
    <w:rsid w:val="00F70120"/>
    <w:rsid w:val="00F743B0"/>
    <w:rsid w:val="00F76D9E"/>
    <w:rsid w:val="00F77D4E"/>
    <w:rsid w:val="00F82409"/>
    <w:rsid w:val="00F8264F"/>
    <w:rsid w:val="00F82D3F"/>
    <w:rsid w:val="00F833E9"/>
    <w:rsid w:val="00F84580"/>
    <w:rsid w:val="00F873DA"/>
    <w:rsid w:val="00F87D0D"/>
    <w:rsid w:val="00F95982"/>
    <w:rsid w:val="00FA006C"/>
    <w:rsid w:val="00FA190E"/>
    <w:rsid w:val="00FA288B"/>
    <w:rsid w:val="00FA2997"/>
    <w:rsid w:val="00FA2C71"/>
    <w:rsid w:val="00FA46FD"/>
    <w:rsid w:val="00FB1C17"/>
    <w:rsid w:val="00FB3345"/>
    <w:rsid w:val="00FC206D"/>
    <w:rsid w:val="00FC539D"/>
    <w:rsid w:val="00FC543E"/>
    <w:rsid w:val="00FC5F37"/>
    <w:rsid w:val="00FD01D6"/>
    <w:rsid w:val="00FD0228"/>
    <w:rsid w:val="00FD3BB7"/>
    <w:rsid w:val="00FD7BC3"/>
    <w:rsid w:val="00FE0D93"/>
    <w:rsid w:val="00FE6718"/>
    <w:rsid w:val="00FF2572"/>
    <w:rsid w:val="00FF32AD"/>
    <w:rsid w:val="00FF714E"/>
    <w:rsid w:val="03340519"/>
    <w:rsid w:val="047D2ACD"/>
    <w:rsid w:val="04DD5BC3"/>
    <w:rsid w:val="05123C0E"/>
    <w:rsid w:val="0DC31556"/>
    <w:rsid w:val="0EBF6EBD"/>
    <w:rsid w:val="1A3D6143"/>
    <w:rsid w:val="1BB630ED"/>
    <w:rsid w:val="1C013801"/>
    <w:rsid w:val="1C395ACC"/>
    <w:rsid w:val="1CFC0FD3"/>
    <w:rsid w:val="1D6628F1"/>
    <w:rsid w:val="1DFD8D3B"/>
    <w:rsid w:val="1FB79DC9"/>
    <w:rsid w:val="1FBFC3F2"/>
    <w:rsid w:val="1FFFE033"/>
    <w:rsid w:val="20084133"/>
    <w:rsid w:val="21406FA7"/>
    <w:rsid w:val="22A2261D"/>
    <w:rsid w:val="24EC7B7F"/>
    <w:rsid w:val="26AE46A4"/>
    <w:rsid w:val="27F352A6"/>
    <w:rsid w:val="29943179"/>
    <w:rsid w:val="2C146544"/>
    <w:rsid w:val="2D527252"/>
    <w:rsid w:val="2DDC1740"/>
    <w:rsid w:val="2EAE55F2"/>
    <w:rsid w:val="2EDF4302"/>
    <w:rsid w:val="2EFE1A04"/>
    <w:rsid w:val="35BBF80F"/>
    <w:rsid w:val="3640573A"/>
    <w:rsid w:val="3784089E"/>
    <w:rsid w:val="37EA0581"/>
    <w:rsid w:val="386B4E07"/>
    <w:rsid w:val="3AD1189A"/>
    <w:rsid w:val="3B736F08"/>
    <w:rsid w:val="3B893F22"/>
    <w:rsid w:val="3BE3D531"/>
    <w:rsid w:val="3D431A40"/>
    <w:rsid w:val="3EFF42CA"/>
    <w:rsid w:val="3F6FCA38"/>
    <w:rsid w:val="3FD5AF3D"/>
    <w:rsid w:val="3FFED8BE"/>
    <w:rsid w:val="3FFF43BB"/>
    <w:rsid w:val="433DCF8E"/>
    <w:rsid w:val="45FF973D"/>
    <w:rsid w:val="46133AD7"/>
    <w:rsid w:val="47550EBA"/>
    <w:rsid w:val="49695393"/>
    <w:rsid w:val="4BF7E09D"/>
    <w:rsid w:val="4D7A7B6F"/>
    <w:rsid w:val="4FFFFC3E"/>
    <w:rsid w:val="51944EF0"/>
    <w:rsid w:val="52AA01F7"/>
    <w:rsid w:val="53BB74FC"/>
    <w:rsid w:val="55FDDF92"/>
    <w:rsid w:val="55FFBC03"/>
    <w:rsid w:val="56CDA72E"/>
    <w:rsid w:val="56ED1541"/>
    <w:rsid w:val="576F5916"/>
    <w:rsid w:val="577FDAE2"/>
    <w:rsid w:val="57FBE2C7"/>
    <w:rsid w:val="59170968"/>
    <w:rsid w:val="59E85E60"/>
    <w:rsid w:val="5B335734"/>
    <w:rsid w:val="5B6065F6"/>
    <w:rsid w:val="5B7F322F"/>
    <w:rsid w:val="5BCAB023"/>
    <w:rsid w:val="5DDA9B94"/>
    <w:rsid w:val="5EAB810D"/>
    <w:rsid w:val="5EFF9DA6"/>
    <w:rsid w:val="5F552550"/>
    <w:rsid w:val="5F7751B9"/>
    <w:rsid w:val="5F9F7232"/>
    <w:rsid w:val="5F9F9588"/>
    <w:rsid w:val="5FBD32D2"/>
    <w:rsid w:val="5FD450B0"/>
    <w:rsid w:val="5FEF60CD"/>
    <w:rsid w:val="5FFB203D"/>
    <w:rsid w:val="5FFB8CF9"/>
    <w:rsid w:val="63DBAF21"/>
    <w:rsid w:val="65FA2648"/>
    <w:rsid w:val="6636451A"/>
    <w:rsid w:val="672F1572"/>
    <w:rsid w:val="67DE80AA"/>
    <w:rsid w:val="697E3B47"/>
    <w:rsid w:val="69BF132E"/>
    <w:rsid w:val="6AE7395C"/>
    <w:rsid w:val="6BFEE5F3"/>
    <w:rsid w:val="6C08382D"/>
    <w:rsid w:val="6CAFF34E"/>
    <w:rsid w:val="6CFFCF4F"/>
    <w:rsid w:val="6D0B213A"/>
    <w:rsid w:val="6D855A48"/>
    <w:rsid w:val="6DFFF8B6"/>
    <w:rsid w:val="6E9FE641"/>
    <w:rsid w:val="6EEDE807"/>
    <w:rsid w:val="6EEE4BE4"/>
    <w:rsid w:val="6EF65E9C"/>
    <w:rsid w:val="6F3D9197"/>
    <w:rsid w:val="6FAB3EC4"/>
    <w:rsid w:val="6FB6AF41"/>
    <w:rsid w:val="6FD894C8"/>
    <w:rsid w:val="6FE36A9E"/>
    <w:rsid w:val="6FEFB2D1"/>
    <w:rsid w:val="6FFF97E6"/>
    <w:rsid w:val="70057314"/>
    <w:rsid w:val="71397E03"/>
    <w:rsid w:val="71FB5B08"/>
    <w:rsid w:val="73FB87D9"/>
    <w:rsid w:val="740057E1"/>
    <w:rsid w:val="75D1383D"/>
    <w:rsid w:val="75EF0FBA"/>
    <w:rsid w:val="7607C293"/>
    <w:rsid w:val="760F0570"/>
    <w:rsid w:val="76DFA4E8"/>
    <w:rsid w:val="778720BD"/>
    <w:rsid w:val="77A7D615"/>
    <w:rsid w:val="77FF366A"/>
    <w:rsid w:val="77FF8C96"/>
    <w:rsid w:val="77FFA8F9"/>
    <w:rsid w:val="783367C7"/>
    <w:rsid w:val="794D64C1"/>
    <w:rsid w:val="7976604B"/>
    <w:rsid w:val="79F3BC78"/>
    <w:rsid w:val="7A5B6CAA"/>
    <w:rsid w:val="7A9314AC"/>
    <w:rsid w:val="7ADC7C48"/>
    <w:rsid w:val="7B4F6850"/>
    <w:rsid w:val="7BABD5C4"/>
    <w:rsid w:val="7BB12055"/>
    <w:rsid w:val="7BBFADBA"/>
    <w:rsid w:val="7BFF492D"/>
    <w:rsid w:val="7C631402"/>
    <w:rsid w:val="7C978C63"/>
    <w:rsid w:val="7CA35AD0"/>
    <w:rsid w:val="7CDF8BC3"/>
    <w:rsid w:val="7CEB72A5"/>
    <w:rsid w:val="7D18750B"/>
    <w:rsid w:val="7D8C2E23"/>
    <w:rsid w:val="7DDFDC39"/>
    <w:rsid w:val="7E140770"/>
    <w:rsid w:val="7E5D92FB"/>
    <w:rsid w:val="7E7C69F3"/>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773775"/>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Lines="50" w:line="360" w:lineRule="auto"/>
      <w:ind w:firstLine="480" w:firstLineChars="200"/>
    </w:pPr>
    <w:rPr>
      <w:rFonts w:eastAsia="仿宋"/>
      <w:sz w:val="24"/>
      <w:szCs w:val="23"/>
      <w:lang w:eastAsia="ar-SA"/>
    </w:rPr>
  </w:style>
  <w:style w:type="paragraph" w:styleId="3">
    <w:name w:val="Document Map"/>
    <w:basedOn w:val="1"/>
    <w:link w:val="18"/>
    <w:qFormat/>
    <w:uiPriority w:val="0"/>
    <w:rPr>
      <w:rFonts w:ascii="宋体" w:eastAsia="宋体"/>
      <w:sz w:val="18"/>
      <w:szCs w:val="18"/>
    </w:rPr>
  </w:style>
  <w:style w:type="paragraph" w:styleId="4">
    <w:name w:val="Body Text"/>
    <w:basedOn w:val="1"/>
    <w:next w:val="1"/>
    <w:qFormat/>
    <w:uiPriority w:val="0"/>
    <w:pPr>
      <w:spacing w:after="120"/>
    </w:pPr>
  </w:style>
  <w:style w:type="paragraph" w:styleId="5">
    <w:name w:val="Body Text Indent"/>
    <w:basedOn w:val="1"/>
    <w:qFormat/>
    <w:uiPriority w:val="0"/>
    <w:pPr>
      <w:spacing w:after="120"/>
      <w:ind w:left="200"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HTML Preformatted"/>
    <w:basedOn w:val="1"/>
    <w:link w:val="29"/>
    <w:qFormat/>
    <w:uiPriority w:val="0"/>
    <w:rPr>
      <w:rFonts w:ascii="Courier New" w:hAnsi="Courier New" w:cs="Courier New"/>
      <w:sz w:val="20"/>
      <w:szCs w:val="20"/>
    </w:rPr>
  </w:style>
  <w:style w:type="paragraph" w:styleId="11">
    <w:name w:val="Normal (Web)"/>
    <w:basedOn w:val="1"/>
    <w:qFormat/>
    <w:uiPriority w:val="0"/>
    <w:pPr>
      <w:spacing w:before="100" w:beforeAutospacing="1" w:after="100" w:afterAutospacing="1"/>
      <w:jc w:val="left"/>
    </w:pPr>
    <w:rPr>
      <w:rFonts w:eastAsia="宋体"/>
      <w:kern w:val="0"/>
      <w:sz w:val="24"/>
    </w:rPr>
  </w:style>
  <w:style w:type="paragraph" w:styleId="12">
    <w:name w:val="Body Text First Indent 2"/>
    <w:basedOn w:val="5"/>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8">
    <w:name w:val="文档结构图 Char"/>
    <w:basedOn w:val="15"/>
    <w:link w:val="3"/>
    <w:qFormat/>
    <w:uiPriority w:val="0"/>
    <w:rPr>
      <w:rFonts w:ascii="宋体"/>
      <w:kern w:val="2"/>
      <w:sz w:val="18"/>
      <w:szCs w:val="18"/>
    </w:rPr>
  </w:style>
  <w:style w:type="character" w:customStyle="1" w:styleId="19">
    <w:name w:val="页脚 Char"/>
    <w:basedOn w:val="15"/>
    <w:link w:val="7"/>
    <w:qFormat/>
    <w:uiPriority w:val="99"/>
    <w:rPr>
      <w:kern w:val="2"/>
      <w:sz w:val="18"/>
      <w:szCs w:val="18"/>
    </w:rPr>
  </w:style>
  <w:style w:type="paragraph" w:customStyle="1" w:styleId="20">
    <w:name w:val="四号正文"/>
    <w:basedOn w:val="1"/>
    <w:link w:val="21"/>
    <w:qFormat/>
    <w:uiPriority w:val="0"/>
    <w:pPr>
      <w:spacing w:line="360" w:lineRule="auto"/>
    </w:pPr>
    <w:rPr>
      <w:rFonts w:ascii="??" w:hAnsi="??" w:eastAsia="宋体" w:cs="宋体"/>
      <w:color w:val="000000"/>
      <w:kern w:val="0"/>
      <w:sz w:val="28"/>
      <w:szCs w:val="21"/>
    </w:rPr>
  </w:style>
  <w:style w:type="character" w:customStyle="1" w:styleId="21">
    <w:name w:val="四号正文 Char"/>
    <w:basedOn w:val="15"/>
    <w:link w:val="20"/>
    <w:qFormat/>
    <w:uiPriority w:val="0"/>
    <w:rPr>
      <w:rFonts w:ascii="??" w:hAnsi="??" w:eastAsia="宋体" w:cs="宋体"/>
      <w:color w:val="000000"/>
      <w:sz w:val="28"/>
      <w:szCs w:val="21"/>
      <w:lang w:val="en-US" w:eastAsia="zh-CN" w:bidi="ar-SA"/>
    </w:rPr>
  </w:style>
  <w:style w:type="paragraph" w:customStyle="1" w:styleId="22">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font31"/>
    <w:basedOn w:val="15"/>
    <w:qFormat/>
    <w:uiPriority w:val="0"/>
    <w:rPr>
      <w:rFonts w:hint="eastAsia" w:ascii="宋体" w:hAnsi="宋体" w:eastAsia="宋体" w:cs="宋体"/>
      <w:color w:val="000000"/>
      <w:sz w:val="24"/>
      <w:szCs w:val="24"/>
      <w:u w:val="none"/>
    </w:rPr>
  </w:style>
  <w:style w:type="character" w:customStyle="1" w:styleId="24">
    <w:name w:val="font51"/>
    <w:basedOn w:val="15"/>
    <w:qFormat/>
    <w:uiPriority w:val="0"/>
    <w:rPr>
      <w:rFonts w:hint="default" w:ascii="Wingdings 2" w:hAnsi="Wingdings 2" w:eastAsia="Wingdings 2" w:cs="Wingdings 2"/>
      <w:color w:val="000000"/>
      <w:sz w:val="18"/>
      <w:szCs w:val="18"/>
      <w:u w:val="none"/>
    </w:rPr>
  </w:style>
  <w:style w:type="character" w:customStyle="1" w:styleId="25">
    <w:name w:val="font01"/>
    <w:basedOn w:val="15"/>
    <w:qFormat/>
    <w:uiPriority w:val="0"/>
    <w:rPr>
      <w:rFonts w:ascii="宋体" w:hAnsi="宋体" w:eastAsia="宋体" w:cs="宋体"/>
      <w:color w:val="000000"/>
      <w:sz w:val="18"/>
      <w:szCs w:val="18"/>
      <w:u w:val="none"/>
    </w:rPr>
  </w:style>
  <w:style w:type="character" w:customStyle="1" w:styleId="26">
    <w:name w:val="font41"/>
    <w:basedOn w:val="15"/>
    <w:qFormat/>
    <w:uiPriority w:val="0"/>
    <w:rPr>
      <w:rFonts w:ascii="宋体" w:hAnsi="宋体" w:eastAsia="宋体" w:cs="宋体"/>
      <w:color w:val="000000"/>
      <w:sz w:val="18"/>
      <w:szCs w:val="18"/>
      <w:u w:val="none"/>
    </w:rPr>
  </w:style>
  <w:style w:type="character" w:customStyle="1" w:styleId="27">
    <w:name w:val="NormalCharacter"/>
    <w:semiHidden/>
    <w:qFormat/>
    <w:uiPriority w:val="0"/>
  </w:style>
  <w:style w:type="paragraph" w:styleId="28">
    <w:name w:val="List Paragraph"/>
    <w:basedOn w:val="1"/>
    <w:unhideWhenUsed/>
    <w:qFormat/>
    <w:uiPriority w:val="99"/>
    <w:pPr>
      <w:ind w:firstLine="420" w:firstLineChars="200"/>
    </w:pPr>
  </w:style>
  <w:style w:type="character" w:customStyle="1" w:styleId="29">
    <w:name w:val="HTML 预设格式 Char"/>
    <w:basedOn w:val="15"/>
    <w:link w:val="10"/>
    <w:qFormat/>
    <w:uiPriority w:val="0"/>
    <w:rPr>
      <w:rFonts w:ascii="Courier New" w:hAnsi="Courier New" w:eastAsia="仿宋_GB2312" w:cs="Courier New"/>
      <w:kern w:val="2"/>
    </w:rPr>
  </w:style>
  <w:style w:type="character" w:customStyle="1" w:styleId="30">
    <w:name w:val="val_textcolor000000"/>
    <w:basedOn w:val="15"/>
    <w:qFormat/>
    <w:uiPriority w:val="0"/>
  </w:style>
  <w:style w:type="character" w:customStyle="1" w:styleId="31">
    <w:name w:val="linkspan"/>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PSZX</Company>
  <Pages>24</Pages>
  <Words>4540</Words>
  <Characters>4909</Characters>
  <Lines>118</Lines>
  <Paragraphs>33</Paragraphs>
  <TotalTime>0</TotalTime>
  <ScaleCrop>false</ScaleCrop>
  <LinksUpToDate>false</LinksUpToDate>
  <CharactersWithSpaces>4917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2019-05-29T03:06:00Z</dcterms:created>
  <dc:creator>陈萍</dc:creator>
  <cp:lastModifiedBy>未知</cp:lastModifiedBy>
  <cp:lastPrinted>2016-02-15T16:25:00Z</cp:lastPrinted>
  <dcterms:modified xsi:type="dcterms:W3CDTF">2025-10-20T07:44:52Z</dcterms:modified>
  <dc:title>区域性就业培训基地建设项目</dc:title>
  <cp:revision>663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A51A36801428E9B041879466C62AECE8</vt:lpwstr>
  </property>
  <property fmtid="{D5CDD505-2E9C-101B-9397-08002B2CF9AE}" pid="4" name="KSOTemplateDocerSaveRecord">
    <vt:lpwstr>eyJoZGlkIjoiY2I0MTdkNjMwM2ZiMzU5ZjNjYjRmZDAzY2NiZmQwMDEiLCJ1c2VySWQiOiI0NTE4MDU1NzIifQ==</vt:lpwstr>
  </property>
</Properties>
</file>