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ind w:firstLine="8160" w:firstLineChars="2550"/>
        <w:jc w:val="left"/>
        <w:rPr>
          <w:rFonts w:ascii="仿宋_GB2312" w:eastAsia="仿宋_GB2312" w:cs="仿宋_GB2312"/>
        </w:rPr>
      </w:pPr>
      <w:r>
        <w:rPr>
          <w:rFonts w:hint="eastAsia" w:ascii="仿宋_GB2312" w:hAnsi="宋体" w:eastAsia="仿宋_GB2312" w:cs="仿宋_GB2312"/>
          <w:sz w:val="32"/>
        </w:rPr>
        <w:t xml:space="preserve"> 附件9：</w:t>
      </w:r>
    </w:p>
    <w:p>
      <w:pPr>
        <w:widowControl/>
        <w:spacing w:line="580" w:lineRule="exact"/>
        <w:jc w:val="left"/>
        <w:rPr>
          <w:rFonts w:ascii="宋体" w:hAnsi="宋体" w:eastAsia="宋体" w:cs="宋体"/>
          <w:sz w:val="30"/>
          <w:szCs w:val="30"/>
        </w:rPr>
      </w:pPr>
    </w:p>
    <w:p>
      <w:pPr>
        <w:pStyle w:val="6"/>
        <w:widowControl/>
        <w:spacing w:line="580" w:lineRule="exact"/>
        <w:jc w:val="center"/>
        <w:rPr>
          <w:rFonts w:ascii="仿宋_GB2312" w:hAnsi="宋体" w:eastAsia="仿宋_GB2312" w:cs="仿宋_GB2312"/>
          <w:color w:val="auto"/>
          <w:kern w:val="2"/>
          <w:sz w:val="32"/>
          <w:szCs w:val="32"/>
        </w:rPr>
      </w:pPr>
      <w:r>
        <w:rPr>
          <w:rFonts w:hint="eastAsia" w:ascii="方正小标宋简体" w:hAnsi="宋体" w:eastAsia="方正小标宋简体" w:cs="方正小标宋简体"/>
          <w:sz w:val="44"/>
          <w:szCs w:val="44"/>
        </w:rPr>
        <w:t>项目支出绩效自评报告</w:t>
      </w:r>
    </w:p>
    <w:p>
      <w:pPr>
        <w:spacing w:line="580" w:lineRule="exact"/>
        <w:jc w:val="center"/>
        <w:rPr>
          <w:rFonts w:ascii="仿宋_GB2312" w:hAnsi="宋体" w:eastAsia="仿宋_GB2312" w:cs="仿宋_GB2312"/>
        </w:rPr>
      </w:pPr>
      <w:r>
        <w:rPr>
          <w:rFonts w:hint="eastAsia" w:ascii="仿宋_GB2312" w:hAnsi="宋体" w:eastAsia="仿宋_GB2312" w:cs="仿宋_GB2312"/>
          <w:sz w:val="32"/>
        </w:rPr>
        <w:t>（</w:t>
      </w:r>
      <w:r>
        <w:rPr>
          <w:rFonts w:hint="eastAsia" w:ascii="Times New Roman" w:hAnsi="宋体" w:eastAsia="仿宋_GB2312" w:cs="Times New Roman"/>
          <w:sz w:val="32"/>
        </w:rPr>
        <w:t>沙石多乡羊茸村安置点对岸不稳定斜坡</w:t>
      </w:r>
      <w:r>
        <w:rPr>
          <w:rFonts w:hint="eastAsia" w:ascii="Times New Roman" w:hAnsi="宋体" w:eastAsia="仿宋_GB2312" w:cs="仿宋_GB2312"/>
          <w:sz w:val="32"/>
        </w:rPr>
        <w:t>项目</w:t>
      </w:r>
      <w:r>
        <w:rPr>
          <w:rFonts w:hint="eastAsia" w:ascii="仿宋_GB2312" w:hAnsi="宋体" w:eastAsia="仿宋_GB2312" w:cs="仿宋_GB2312"/>
          <w:sz w:val="32"/>
        </w:rPr>
        <w:t>）</w:t>
      </w:r>
    </w:p>
    <w:p>
      <w:pPr>
        <w:pStyle w:val="6"/>
        <w:widowControl/>
        <w:spacing w:line="580" w:lineRule="exact"/>
        <w:jc w:val="center"/>
        <w:rPr>
          <w:rFonts w:ascii="宋体" w:hAnsi="宋体" w:cs="宋体"/>
          <w:color w:val="auto"/>
          <w:kern w:val="2"/>
          <w:sz w:val="32"/>
          <w:szCs w:val="32"/>
        </w:rPr>
      </w:pPr>
    </w:p>
    <w:p>
      <w:pPr>
        <w:pStyle w:val="9"/>
        <w:numPr>
          <w:ilvl w:val="0"/>
          <w:numId w:val="1"/>
        </w:numPr>
        <w:adjustRightInd w:val="0"/>
        <w:snapToGrid w:val="0"/>
        <w:spacing w:line="580" w:lineRule="exact"/>
        <w:ind w:firstLineChars="0"/>
        <w:rPr>
          <w:rFonts w:ascii="黑体" w:hAnsi="宋体" w:eastAsia="黑体" w:cs="黑体"/>
          <w:sz w:val="32"/>
          <w:lang w:val="zh-CN"/>
        </w:rPr>
      </w:pPr>
      <w:r>
        <w:rPr>
          <w:rFonts w:hint="eastAsia" w:ascii="黑体" w:hAnsi="宋体" w:eastAsia="黑体" w:cs="黑体"/>
          <w:sz w:val="32"/>
          <w:lang w:val="zh-CN"/>
        </w:rPr>
        <w:t>项目概况</w:t>
      </w:r>
    </w:p>
    <w:p>
      <w:pPr>
        <w:adjustRightInd w:val="0"/>
        <w:snapToGrid w:val="0"/>
        <w:spacing w:line="580" w:lineRule="exact"/>
        <w:ind w:firstLine="640" w:firstLineChars="200"/>
        <w:rPr>
          <w:rFonts w:ascii="黑体" w:hAnsi="宋体" w:eastAsia="黑体" w:cs="黑体"/>
          <w:sz w:val="32"/>
          <w:lang w:val="zh-CN"/>
        </w:rPr>
      </w:pPr>
      <w:r>
        <w:rPr>
          <w:rFonts w:hint="eastAsia" w:ascii="仿宋" w:hAnsi="仿宋" w:eastAsia="仿宋" w:cs="黑体"/>
          <w:sz w:val="32"/>
          <w:szCs w:val="32"/>
        </w:rPr>
        <w:t>沙石多乡羊茸村安置点对岸不稳定斜坡生态治理项目，主要修建防护堤、人工湖、停车场、观景台，2015年10月通过阿坝州公共资源交易中心公开招标，确定由甘肃地质工程有限责任公司施工，2016年3月开工、7月完工、12月验收。项目立项批复资金280.28万元（立项时不足部分自筹），合同价为191.78万元。根据黑水县财政局《关于下达2014年提前通知部分国家重点生态功能区转移支付资金的通知》（黑财预[2014]02945号）到位资金200万元。2016年在施工过程中按照县委县政府主要领导的现场办公要求，对该项目进行了重大调整、增加工程量，需要调整项目增量资金56.5233万元。</w:t>
      </w:r>
    </w:p>
    <w:p>
      <w:pPr>
        <w:tabs>
          <w:tab w:val="left" w:pos="3885"/>
        </w:tabs>
        <w:snapToGrid w:val="0"/>
        <w:spacing w:line="580" w:lineRule="exact"/>
        <w:ind w:left="319" w:leftChars="152" w:firstLine="643" w:firstLineChars="200"/>
        <w:jc w:val="left"/>
        <w:rPr>
          <w:rFonts w:ascii="仿宋" w:hAnsi="仿宋" w:eastAsia="仿宋" w:cs="黑体"/>
          <w:sz w:val="32"/>
          <w:szCs w:val="32"/>
        </w:rPr>
      </w:pPr>
      <w:r>
        <w:rPr>
          <w:rFonts w:hint="eastAsia" w:ascii="楷体_GB2312" w:hAnsi="宋体" w:eastAsia="楷体_GB2312" w:cs="楷体_GB2312"/>
          <w:b/>
          <w:sz w:val="32"/>
          <w:lang w:val="zh-CN"/>
        </w:rPr>
        <w:t>（一）项目资金申报及批复情况。</w:t>
      </w:r>
      <w:r>
        <w:rPr>
          <w:rFonts w:hint="eastAsia" w:ascii="仿宋" w:hAnsi="仿宋" w:eastAsia="仿宋" w:cs="黑体"/>
          <w:sz w:val="32"/>
          <w:szCs w:val="32"/>
        </w:rPr>
        <w:t>《黑水县国土资源局关于沙石多乡羊茸村安置点对岸不稳定斜坡生态治理项目工程增量调整资金的函》（黑国土资函[2017]145号）、《黑水县国土资源局关于增加沙石多乡羊茸村安置点对岸不稳定斜坡生态治理项目工程款的请示》（黑国土资[2017]73号）文件收到黑水县财政局2018年生态项目存量资金56.5233万元。</w:t>
      </w:r>
    </w:p>
    <w:p>
      <w:pPr>
        <w:tabs>
          <w:tab w:val="left" w:pos="3885"/>
        </w:tabs>
        <w:snapToGrid w:val="0"/>
        <w:spacing w:line="580" w:lineRule="exact"/>
        <w:ind w:left="319" w:leftChars="152" w:firstLine="482" w:firstLineChars="150"/>
        <w:jc w:val="left"/>
        <w:rPr>
          <w:rFonts w:ascii="黑体" w:hAnsi="宋体" w:eastAsia="黑体" w:cs="黑体"/>
          <w:sz w:val="32"/>
          <w:szCs w:val="21"/>
        </w:rPr>
      </w:pPr>
      <w:r>
        <w:rPr>
          <w:rFonts w:hint="eastAsia" w:ascii="楷体_GB2312" w:hAnsi="宋体" w:eastAsia="楷体_GB2312" w:cs="楷体_GB2312"/>
          <w:b/>
          <w:sz w:val="32"/>
          <w:lang w:val="zh-CN"/>
        </w:rPr>
        <w:t>（二）项目绩效目标。</w:t>
      </w:r>
      <w:r>
        <w:rPr>
          <w:rFonts w:hint="eastAsia" w:ascii="仿宋" w:hAnsi="仿宋" w:eastAsia="仿宋" w:cs="黑体"/>
          <w:sz w:val="32"/>
          <w:szCs w:val="32"/>
        </w:rPr>
        <w:t>沙石多乡羊茸村安置点对岸不稳定斜坡生态治理项目工程量增加项为：在河道左岸拱水坝上游增设一段挡墙，与新建防护挡墙衔接，长度86m;在河道右岸既有护坡挡墙掏蚀冲刷段增设一段三台阶梯式挡墙，第一台至第三台长度分别为55m、37m、27m；在河道右岸增设一段排污管，长度148m，排污管端头设置集污池，与既有的排污管道联通。</w:t>
      </w:r>
    </w:p>
    <w:p>
      <w:pPr>
        <w:adjustRightInd w:val="0"/>
        <w:snapToGrid w:val="0"/>
        <w:spacing w:line="580" w:lineRule="exact"/>
        <w:ind w:firstLine="720"/>
        <w:rPr>
          <w:rFonts w:ascii="仿宋" w:hAnsi="仿宋" w:eastAsia="仿宋" w:cs="黑体"/>
          <w:sz w:val="32"/>
          <w:szCs w:val="32"/>
        </w:rPr>
      </w:pPr>
      <w:r>
        <w:rPr>
          <w:rFonts w:hint="eastAsia" w:ascii="楷体_GB2312" w:hAnsi="宋体" w:eastAsia="楷体_GB2312" w:cs="楷体_GB2312"/>
          <w:b/>
          <w:sz w:val="32"/>
          <w:lang w:val="zh-CN"/>
        </w:rPr>
        <w:t>（三）项目资金申报相符性。</w:t>
      </w:r>
      <w:r>
        <w:rPr>
          <w:rFonts w:hint="eastAsia" w:ascii="仿宋" w:hAnsi="仿宋" w:eastAsia="仿宋" w:cs="黑体"/>
          <w:sz w:val="32"/>
          <w:szCs w:val="32"/>
        </w:rPr>
        <w:t>该项目申报内容与具体实施内容基本相符、申报目标合理可行。</w:t>
      </w:r>
    </w:p>
    <w:p>
      <w:pPr>
        <w:adjustRightInd w:val="0"/>
        <w:snapToGrid w:val="0"/>
        <w:spacing w:line="580" w:lineRule="exact"/>
        <w:ind w:firstLine="720"/>
        <w:rPr>
          <w:rFonts w:ascii="黑体" w:hAnsi="宋体" w:eastAsia="黑体" w:cs="黑体"/>
        </w:rPr>
      </w:pPr>
      <w:r>
        <w:rPr>
          <w:rFonts w:hint="eastAsia" w:ascii="黑体" w:hAnsi="宋体" w:eastAsia="黑体" w:cs="黑体"/>
          <w:sz w:val="32"/>
        </w:rPr>
        <w:t>二、项目实施及管理情况</w:t>
      </w:r>
    </w:p>
    <w:p>
      <w:pPr>
        <w:adjustRightInd w:val="0"/>
        <w:snapToGrid w:val="0"/>
        <w:spacing w:line="580" w:lineRule="exact"/>
        <w:ind w:firstLine="720"/>
        <w:rPr>
          <w:rFonts w:ascii="楷体_GB2312" w:hAnsi="宋体" w:eastAsia="楷体_GB2312" w:cs="楷体_GB2312"/>
          <w:b/>
          <w:lang w:val="zh-CN"/>
        </w:rPr>
      </w:pPr>
      <w:r>
        <w:rPr>
          <w:rFonts w:hint="eastAsia" w:ascii="仿宋_GB2312" w:hAnsi="宋体" w:eastAsia="仿宋_GB2312" w:cs="仿宋_GB2312"/>
          <w:sz w:val="32"/>
          <w:lang w:val="zh-CN"/>
        </w:rPr>
        <w:tab/>
      </w:r>
      <w:r>
        <w:rPr>
          <w:rFonts w:hint="eastAsia" w:ascii="楷体_GB2312" w:hAnsi="宋体" w:eastAsia="楷体_GB2312" w:cs="楷体_GB2312"/>
          <w:b/>
          <w:sz w:val="32"/>
          <w:lang w:val="zh-CN"/>
        </w:rPr>
        <w:t>（一）资金计划、到位及使用情况。</w:t>
      </w:r>
    </w:p>
    <w:p>
      <w:pPr>
        <w:adjustRightInd w:val="0"/>
        <w:snapToGrid w:val="0"/>
        <w:spacing w:line="580" w:lineRule="exact"/>
        <w:ind w:firstLine="720"/>
        <w:rPr>
          <w:rFonts w:ascii="仿宋" w:hAnsi="仿宋" w:eastAsia="仿宋" w:cs="黑体"/>
          <w:sz w:val="32"/>
          <w:szCs w:val="32"/>
        </w:rPr>
      </w:pPr>
      <w:r>
        <w:rPr>
          <w:rFonts w:hint="eastAsia" w:ascii="楷体_GB2312" w:hAnsi="宋体" w:eastAsia="楷体_GB2312" w:cs="楷体_GB2312"/>
          <w:sz w:val="32"/>
          <w:lang w:val="zh-CN"/>
        </w:rPr>
        <w:t>1．资金计划及到位。根</w:t>
      </w:r>
      <w:r>
        <w:rPr>
          <w:rFonts w:hint="eastAsia" w:ascii="仿宋" w:hAnsi="仿宋" w:eastAsia="仿宋" w:cs="黑体"/>
          <w:sz w:val="32"/>
          <w:szCs w:val="32"/>
        </w:rPr>
        <w:t>据州财政局《关于下达2014年提前通知部分国家重点生态功能区转移支付资金的通知》（阿州财预[2014]16号）文件下达资金200万元、十三届县人民政府第12次常务会议通过《关于增加沙石多乡羊茸村安置点对岸不稳定斜坡生态治理项目工程款的请示》，县财政局下达我局生态项目存量资金56.5233万元。</w:t>
      </w:r>
    </w:p>
    <w:p>
      <w:pPr>
        <w:adjustRightInd w:val="0"/>
        <w:snapToGrid w:val="0"/>
        <w:spacing w:line="580" w:lineRule="exact"/>
        <w:ind w:firstLine="720"/>
        <w:rPr>
          <w:rFonts w:ascii="楷体_GB2312" w:hAnsi="宋体" w:eastAsia="楷体_GB2312" w:cs="楷体_GB2312"/>
          <w:b/>
          <w:sz w:val="32"/>
          <w:lang w:val="zh-CN"/>
        </w:rPr>
      </w:pPr>
      <w:r>
        <w:rPr>
          <w:rFonts w:hint="eastAsia" w:ascii="楷体_GB2312" w:hAnsi="宋体" w:eastAsia="楷体_GB2312" w:cs="楷体_GB2312"/>
          <w:sz w:val="32"/>
          <w:lang w:val="zh-CN"/>
        </w:rPr>
        <w:t>2．资金使用。</w:t>
      </w:r>
      <w:r>
        <w:rPr>
          <w:rFonts w:hint="eastAsia" w:ascii="仿宋" w:hAnsi="仿宋" w:eastAsia="仿宋" w:cs="黑体"/>
          <w:sz w:val="32"/>
          <w:szCs w:val="32"/>
        </w:rPr>
        <w:t xml:space="preserve">该项目截止2019年7月已支付该项目勘察设计费10.8万元、环评费4万元、工程款154.12万元、电力线路改造费3万元、工程造价咨询服务费1.39万元、项目决算审计费0.48万元、监理费6.67万元、项目评审费0.3万元、工程结算审计费0.3万元；共计支付181.06万元。            </w:t>
      </w:r>
      <w:r>
        <w:rPr>
          <w:rFonts w:hint="eastAsia" w:ascii="楷体_GB2312" w:hAnsi="宋体" w:eastAsia="楷体_GB2312" w:cs="楷体_GB2312"/>
          <w:b/>
          <w:sz w:val="32"/>
          <w:lang w:val="zh-CN"/>
        </w:rPr>
        <w:t>（二） 项目财务管理情况。</w:t>
      </w:r>
    </w:p>
    <w:p>
      <w:pPr>
        <w:adjustRightInd w:val="0"/>
        <w:snapToGrid w:val="0"/>
        <w:spacing w:line="580" w:lineRule="exact"/>
        <w:ind w:firstLine="640" w:firstLineChars="200"/>
        <w:rPr>
          <w:rFonts w:ascii="仿宋" w:hAnsi="仿宋" w:eastAsia="仿宋" w:cs="黑体"/>
          <w:sz w:val="32"/>
          <w:szCs w:val="32"/>
        </w:rPr>
      </w:pPr>
      <w:r>
        <w:rPr>
          <w:rFonts w:hint="eastAsia" w:ascii="仿宋" w:hAnsi="仿宋" w:eastAsia="仿宋" w:cs="黑体"/>
          <w:sz w:val="32"/>
          <w:szCs w:val="32"/>
        </w:rPr>
        <w:t>贯彻执行国家和各级财政部门的有关法律法规和方针政策，根据《阿坝州省财政厅关于进一步加强国家重点生态功能区转移支付资金管理的指导意见》（川财预[2012]81号）文件要求，做好项目财务管理工作，加强工程项目资金的预算控制、监督分析和考核评价，及时处理账务，依法合规使用建设资金，县财政局全程监控工程进度和资金使用情况。</w:t>
      </w:r>
    </w:p>
    <w:p>
      <w:pPr>
        <w:adjustRightInd w:val="0"/>
        <w:snapToGrid w:val="0"/>
        <w:spacing w:line="580" w:lineRule="exact"/>
        <w:ind w:firstLine="720"/>
        <w:rPr>
          <w:rFonts w:ascii="仿宋_GB2312" w:hAnsi="宋体" w:eastAsia="仿宋_GB2312" w:cs="仿宋_GB2312"/>
          <w:lang w:val="zh-CN"/>
        </w:rPr>
      </w:pPr>
      <w:r>
        <w:rPr>
          <w:rFonts w:hint="eastAsia" w:ascii="黑体" w:hAnsi="宋体" w:eastAsia="黑体" w:cs="黑体"/>
          <w:sz w:val="32"/>
        </w:rPr>
        <w:t>四、项目绩效情况</w:t>
      </w:r>
      <w:r>
        <w:rPr>
          <w:rFonts w:hint="eastAsia" w:ascii="仿宋_GB2312" w:hAnsi="宋体" w:eastAsia="仿宋_GB2312" w:cs="仿宋_GB2312"/>
          <w:sz w:val="32"/>
          <w:lang w:val="zh-CN"/>
        </w:rPr>
        <w:tab/>
      </w:r>
    </w:p>
    <w:p>
      <w:pPr>
        <w:adjustRightInd w:val="0"/>
        <w:snapToGrid w:val="0"/>
        <w:spacing w:line="580" w:lineRule="exact"/>
        <w:ind w:firstLine="720"/>
        <w:rPr>
          <w:rFonts w:ascii="楷体_GB2312" w:hAnsi="宋体" w:eastAsia="楷体_GB2312" w:cs="楷体_GB2312"/>
          <w:b/>
          <w:lang w:val="zh-CN"/>
        </w:rPr>
      </w:pPr>
      <w:r>
        <w:rPr>
          <w:rFonts w:hint="eastAsia" w:ascii="楷体_GB2312" w:hAnsi="宋体" w:eastAsia="楷体_GB2312" w:cs="楷体_GB2312"/>
          <w:b/>
          <w:sz w:val="32"/>
          <w:lang w:val="zh-CN"/>
        </w:rPr>
        <w:t>（一）项目完成情况。</w:t>
      </w:r>
    </w:p>
    <w:p>
      <w:pPr>
        <w:adjustRightInd w:val="0"/>
        <w:snapToGrid w:val="0"/>
        <w:spacing w:line="580" w:lineRule="exact"/>
        <w:rPr>
          <w:rFonts w:hint="eastAsia" w:ascii="楷体_GB2312" w:hAnsi="宋体" w:eastAsia="仿宋" w:cs="楷体_GB2312"/>
          <w:b/>
          <w:sz w:val="32"/>
          <w:lang w:val="en-US" w:eastAsia="zh-CN"/>
        </w:rPr>
      </w:pPr>
      <w:r>
        <w:rPr>
          <w:rFonts w:hint="eastAsia" w:ascii="楷体_GB2312" w:hAnsi="宋体" w:eastAsia="楷体_GB2312" w:cs="楷体_GB2312"/>
          <w:b/>
          <w:sz w:val="32"/>
          <w:lang w:val="en-US" w:eastAsia="zh-CN"/>
        </w:rPr>
        <w:t xml:space="preserve">     </w:t>
      </w:r>
      <w:r>
        <w:rPr>
          <w:rFonts w:hint="eastAsia" w:ascii="仿宋" w:hAnsi="仿宋" w:eastAsia="仿宋" w:cs="黑体"/>
          <w:sz w:val="32"/>
          <w:szCs w:val="32"/>
          <w:lang w:val="en-US" w:eastAsia="zh-CN"/>
        </w:rPr>
        <w:t>该项目于2015年施工，2016年完工，由于项目增量，</w:t>
      </w:r>
      <w:r>
        <w:rPr>
          <w:rFonts w:hint="eastAsia" w:ascii="仿宋" w:hAnsi="仿宋" w:eastAsia="仿宋" w:cs="黑体"/>
          <w:sz w:val="32"/>
          <w:szCs w:val="32"/>
        </w:rPr>
        <w:t>需要调整项目增量资金</w:t>
      </w:r>
      <w:r>
        <w:rPr>
          <w:rFonts w:hint="eastAsia" w:ascii="仿宋" w:hAnsi="仿宋" w:eastAsia="仿宋" w:cs="黑体"/>
          <w:sz w:val="32"/>
          <w:szCs w:val="32"/>
          <w:lang w:eastAsia="zh-CN"/>
        </w:rPr>
        <w:t>，目前该项目已全面完工，完成资金拨付。</w:t>
      </w:r>
    </w:p>
    <w:p>
      <w:pPr>
        <w:adjustRightInd w:val="0"/>
        <w:snapToGrid w:val="0"/>
        <w:spacing w:line="580" w:lineRule="exact"/>
        <w:ind w:firstLine="720"/>
        <w:rPr>
          <w:rFonts w:ascii="楷体_GB2312" w:hAnsi="宋体" w:eastAsia="楷体_GB2312" w:cs="楷体_GB2312"/>
          <w:b/>
          <w:lang w:val="zh-CN"/>
        </w:rPr>
      </w:pPr>
      <w:r>
        <w:rPr>
          <w:rFonts w:hint="eastAsia" w:ascii="楷体_GB2312" w:hAnsi="宋体" w:eastAsia="楷体_GB2312" w:cs="楷体_GB2312"/>
          <w:b/>
          <w:sz w:val="32"/>
          <w:lang w:val="zh-CN"/>
        </w:rPr>
        <w:t>（二）项目效益情况。</w:t>
      </w:r>
    </w:p>
    <w:p>
      <w:pPr>
        <w:ind w:firstLine="640" w:firstLineChars="200"/>
        <w:rPr>
          <w:rFonts w:ascii="仿宋_GB2312" w:hAnsi="宋体" w:eastAsia="仿宋_GB2312" w:cs="仿宋_GB2312"/>
          <w:lang w:val="zh-CN"/>
        </w:rPr>
      </w:pPr>
      <w:r>
        <w:rPr>
          <w:rFonts w:hint="eastAsia" w:ascii="仿宋" w:hAnsi="仿宋" w:eastAsia="仿宋"/>
          <w:sz w:val="32"/>
          <w:szCs w:val="32"/>
        </w:rPr>
        <w:t>该项目建成后，维护国家生态安全，加强生态环境保护，提高公共服务极力，促进经济社会可持续发展，促进了黑水县社会经济的发展效益。</w:t>
      </w:r>
    </w:p>
    <w:p>
      <w:pPr>
        <w:adjustRightInd w:val="0"/>
        <w:snapToGrid w:val="0"/>
        <w:spacing w:line="580" w:lineRule="exact"/>
        <w:ind w:firstLine="720"/>
        <w:rPr>
          <w:rFonts w:ascii="黑体" w:hAnsi="宋体" w:eastAsia="黑体" w:cs="黑体"/>
        </w:rPr>
      </w:pPr>
      <w:r>
        <w:rPr>
          <w:rFonts w:hint="eastAsia" w:ascii="黑体" w:hAnsi="宋体" w:eastAsia="黑体" w:cs="黑体"/>
          <w:sz w:val="32"/>
        </w:rPr>
        <w:t>五、问题及建议</w:t>
      </w:r>
    </w:p>
    <w:p>
      <w:pPr>
        <w:adjustRightInd w:val="0"/>
        <w:snapToGrid w:val="0"/>
        <w:spacing w:line="580" w:lineRule="exact"/>
        <w:ind w:firstLine="720"/>
        <w:rPr>
          <w:rFonts w:ascii="楷体_GB2312" w:hAnsi="宋体" w:eastAsia="楷体_GB2312" w:cs="楷体_GB2312"/>
          <w:b/>
          <w:lang w:val="zh-CN"/>
        </w:rPr>
      </w:pPr>
      <w:r>
        <w:rPr>
          <w:rFonts w:hint="eastAsia" w:ascii="楷体_GB2312" w:hAnsi="宋体" w:eastAsia="楷体_GB2312" w:cs="楷体_GB2312"/>
          <w:b/>
          <w:sz w:val="32"/>
          <w:lang w:val="zh-CN"/>
        </w:rPr>
        <w:t>（一）存在的问题。无</w:t>
      </w:r>
      <w:bookmarkStart w:id="0" w:name="_GoBack"/>
      <w:bookmarkEnd w:id="0"/>
    </w:p>
    <w:p>
      <w:pPr>
        <w:spacing w:line="580" w:lineRule="exact"/>
        <w:ind w:firstLine="643" w:firstLineChars="200"/>
        <w:rPr>
          <w:rFonts w:ascii="黑体" w:hAnsi="宋体" w:eastAsia="黑体" w:cs="黑体"/>
          <w:b/>
          <w:bCs/>
          <w:color w:val="auto"/>
          <w:sz w:val="30"/>
          <w:szCs w:val="30"/>
        </w:rPr>
      </w:pPr>
      <w:r>
        <w:rPr>
          <w:rFonts w:hint="eastAsia" w:ascii="楷体_GB2312" w:hAnsi="宋体" w:eastAsia="楷体_GB2312" w:cs="楷体_GB2312"/>
          <w:b/>
          <w:sz w:val="32"/>
          <w:lang w:val="zh-CN"/>
        </w:rPr>
        <w:t>（二）相关建议。</w:t>
      </w:r>
      <w:r>
        <w:rPr>
          <w:rFonts w:hint="eastAsia" w:ascii="仿宋_GB2312" w:hAnsi="宋体" w:eastAsia="仿宋_GB2312" w:cs="仿宋_GB2312"/>
          <w:b/>
          <w:bCs/>
          <w:color w:val="auto"/>
          <w:sz w:val="32"/>
          <w:lang w:val="zh-CN"/>
        </w:rPr>
        <w:t>无</w:t>
      </w:r>
    </w:p>
    <w:p>
      <w:pPr>
        <w:spacing w:line="580" w:lineRule="exact"/>
        <w:rPr>
          <w:rFonts w:ascii="黑体" w:hAnsi="宋体" w:eastAsia="黑体" w:cs="黑体"/>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95B93"/>
    <w:multiLevelType w:val="multilevel"/>
    <w:tmpl w:val="70F95B93"/>
    <w:lvl w:ilvl="0" w:tentative="0">
      <w:start w:val="1"/>
      <w:numFmt w:val="japaneseCounting"/>
      <w:lvlText w:val="%1、"/>
      <w:lvlJc w:val="left"/>
      <w:pPr>
        <w:ind w:left="1380" w:hanging="6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DC17E9F"/>
    <w:rsid w:val="00171B7A"/>
    <w:rsid w:val="001A2D62"/>
    <w:rsid w:val="001E2186"/>
    <w:rsid w:val="002179DF"/>
    <w:rsid w:val="00225B67"/>
    <w:rsid w:val="00233C0B"/>
    <w:rsid w:val="00277CEB"/>
    <w:rsid w:val="00310A61"/>
    <w:rsid w:val="00343894"/>
    <w:rsid w:val="00407E02"/>
    <w:rsid w:val="004201C8"/>
    <w:rsid w:val="004425EA"/>
    <w:rsid w:val="004A1B72"/>
    <w:rsid w:val="004E7DC9"/>
    <w:rsid w:val="0053230C"/>
    <w:rsid w:val="00566C81"/>
    <w:rsid w:val="006643FE"/>
    <w:rsid w:val="00690EAB"/>
    <w:rsid w:val="006D306E"/>
    <w:rsid w:val="00736E9A"/>
    <w:rsid w:val="007407D1"/>
    <w:rsid w:val="0075592C"/>
    <w:rsid w:val="00785984"/>
    <w:rsid w:val="008304B2"/>
    <w:rsid w:val="009A1E28"/>
    <w:rsid w:val="009D4EF1"/>
    <w:rsid w:val="00A02954"/>
    <w:rsid w:val="00A12D83"/>
    <w:rsid w:val="00A20DE6"/>
    <w:rsid w:val="00A2312A"/>
    <w:rsid w:val="00AA2D19"/>
    <w:rsid w:val="00AE5A63"/>
    <w:rsid w:val="00C60411"/>
    <w:rsid w:val="00DC5EC4"/>
    <w:rsid w:val="00DD5D31"/>
    <w:rsid w:val="00DF70E5"/>
    <w:rsid w:val="00E359DE"/>
    <w:rsid w:val="00E411AC"/>
    <w:rsid w:val="00E96D24"/>
    <w:rsid w:val="00F2199F"/>
    <w:rsid w:val="0DC17E9F"/>
    <w:rsid w:val="0ED93C3B"/>
    <w:rsid w:val="0F0C0CF5"/>
    <w:rsid w:val="5C9846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四号正文"/>
    <w:basedOn w:val="1"/>
    <w:qFormat/>
    <w:uiPriority w:val="0"/>
    <w:pPr>
      <w:spacing w:line="360" w:lineRule="auto"/>
    </w:pPr>
    <w:rPr>
      <w:rFonts w:ascii="??" w:hAnsi="??" w:eastAsia="宋体" w:cs="Times New Roman"/>
      <w:color w:val="000000"/>
      <w:kern w:val="0"/>
      <w:sz w:val="28"/>
      <w:szCs w:val="21"/>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238</Words>
  <Characters>1360</Characters>
  <Lines>11</Lines>
  <Paragraphs>3</Paragraphs>
  <TotalTime>0</TotalTime>
  <ScaleCrop>false</ScaleCrop>
  <LinksUpToDate>false</LinksUpToDate>
  <CharactersWithSpaces>1595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2019-07-08T03:07:00Z</dcterms:created>
  <dc:creator>Administrator</dc:creator>
  <cp:lastModifiedBy>白萍</cp:lastModifiedBy>
  <dcterms:modified xsi:type="dcterms:W3CDTF">2020-08-13T03:32:29Z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