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2B" w:rsidRDefault="005619AC">
      <w:pPr>
        <w:widowControl/>
        <w:spacing w:line="580" w:lineRule="exact"/>
        <w:ind w:firstLineChars="2550" w:firstLine="8160"/>
        <w:jc w:val="left"/>
        <w:rPr>
          <w:rFonts w:ascii="仿宋_GB2312" w:eastAsia="仿宋_GB2312" w:cs="仿宋_GB2312"/>
        </w:rPr>
      </w:pPr>
      <w:r>
        <w:rPr>
          <w:rFonts w:ascii="仿宋_GB2312" w:eastAsia="仿宋_GB2312" w:hAnsi="宋体" w:cs="仿宋_GB2312" w:hint="eastAsia"/>
          <w:sz w:val="32"/>
        </w:rPr>
        <w:t xml:space="preserve"> </w:t>
      </w:r>
      <w:r>
        <w:rPr>
          <w:rFonts w:ascii="仿宋_GB2312" w:eastAsia="仿宋_GB2312" w:hAnsi="宋体" w:cs="仿宋_GB2312" w:hint="eastAsia"/>
          <w:sz w:val="32"/>
        </w:rPr>
        <w:t>附件</w:t>
      </w:r>
      <w:r>
        <w:rPr>
          <w:rFonts w:ascii="仿宋_GB2312" w:eastAsia="仿宋_GB2312" w:hAnsi="宋体" w:cs="仿宋_GB2312" w:hint="eastAsia"/>
          <w:sz w:val="32"/>
        </w:rPr>
        <w:t>9</w:t>
      </w:r>
      <w:r>
        <w:rPr>
          <w:rFonts w:ascii="仿宋_GB2312" w:eastAsia="仿宋_GB2312" w:hAnsi="宋体" w:cs="仿宋_GB2312" w:hint="eastAsia"/>
          <w:sz w:val="32"/>
        </w:rPr>
        <w:t>：</w:t>
      </w:r>
    </w:p>
    <w:p w:rsidR="00132B2B" w:rsidRDefault="00132B2B">
      <w:pPr>
        <w:widowControl/>
        <w:spacing w:line="580" w:lineRule="exact"/>
        <w:jc w:val="left"/>
        <w:rPr>
          <w:rFonts w:ascii="宋体" w:eastAsia="宋体" w:hAnsi="宋体" w:cs="宋体"/>
          <w:sz w:val="30"/>
          <w:szCs w:val="30"/>
        </w:rPr>
      </w:pPr>
    </w:p>
    <w:p w:rsidR="00132B2B" w:rsidRDefault="005619AC">
      <w:pPr>
        <w:pStyle w:val="a5"/>
        <w:widowControl/>
        <w:spacing w:line="580" w:lineRule="exact"/>
        <w:jc w:val="center"/>
        <w:rPr>
          <w:rFonts w:ascii="仿宋_GB2312" w:eastAsia="仿宋_GB2312" w:hAnsi="宋体" w:cs="仿宋_GB2312"/>
          <w:color w:val="auto"/>
          <w:kern w:val="2"/>
          <w:sz w:val="32"/>
          <w:szCs w:val="32"/>
        </w:rPr>
      </w:pPr>
      <w:r>
        <w:rPr>
          <w:rFonts w:ascii="方正小标宋简体" w:eastAsia="方正小标宋简体" w:hAnsi="宋体" w:cs="方正小标宋简体" w:hint="eastAsia"/>
          <w:sz w:val="44"/>
          <w:szCs w:val="44"/>
        </w:rPr>
        <w:t>项目支出绩效自评报告</w:t>
      </w:r>
    </w:p>
    <w:p w:rsidR="00132B2B" w:rsidRDefault="005619AC">
      <w:pPr>
        <w:spacing w:line="580" w:lineRule="exact"/>
        <w:jc w:val="center"/>
        <w:rPr>
          <w:rFonts w:ascii="仿宋_GB2312" w:eastAsia="仿宋_GB2312" w:hAnsi="宋体" w:cs="仿宋_GB2312"/>
        </w:rPr>
      </w:pPr>
      <w:r>
        <w:rPr>
          <w:rFonts w:ascii="仿宋_GB2312" w:eastAsia="仿宋_GB2312" w:hAnsi="宋体" w:cs="仿宋_GB2312" w:hint="eastAsia"/>
          <w:sz w:val="32"/>
        </w:rPr>
        <w:t>（</w:t>
      </w:r>
      <w:r>
        <w:rPr>
          <w:rFonts w:ascii="Times New Roman" w:eastAsia="仿宋_GB2312" w:hAnsi="宋体" w:cs="Times New Roman" w:hint="eastAsia"/>
          <w:sz w:val="32"/>
        </w:rPr>
        <w:t>黑水县自然资源局</w:t>
      </w:r>
      <w:r>
        <w:rPr>
          <w:rFonts w:ascii="Times New Roman" w:eastAsia="仿宋_GB2312" w:hAnsi="宋体" w:cs="Times New Roman" w:hint="eastAsia"/>
          <w:sz w:val="32"/>
        </w:rPr>
        <w:t>2019</w:t>
      </w:r>
      <w:r>
        <w:rPr>
          <w:rFonts w:ascii="Times New Roman" w:eastAsia="仿宋_GB2312" w:hAnsi="宋体" w:cs="Times New Roman" w:hint="eastAsia"/>
          <w:sz w:val="32"/>
        </w:rPr>
        <w:t>年群测群防专职监测补助资金</w:t>
      </w:r>
      <w:r>
        <w:rPr>
          <w:rFonts w:ascii="仿宋_GB2312" w:eastAsia="仿宋_GB2312" w:hAnsi="宋体" w:cs="仿宋_GB2312" w:hint="eastAsia"/>
          <w:sz w:val="32"/>
        </w:rPr>
        <w:t>）</w:t>
      </w:r>
    </w:p>
    <w:p w:rsidR="00132B2B" w:rsidRDefault="00132B2B">
      <w:pPr>
        <w:pStyle w:val="a5"/>
        <w:widowControl/>
        <w:spacing w:line="580" w:lineRule="exact"/>
        <w:jc w:val="center"/>
        <w:rPr>
          <w:rFonts w:ascii="宋体" w:hAnsi="宋体" w:cs="宋体"/>
          <w:color w:val="auto"/>
          <w:kern w:val="2"/>
          <w:sz w:val="32"/>
          <w:szCs w:val="32"/>
        </w:rPr>
      </w:pPr>
    </w:p>
    <w:p w:rsidR="00132B2B" w:rsidRDefault="005619AC">
      <w:pPr>
        <w:pStyle w:val="a6"/>
        <w:numPr>
          <w:ilvl w:val="0"/>
          <w:numId w:val="1"/>
        </w:numPr>
        <w:adjustRightInd w:val="0"/>
        <w:snapToGrid w:val="0"/>
        <w:spacing w:line="580" w:lineRule="exact"/>
        <w:ind w:firstLineChars="0"/>
        <w:rPr>
          <w:rFonts w:ascii="黑体" w:eastAsia="黑体" w:hAnsi="宋体" w:cs="黑体"/>
          <w:sz w:val="32"/>
          <w:lang w:val="zh-CN"/>
        </w:rPr>
      </w:pPr>
      <w:r>
        <w:rPr>
          <w:rFonts w:ascii="黑体" w:eastAsia="黑体" w:hAnsi="宋体" w:cs="黑体" w:hint="eastAsia"/>
          <w:sz w:val="32"/>
          <w:lang w:val="zh-CN"/>
        </w:rPr>
        <w:t>项目概况</w:t>
      </w:r>
    </w:p>
    <w:p w:rsidR="00132B2B" w:rsidRDefault="005619AC">
      <w:pPr>
        <w:tabs>
          <w:tab w:val="left" w:pos="3885"/>
        </w:tabs>
        <w:snapToGrid w:val="0"/>
        <w:spacing w:line="580" w:lineRule="exact"/>
        <w:ind w:leftChars="152" w:left="319" w:firstLineChars="200" w:firstLine="643"/>
        <w:jc w:val="left"/>
        <w:rPr>
          <w:rFonts w:ascii="仿宋" w:eastAsia="仿宋" w:hAnsi="仿宋" w:cs="黑体"/>
          <w:sz w:val="32"/>
          <w:szCs w:val="32"/>
        </w:rPr>
      </w:pPr>
      <w:r>
        <w:rPr>
          <w:rFonts w:ascii="楷体_GB2312" w:eastAsia="楷体_GB2312" w:hAnsi="宋体" w:cs="楷体_GB2312" w:hint="eastAsia"/>
          <w:b/>
          <w:sz w:val="32"/>
          <w:lang w:val="zh-CN"/>
        </w:rPr>
        <w:t>（一）项目资金申报及批复情况。</w:t>
      </w:r>
      <w:r>
        <w:rPr>
          <w:rFonts w:ascii="仿宋" w:eastAsia="仿宋" w:hAnsi="仿宋" w:cs="黑体" w:hint="eastAsia"/>
          <w:sz w:val="32"/>
          <w:szCs w:val="32"/>
        </w:rPr>
        <w:t>根据《</w:t>
      </w:r>
      <w:r>
        <w:rPr>
          <w:rFonts w:ascii="仿宋" w:eastAsia="仿宋" w:hAnsi="仿宋" w:cs="黑体" w:hint="eastAsia"/>
          <w:sz w:val="32"/>
          <w:szCs w:val="32"/>
        </w:rPr>
        <w:t>阿坝州财政局关于下达</w:t>
      </w:r>
      <w:r>
        <w:rPr>
          <w:rFonts w:ascii="仿宋" w:eastAsia="仿宋" w:hAnsi="仿宋" w:cs="黑体" w:hint="eastAsia"/>
          <w:sz w:val="32"/>
          <w:szCs w:val="32"/>
        </w:rPr>
        <w:t>2019</w:t>
      </w:r>
      <w:r>
        <w:rPr>
          <w:rFonts w:ascii="仿宋" w:eastAsia="仿宋" w:hAnsi="仿宋" w:cs="黑体" w:hint="eastAsia"/>
          <w:sz w:val="32"/>
          <w:szCs w:val="32"/>
        </w:rPr>
        <w:t>年地质灾害综合防治体系建设省级补助资金的通知</w:t>
      </w:r>
      <w:r>
        <w:rPr>
          <w:rFonts w:ascii="仿宋" w:eastAsia="仿宋" w:hAnsi="仿宋" w:cs="黑体" w:hint="eastAsia"/>
          <w:sz w:val="32"/>
          <w:szCs w:val="32"/>
        </w:rPr>
        <w:t>》（</w:t>
      </w:r>
      <w:r>
        <w:rPr>
          <w:rFonts w:ascii="仿宋" w:eastAsia="仿宋" w:hAnsi="仿宋" w:cs="黑体" w:hint="eastAsia"/>
          <w:sz w:val="32"/>
          <w:szCs w:val="32"/>
        </w:rPr>
        <w:t>阿州</w:t>
      </w:r>
      <w:r>
        <w:rPr>
          <w:rFonts w:ascii="仿宋" w:eastAsia="仿宋" w:hAnsi="仿宋" w:cs="黑体" w:hint="eastAsia"/>
          <w:sz w:val="32"/>
          <w:szCs w:val="32"/>
        </w:rPr>
        <w:t>财</w:t>
      </w:r>
      <w:r>
        <w:rPr>
          <w:rFonts w:ascii="仿宋" w:eastAsia="仿宋" w:hAnsi="仿宋" w:cs="黑体" w:hint="eastAsia"/>
          <w:sz w:val="32"/>
          <w:szCs w:val="32"/>
        </w:rPr>
        <w:t>投</w:t>
      </w:r>
      <w:r>
        <w:rPr>
          <w:rFonts w:ascii="仿宋" w:eastAsia="仿宋" w:hAnsi="仿宋" w:cs="黑体" w:hint="eastAsia"/>
          <w:sz w:val="32"/>
          <w:szCs w:val="32"/>
        </w:rPr>
        <w:t>[201</w:t>
      </w:r>
      <w:r>
        <w:rPr>
          <w:rFonts w:ascii="仿宋" w:eastAsia="仿宋" w:hAnsi="仿宋" w:cs="黑体" w:hint="eastAsia"/>
          <w:sz w:val="32"/>
          <w:szCs w:val="32"/>
        </w:rPr>
        <w:t>9</w:t>
      </w:r>
      <w:r>
        <w:rPr>
          <w:rFonts w:ascii="仿宋" w:eastAsia="仿宋" w:hAnsi="仿宋" w:cs="黑体" w:hint="eastAsia"/>
          <w:sz w:val="32"/>
          <w:szCs w:val="32"/>
        </w:rPr>
        <w:t>]</w:t>
      </w:r>
      <w:r>
        <w:rPr>
          <w:rFonts w:ascii="仿宋" w:eastAsia="仿宋" w:hAnsi="仿宋" w:cs="黑体" w:hint="eastAsia"/>
          <w:sz w:val="32"/>
          <w:szCs w:val="32"/>
        </w:rPr>
        <w:t>3</w:t>
      </w:r>
      <w:r>
        <w:rPr>
          <w:rFonts w:ascii="仿宋" w:eastAsia="仿宋" w:hAnsi="仿宋" w:cs="黑体" w:hint="eastAsia"/>
          <w:sz w:val="32"/>
          <w:szCs w:val="32"/>
        </w:rPr>
        <w:t>号）</w:t>
      </w:r>
      <w:r>
        <w:rPr>
          <w:rFonts w:ascii="仿宋" w:eastAsia="仿宋" w:hAnsi="仿宋" w:cs="黑体" w:hint="eastAsia"/>
          <w:sz w:val="32"/>
          <w:szCs w:val="32"/>
        </w:rPr>
        <w:t>收到</w:t>
      </w:r>
      <w:r>
        <w:rPr>
          <w:rFonts w:ascii="仿宋" w:eastAsia="仿宋" w:hAnsi="仿宋" w:cs="黑体" w:hint="eastAsia"/>
          <w:sz w:val="32"/>
          <w:szCs w:val="32"/>
        </w:rPr>
        <w:t>2019</w:t>
      </w:r>
      <w:r>
        <w:rPr>
          <w:rFonts w:ascii="仿宋" w:eastAsia="仿宋" w:hAnsi="仿宋" w:cs="黑体" w:hint="eastAsia"/>
          <w:sz w:val="32"/>
          <w:szCs w:val="32"/>
        </w:rPr>
        <w:t>年群测群防专职监测补助资金</w:t>
      </w:r>
      <w:r>
        <w:rPr>
          <w:rFonts w:ascii="仿宋" w:eastAsia="仿宋" w:hAnsi="仿宋" w:cs="黑体" w:hint="eastAsia"/>
          <w:sz w:val="32"/>
          <w:szCs w:val="32"/>
        </w:rPr>
        <w:t>93.</w:t>
      </w:r>
      <w:r w:rsidR="00917803">
        <w:rPr>
          <w:rFonts w:ascii="仿宋" w:eastAsia="仿宋" w:hAnsi="仿宋" w:cs="黑体" w:hint="eastAsia"/>
          <w:sz w:val="32"/>
          <w:szCs w:val="32"/>
        </w:rPr>
        <w:t>6</w:t>
      </w:r>
      <w:r>
        <w:rPr>
          <w:rFonts w:ascii="仿宋" w:eastAsia="仿宋" w:hAnsi="仿宋" w:cs="黑体" w:hint="eastAsia"/>
          <w:sz w:val="32"/>
          <w:szCs w:val="32"/>
        </w:rPr>
        <w:t>万元，隐患点</w:t>
      </w:r>
      <w:r>
        <w:rPr>
          <w:rFonts w:ascii="仿宋" w:eastAsia="仿宋" w:hAnsi="仿宋" w:cs="黑体" w:hint="eastAsia"/>
          <w:sz w:val="32"/>
          <w:szCs w:val="32"/>
        </w:rPr>
        <w:t>260</w:t>
      </w:r>
      <w:r>
        <w:rPr>
          <w:rFonts w:ascii="仿宋" w:eastAsia="仿宋" w:hAnsi="仿宋" w:cs="黑体" w:hint="eastAsia"/>
          <w:sz w:val="32"/>
          <w:szCs w:val="32"/>
        </w:rPr>
        <w:t>处，每处资金补助</w:t>
      </w:r>
      <w:r>
        <w:rPr>
          <w:rFonts w:ascii="仿宋" w:eastAsia="仿宋" w:hAnsi="仿宋" w:cs="黑体" w:hint="eastAsia"/>
          <w:sz w:val="32"/>
          <w:szCs w:val="32"/>
        </w:rPr>
        <w:t>0.36</w:t>
      </w:r>
      <w:r>
        <w:rPr>
          <w:rFonts w:ascii="仿宋" w:eastAsia="仿宋" w:hAnsi="仿宋" w:cs="黑体" w:hint="eastAsia"/>
          <w:sz w:val="32"/>
          <w:szCs w:val="32"/>
        </w:rPr>
        <w:t>万元。</w:t>
      </w:r>
    </w:p>
    <w:p w:rsidR="00132B2B" w:rsidRDefault="005619AC">
      <w:pPr>
        <w:tabs>
          <w:tab w:val="left" w:pos="3885"/>
        </w:tabs>
        <w:snapToGrid w:val="0"/>
        <w:spacing w:line="580" w:lineRule="exact"/>
        <w:ind w:leftChars="152" w:left="319" w:firstLineChars="150" w:firstLine="482"/>
        <w:jc w:val="left"/>
        <w:rPr>
          <w:rFonts w:ascii="楷体_GB2312" w:eastAsia="楷体_GB2312" w:hAnsi="宋体" w:cs="楷体_GB2312"/>
          <w:b/>
          <w:sz w:val="32"/>
          <w:lang w:val="zh-CN"/>
        </w:rPr>
      </w:pPr>
      <w:r>
        <w:rPr>
          <w:rFonts w:ascii="楷体_GB2312" w:eastAsia="楷体_GB2312" w:hAnsi="宋体" w:cs="楷体_GB2312" w:hint="eastAsia"/>
          <w:b/>
          <w:sz w:val="32"/>
          <w:lang w:val="zh-CN"/>
        </w:rPr>
        <w:t>（二）项目绩效目标。</w:t>
      </w:r>
    </w:p>
    <w:p w:rsidR="00132B2B" w:rsidRDefault="005619AC">
      <w:pPr>
        <w:tabs>
          <w:tab w:val="left" w:pos="3885"/>
        </w:tabs>
        <w:snapToGrid w:val="0"/>
        <w:spacing w:line="580" w:lineRule="exact"/>
        <w:ind w:leftChars="152" w:left="319" w:firstLineChars="150" w:firstLine="480"/>
        <w:jc w:val="left"/>
        <w:rPr>
          <w:rFonts w:ascii="仿宋" w:eastAsia="仿宋" w:hAnsi="仿宋" w:cs="黑体"/>
          <w:sz w:val="32"/>
          <w:szCs w:val="32"/>
        </w:rPr>
      </w:pPr>
      <w:r>
        <w:rPr>
          <w:rFonts w:ascii="仿宋" w:eastAsia="仿宋" w:hAnsi="仿宋" w:cs="黑体" w:hint="eastAsia"/>
          <w:sz w:val="32"/>
          <w:szCs w:val="32"/>
          <w:lang w:val="zh-CN"/>
        </w:rPr>
        <w:t>该项目为黑水县</w:t>
      </w:r>
      <w:r>
        <w:rPr>
          <w:rFonts w:ascii="仿宋" w:eastAsia="仿宋" w:hAnsi="仿宋" w:cs="黑体" w:hint="eastAsia"/>
          <w:sz w:val="32"/>
          <w:szCs w:val="32"/>
        </w:rPr>
        <w:t>2019</w:t>
      </w:r>
      <w:r>
        <w:rPr>
          <w:rFonts w:ascii="仿宋" w:eastAsia="仿宋" w:hAnsi="仿宋" w:cs="黑体" w:hint="eastAsia"/>
          <w:sz w:val="32"/>
          <w:szCs w:val="32"/>
        </w:rPr>
        <w:t>年群测群防专职监测补助资金</w:t>
      </w:r>
      <w:r>
        <w:rPr>
          <w:rFonts w:ascii="仿宋" w:eastAsia="仿宋" w:hAnsi="仿宋" w:cs="黑体" w:hint="eastAsia"/>
          <w:sz w:val="32"/>
          <w:szCs w:val="32"/>
          <w:lang w:val="zh-CN"/>
        </w:rPr>
        <w:t>，主要内容是对全县每处隐患点进行专职监测人员补助资金，将资金切实落实在每一个监测人员上。</w:t>
      </w:r>
    </w:p>
    <w:p w:rsidR="00132B2B" w:rsidRDefault="005619AC">
      <w:pPr>
        <w:numPr>
          <w:ilvl w:val="0"/>
          <w:numId w:val="2"/>
        </w:numPr>
        <w:adjustRightInd w:val="0"/>
        <w:snapToGrid w:val="0"/>
        <w:spacing w:line="580" w:lineRule="exact"/>
        <w:ind w:firstLine="720"/>
        <w:rPr>
          <w:rFonts w:ascii="楷体_GB2312" w:eastAsia="楷体_GB2312" w:hAnsi="宋体" w:cs="楷体_GB2312"/>
          <w:b/>
          <w:sz w:val="32"/>
          <w:lang w:val="zh-CN"/>
        </w:rPr>
      </w:pPr>
      <w:r>
        <w:rPr>
          <w:rFonts w:ascii="楷体_GB2312" w:eastAsia="楷体_GB2312" w:hAnsi="宋体" w:cs="楷体_GB2312" w:hint="eastAsia"/>
          <w:b/>
          <w:sz w:val="32"/>
          <w:lang w:val="zh-CN"/>
        </w:rPr>
        <w:t>项目资金申报相符性。</w:t>
      </w:r>
    </w:p>
    <w:p w:rsidR="00132B2B" w:rsidRDefault="005619AC">
      <w:pPr>
        <w:adjustRightInd w:val="0"/>
        <w:snapToGrid w:val="0"/>
        <w:spacing w:line="580" w:lineRule="exact"/>
        <w:ind w:firstLineChars="300" w:firstLine="960"/>
        <w:rPr>
          <w:rFonts w:ascii="仿宋" w:eastAsia="仿宋" w:hAnsi="仿宋" w:cs="黑体"/>
          <w:sz w:val="32"/>
          <w:szCs w:val="32"/>
        </w:rPr>
      </w:pPr>
      <w:r>
        <w:rPr>
          <w:rFonts w:ascii="仿宋" w:eastAsia="仿宋" w:hAnsi="仿宋" w:cs="黑体" w:hint="eastAsia"/>
          <w:sz w:val="32"/>
          <w:szCs w:val="32"/>
        </w:rPr>
        <w:t>该项目申报内容与具体实施内容基本相符、申报目标合理可行。</w:t>
      </w:r>
    </w:p>
    <w:p w:rsidR="00132B2B" w:rsidRDefault="005619AC">
      <w:pPr>
        <w:adjustRightInd w:val="0"/>
        <w:snapToGrid w:val="0"/>
        <w:spacing w:line="580" w:lineRule="exact"/>
        <w:ind w:firstLine="720"/>
        <w:rPr>
          <w:rFonts w:ascii="黑体" w:eastAsia="黑体" w:hAnsi="宋体" w:cs="黑体"/>
        </w:rPr>
      </w:pPr>
      <w:r>
        <w:rPr>
          <w:rFonts w:ascii="黑体" w:eastAsia="黑体" w:hAnsi="宋体" w:cs="黑体" w:hint="eastAsia"/>
          <w:sz w:val="32"/>
        </w:rPr>
        <w:t>二、项目实施及管理情况</w:t>
      </w:r>
    </w:p>
    <w:p w:rsidR="00132B2B" w:rsidRDefault="005619AC">
      <w:pPr>
        <w:adjustRightInd w:val="0"/>
        <w:snapToGrid w:val="0"/>
        <w:spacing w:line="580" w:lineRule="exact"/>
        <w:ind w:firstLine="720"/>
        <w:rPr>
          <w:rFonts w:ascii="楷体_GB2312" w:eastAsia="楷体_GB2312" w:hAnsi="宋体" w:cs="楷体_GB2312"/>
          <w:b/>
          <w:lang w:val="zh-CN"/>
        </w:rPr>
      </w:pPr>
      <w:r>
        <w:rPr>
          <w:rFonts w:ascii="仿宋_GB2312" w:eastAsia="仿宋_GB2312" w:hAnsi="宋体" w:cs="仿宋_GB2312" w:hint="eastAsia"/>
          <w:sz w:val="32"/>
          <w:lang w:val="zh-CN"/>
        </w:rPr>
        <w:tab/>
      </w:r>
      <w:r>
        <w:rPr>
          <w:rFonts w:ascii="楷体_GB2312" w:eastAsia="楷体_GB2312" w:hAnsi="宋体" w:cs="楷体_GB2312" w:hint="eastAsia"/>
          <w:b/>
          <w:sz w:val="32"/>
          <w:lang w:val="zh-CN"/>
        </w:rPr>
        <w:t>（一）资金计划、到位及使用情况。</w:t>
      </w:r>
    </w:p>
    <w:p w:rsidR="00132B2B" w:rsidRDefault="005619AC">
      <w:pPr>
        <w:tabs>
          <w:tab w:val="left" w:pos="3885"/>
        </w:tabs>
        <w:snapToGrid w:val="0"/>
        <w:spacing w:line="580" w:lineRule="exact"/>
        <w:ind w:leftChars="152" w:left="319" w:firstLineChars="200" w:firstLine="640"/>
        <w:jc w:val="left"/>
        <w:rPr>
          <w:rFonts w:ascii="仿宋" w:eastAsia="仿宋" w:hAnsi="仿宋" w:cs="黑体"/>
          <w:sz w:val="32"/>
          <w:szCs w:val="32"/>
        </w:rPr>
      </w:pPr>
      <w:r>
        <w:rPr>
          <w:rFonts w:ascii="楷体_GB2312" w:eastAsia="楷体_GB2312" w:hAnsi="宋体" w:cs="楷体_GB2312" w:hint="eastAsia"/>
          <w:sz w:val="32"/>
          <w:lang w:val="zh-CN"/>
        </w:rPr>
        <w:t>1</w:t>
      </w:r>
      <w:r>
        <w:rPr>
          <w:rFonts w:ascii="楷体_GB2312" w:eastAsia="楷体_GB2312" w:hAnsi="宋体" w:cs="楷体_GB2312" w:hint="eastAsia"/>
          <w:sz w:val="32"/>
          <w:lang w:val="zh-CN"/>
        </w:rPr>
        <w:t>．资金计划及到位。</w:t>
      </w:r>
      <w:r>
        <w:rPr>
          <w:rFonts w:ascii="仿宋" w:eastAsia="仿宋" w:hAnsi="仿宋" w:cs="仿宋" w:hint="eastAsia"/>
          <w:sz w:val="32"/>
        </w:rPr>
        <w:t>2</w:t>
      </w:r>
      <w:r>
        <w:rPr>
          <w:rFonts w:ascii="仿宋" w:eastAsia="仿宋" w:hAnsi="仿宋" w:cs="黑体" w:hint="eastAsia"/>
          <w:sz w:val="32"/>
          <w:szCs w:val="32"/>
        </w:rPr>
        <w:t>019</w:t>
      </w:r>
      <w:r>
        <w:rPr>
          <w:rFonts w:ascii="仿宋" w:eastAsia="仿宋" w:hAnsi="仿宋" w:cs="黑体" w:hint="eastAsia"/>
          <w:sz w:val="32"/>
          <w:szCs w:val="32"/>
        </w:rPr>
        <w:t>年</w:t>
      </w:r>
      <w:r>
        <w:rPr>
          <w:rFonts w:ascii="仿宋" w:eastAsia="仿宋" w:hAnsi="仿宋" w:cs="黑体" w:hint="eastAsia"/>
          <w:sz w:val="32"/>
          <w:szCs w:val="32"/>
        </w:rPr>
        <w:t>2</w:t>
      </w:r>
      <w:r>
        <w:rPr>
          <w:rFonts w:ascii="仿宋" w:eastAsia="仿宋" w:hAnsi="仿宋" w:cs="黑体" w:hint="eastAsia"/>
          <w:sz w:val="32"/>
          <w:szCs w:val="32"/>
        </w:rPr>
        <w:t>月</w:t>
      </w:r>
      <w:r>
        <w:rPr>
          <w:rFonts w:ascii="仿宋" w:eastAsia="仿宋" w:hAnsi="仿宋" w:cs="黑体" w:hint="eastAsia"/>
          <w:sz w:val="32"/>
          <w:szCs w:val="32"/>
        </w:rPr>
        <w:t>根据《</w:t>
      </w:r>
      <w:r>
        <w:rPr>
          <w:rFonts w:ascii="仿宋" w:eastAsia="仿宋" w:hAnsi="仿宋" w:cs="黑体" w:hint="eastAsia"/>
          <w:sz w:val="32"/>
          <w:szCs w:val="32"/>
        </w:rPr>
        <w:t>阿坝州财政局关于下达</w:t>
      </w:r>
      <w:r>
        <w:rPr>
          <w:rFonts w:ascii="仿宋" w:eastAsia="仿宋" w:hAnsi="仿宋" w:cs="黑体" w:hint="eastAsia"/>
          <w:sz w:val="32"/>
          <w:szCs w:val="32"/>
        </w:rPr>
        <w:t>2019</w:t>
      </w:r>
      <w:r>
        <w:rPr>
          <w:rFonts w:ascii="仿宋" w:eastAsia="仿宋" w:hAnsi="仿宋" w:cs="黑体" w:hint="eastAsia"/>
          <w:sz w:val="32"/>
          <w:szCs w:val="32"/>
        </w:rPr>
        <w:t>年地质灾害综合防治体系建设省级补助资金的通知</w:t>
      </w:r>
      <w:r>
        <w:rPr>
          <w:rFonts w:ascii="仿宋" w:eastAsia="仿宋" w:hAnsi="仿宋" w:cs="黑体" w:hint="eastAsia"/>
          <w:sz w:val="32"/>
          <w:szCs w:val="32"/>
        </w:rPr>
        <w:t>》（</w:t>
      </w:r>
      <w:r>
        <w:rPr>
          <w:rFonts w:ascii="仿宋" w:eastAsia="仿宋" w:hAnsi="仿宋" w:cs="黑体" w:hint="eastAsia"/>
          <w:sz w:val="32"/>
          <w:szCs w:val="32"/>
        </w:rPr>
        <w:t>阿州</w:t>
      </w:r>
      <w:r>
        <w:rPr>
          <w:rFonts w:ascii="仿宋" w:eastAsia="仿宋" w:hAnsi="仿宋" w:cs="黑体" w:hint="eastAsia"/>
          <w:sz w:val="32"/>
          <w:szCs w:val="32"/>
        </w:rPr>
        <w:t>财</w:t>
      </w:r>
      <w:r>
        <w:rPr>
          <w:rFonts w:ascii="仿宋" w:eastAsia="仿宋" w:hAnsi="仿宋" w:cs="黑体" w:hint="eastAsia"/>
          <w:sz w:val="32"/>
          <w:szCs w:val="32"/>
        </w:rPr>
        <w:t>投</w:t>
      </w:r>
      <w:r>
        <w:rPr>
          <w:rFonts w:ascii="仿宋" w:eastAsia="仿宋" w:hAnsi="仿宋" w:cs="黑体" w:hint="eastAsia"/>
          <w:sz w:val="32"/>
          <w:szCs w:val="32"/>
        </w:rPr>
        <w:t>[201</w:t>
      </w:r>
      <w:r>
        <w:rPr>
          <w:rFonts w:ascii="仿宋" w:eastAsia="仿宋" w:hAnsi="仿宋" w:cs="黑体" w:hint="eastAsia"/>
          <w:sz w:val="32"/>
          <w:szCs w:val="32"/>
        </w:rPr>
        <w:t>9</w:t>
      </w:r>
      <w:r>
        <w:rPr>
          <w:rFonts w:ascii="仿宋" w:eastAsia="仿宋" w:hAnsi="仿宋" w:cs="黑体" w:hint="eastAsia"/>
          <w:sz w:val="32"/>
          <w:szCs w:val="32"/>
        </w:rPr>
        <w:t>]</w:t>
      </w:r>
      <w:r>
        <w:rPr>
          <w:rFonts w:ascii="仿宋" w:eastAsia="仿宋" w:hAnsi="仿宋" w:cs="黑体" w:hint="eastAsia"/>
          <w:sz w:val="32"/>
          <w:szCs w:val="32"/>
        </w:rPr>
        <w:t>3</w:t>
      </w:r>
      <w:r>
        <w:rPr>
          <w:rFonts w:ascii="仿宋" w:eastAsia="仿宋" w:hAnsi="仿宋" w:cs="黑体" w:hint="eastAsia"/>
          <w:sz w:val="32"/>
          <w:szCs w:val="32"/>
        </w:rPr>
        <w:t>号）</w:t>
      </w:r>
      <w:r>
        <w:rPr>
          <w:rFonts w:ascii="仿宋" w:eastAsia="仿宋" w:hAnsi="仿宋" w:cs="黑体" w:hint="eastAsia"/>
          <w:sz w:val="32"/>
          <w:szCs w:val="32"/>
        </w:rPr>
        <w:t>收到</w:t>
      </w:r>
      <w:r>
        <w:rPr>
          <w:rFonts w:ascii="仿宋" w:eastAsia="仿宋" w:hAnsi="仿宋" w:cs="黑体" w:hint="eastAsia"/>
          <w:sz w:val="32"/>
          <w:szCs w:val="32"/>
        </w:rPr>
        <w:t>2019</w:t>
      </w:r>
      <w:r>
        <w:rPr>
          <w:rFonts w:ascii="仿宋" w:eastAsia="仿宋" w:hAnsi="仿宋" w:cs="黑体" w:hint="eastAsia"/>
          <w:sz w:val="32"/>
          <w:szCs w:val="32"/>
        </w:rPr>
        <w:t>年群测群</w:t>
      </w:r>
      <w:r>
        <w:rPr>
          <w:rFonts w:ascii="仿宋" w:eastAsia="仿宋" w:hAnsi="仿宋" w:cs="黑体" w:hint="eastAsia"/>
          <w:sz w:val="32"/>
          <w:szCs w:val="32"/>
        </w:rPr>
        <w:lastRenderedPageBreak/>
        <w:t>防专职监测补助资金</w:t>
      </w:r>
      <w:r>
        <w:rPr>
          <w:rFonts w:ascii="仿宋" w:eastAsia="仿宋" w:hAnsi="仿宋" w:cs="黑体" w:hint="eastAsia"/>
          <w:sz w:val="32"/>
          <w:szCs w:val="32"/>
        </w:rPr>
        <w:t>93.6</w:t>
      </w:r>
      <w:r>
        <w:rPr>
          <w:rFonts w:ascii="仿宋" w:eastAsia="仿宋" w:hAnsi="仿宋" w:cs="黑体" w:hint="eastAsia"/>
          <w:sz w:val="32"/>
          <w:szCs w:val="32"/>
        </w:rPr>
        <w:t>万元</w:t>
      </w:r>
      <w:r>
        <w:rPr>
          <w:rFonts w:ascii="Times New Roman" w:eastAsia="仿宋_GB2312" w:hAnsi="宋体" w:cs="Times New Roman" w:hint="eastAsia"/>
          <w:sz w:val="32"/>
        </w:rPr>
        <w:t>。</w:t>
      </w:r>
    </w:p>
    <w:p w:rsidR="00132B2B" w:rsidRDefault="005619AC">
      <w:pPr>
        <w:adjustRightInd w:val="0"/>
        <w:snapToGrid w:val="0"/>
        <w:spacing w:line="580" w:lineRule="exact"/>
        <w:ind w:firstLine="720"/>
        <w:rPr>
          <w:rFonts w:ascii="仿宋" w:eastAsia="仿宋" w:hAnsi="仿宋" w:cs="黑体"/>
          <w:sz w:val="32"/>
          <w:szCs w:val="32"/>
        </w:rPr>
      </w:pPr>
      <w:r>
        <w:rPr>
          <w:rFonts w:ascii="楷体_GB2312" w:eastAsia="楷体_GB2312" w:hAnsi="宋体" w:cs="楷体_GB2312" w:hint="eastAsia"/>
          <w:sz w:val="32"/>
          <w:lang w:val="zh-CN"/>
        </w:rPr>
        <w:t>2</w:t>
      </w:r>
      <w:r>
        <w:rPr>
          <w:rFonts w:ascii="楷体_GB2312" w:eastAsia="楷体_GB2312" w:hAnsi="宋体" w:cs="楷体_GB2312" w:hint="eastAsia"/>
          <w:sz w:val="32"/>
          <w:lang w:val="zh-CN"/>
        </w:rPr>
        <w:t>．资金使用。</w:t>
      </w:r>
      <w:r>
        <w:rPr>
          <w:rFonts w:ascii="仿宋" w:eastAsia="仿宋" w:hAnsi="仿宋" w:cs="黑体" w:hint="eastAsia"/>
          <w:sz w:val="32"/>
          <w:szCs w:val="32"/>
        </w:rPr>
        <w:t>该项目</w:t>
      </w:r>
      <w:r>
        <w:rPr>
          <w:rFonts w:ascii="仿宋" w:eastAsia="仿宋" w:hAnsi="仿宋" w:cs="黑体" w:hint="eastAsia"/>
          <w:sz w:val="32"/>
          <w:szCs w:val="32"/>
        </w:rPr>
        <w:t>一次性</w:t>
      </w:r>
      <w:r>
        <w:rPr>
          <w:rFonts w:ascii="仿宋" w:eastAsia="仿宋" w:hAnsi="仿宋" w:cs="黑体" w:hint="eastAsia"/>
          <w:sz w:val="32"/>
          <w:szCs w:val="32"/>
        </w:rPr>
        <w:t>支付黑水县</w:t>
      </w:r>
      <w:r>
        <w:rPr>
          <w:rFonts w:ascii="仿宋" w:eastAsia="仿宋" w:hAnsi="仿宋" w:cs="黑体" w:hint="eastAsia"/>
          <w:sz w:val="32"/>
          <w:szCs w:val="32"/>
        </w:rPr>
        <w:t>260</w:t>
      </w:r>
      <w:r>
        <w:rPr>
          <w:rFonts w:ascii="仿宋" w:eastAsia="仿宋" w:hAnsi="仿宋" w:cs="黑体" w:hint="eastAsia"/>
          <w:sz w:val="32"/>
          <w:szCs w:val="32"/>
        </w:rPr>
        <w:t>处隐患点专职监测人员补助资金</w:t>
      </w:r>
      <w:r>
        <w:rPr>
          <w:rFonts w:ascii="仿宋" w:eastAsia="仿宋" w:hAnsi="仿宋" w:cs="黑体" w:hint="eastAsia"/>
          <w:sz w:val="32"/>
          <w:szCs w:val="32"/>
        </w:rPr>
        <w:t>93.6</w:t>
      </w:r>
      <w:r>
        <w:rPr>
          <w:rFonts w:ascii="仿宋" w:eastAsia="仿宋" w:hAnsi="仿宋" w:cs="黑体" w:hint="eastAsia"/>
          <w:sz w:val="32"/>
          <w:szCs w:val="32"/>
        </w:rPr>
        <w:t>万元。</w:t>
      </w:r>
    </w:p>
    <w:p w:rsidR="00132B2B" w:rsidRDefault="005619AC">
      <w:pPr>
        <w:adjustRightInd w:val="0"/>
        <w:snapToGrid w:val="0"/>
        <w:spacing w:line="580" w:lineRule="exact"/>
        <w:rPr>
          <w:rFonts w:ascii="楷体_GB2312" w:eastAsia="楷体_GB2312" w:hAnsi="宋体" w:cs="楷体_GB2312"/>
          <w:b/>
          <w:sz w:val="32"/>
          <w:lang w:val="zh-CN"/>
        </w:rPr>
      </w:pPr>
      <w:r>
        <w:rPr>
          <w:rFonts w:ascii="楷体_GB2312" w:eastAsia="楷体_GB2312" w:hAnsi="宋体" w:cs="楷体_GB2312" w:hint="eastAsia"/>
          <w:b/>
          <w:sz w:val="32"/>
          <w:lang w:val="zh-CN"/>
        </w:rPr>
        <w:t>（二）</w:t>
      </w:r>
      <w:r>
        <w:rPr>
          <w:rFonts w:ascii="楷体_GB2312" w:eastAsia="楷体_GB2312" w:hAnsi="宋体" w:cs="楷体_GB2312" w:hint="eastAsia"/>
          <w:b/>
          <w:sz w:val="32"/>
          <w:lang w:val="zh-CN"/>
        </w:rPr>
        <w:t xml:space="preserve"> </w:t>
      </w:r>
      <w:r>
        <w:rPr>
          <w:rFonts w:ascii="楷体_GB2312" w:eastAsia="楷体_GB2312" w:hAnsi="宋体" w:cs="楷体_GB2312" w:hint="eastAsia"/>
          <w:b/>
          <w:sz w:val="32"/>
          <w:lang w:val="zh-CN"/>
        </w:rPr>
        <w:t>项目财务管理情况。</w:t>
      </w:r>
    </w:p>
    <w:p w:rsidR="00132B2B" w:rsidRDefault="005619AC">
      <w:pPr>
        <w:adjustRightInd w:val="0"/>
        <w:snapToGrid w:val="0"/>
        <w:spacing w:line="520" w:lineRule="exact"/>
        <w:ind w:firstLineChars="200" w:firstLine="640"/>
        <w:rPr>
          <w:rFonts w:ascii="仿宋" w:eastAsia="仿宋" w:hAnsi="仿宋" w:cs="黑体"/>
          <w:sz w:val="32"/>
          <w:szCs w:val="32"/>
        </w:rPr>
      </w:pPr>
      <w:r>
        <w:rPr>
          <w:rFonts w:ascii="仿宋_GB2312" w:eastAsia="仿宋_GB2312" w:hAnsi="仿宋_GB2312" w:cs="仿宋_GB2312" w:hint="eastAsia"/>
          <w:color w:val="000000"/>
          <w:sz w:val="32"/>
        </w:rPr>
        <w:t>为加强地质灾害防治项目和资金的管理，我县制定了《黑水县地质灾害防治项目和资金管理制度》，项目实施和资金管理严格按《四川省国土资源厅</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四川省财政厅关于全面加强地质灾害综合防治体系建设项目和资金管理工作的通知》川国土资发〔</w:t>
      </w:r>
      <w:r>
        <w:rPr>
          <w:rFonts w:ascii="仿宋_GB2312" w:eastAsia="仿宋_GB2312" w:hAnsi="仿宋_GB2312" w:cs="仿宋_GB2312" w:hint="eastAsia"/>
          <w:color w:val="000000"/>
          <w:sz w:val="32"/>
        </w:rPr>
        <w:t>2017</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84</w:t>
      </w:r>
      <w:r>
        <w:rPr>
          <w:rFonts w:ascii="仿宋_GB2312" w:eastAsia="仿宋_GB2312" w:hAnsi="仿宋_GB2312" w:cs="仿宋_GB2312" w:hint="eastAsia"/>
          <w:color w:val="000000"/>
          <w:sz w:val="32"/>
        </w:rPr>
        <w:t>号文件执行，做到了专帐管理、专款专用。</w:t>
      </w:r>
    </w:p>
    <w:p w:rsidR="00132B2B" w:rsidRDefault="005619AC">
      <w:pPr>
        <w:spacing w:line="560" w:lineRule="exact"/>
        <w:ind w:firstLineChars="200" w:firstLine="643"/>
        <w:jc w:val="left"/>
        <w:rPr>
          <w:rFonts w:ascii="仿宋" w:eastAsia="仿宋" w:hAnsi="仿宋" w:cs="黑体"/>
          <w:sz w:val="32"/>
          <w:szCs w:val="32"/>
        </w:rPr>
      </w:pPr>
      <w:r>
        <w:rPr>
          <w:rFonts w:ascii="楷体_GB2312" w:eastAsia="楷体_GB2312" w:hAnsi="宋体" w:cs="楷体_GB2312" w:hint="eastAsia"/>
          <w:b/>
          <w:sz w:val="32"/>
          <w:lang w:val="zh-CN"/>
        </w:rPr>
        <w:t>（三）项目组织实施情况。</w:t>
      </w:r>
      <w:bookmarkStart w:id="0" w:name="_Toc29451"/>
      <w:bookmarkStart w:id="1" w:name="_Toc29708"/>
      <w:bookmarkStart w:id="2" w:name="_Toc17721"/>
      <w:bookmarkStart w:id="3" w:name="_Toc8671"/>
    </w:p>
    <w:bookmarkEnd w:id="0"/>
    <w:bookmarkEnd w:id="1"/>
    <w:bookmarkEnd w:id="2"/>
    <w:bookmarkEnd w:id="3"/>
    <w:p w:rsidR="00132B2B" w:rsidRDefault="005619AC">
      <w:pPr>
        <w:adjustRightInd w:val="0"/>
        <w:snapToGrid w:val="0"/>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 2019</w:t>
      </w:r>
      <w:r>
        <w:rPr>
          <w:rFonts w:ascii="仿宋" w:eastAsia="仿宋" w:hAnsi="仿宋" w:cs="黑体" w:hint="eastAsia"/>
          <w:sz w:val="32"/>
          <w:szCs w:val="32"/>
        </w:rPr>
        <w:t>年底一次性发放黑水县</w:t>
      </w:r>
      <w:r>
        <w:rPr>
          <w:rFonts w:ascii="仿宋" w:eastAsia="仿宋" w:hAnsi="仿宋" w:cs="黑体" w:hint="eastAsia"/>
          <w:sz w:val="32"/>
          <w:szCs w:val="32"/>
        </w:rPr>
        <w:t>17</w:t>
      </w:r>
      <w:r>
        <w:rPr>
          <w:rFonts w:ascii="仿宋" w:eastAsia="仿宋" w:hAnsi="仿宋" w:cs="黑体" w:hint="eastAsia"/>
          <w:sz w:val="32"/>
          <w:szCs w:val="32"/>
        </w:rPr>
        <w:t>个乡镇</w:t>
      </w:r>
      <w:r>
        <w:rPr>
          <w:rFonts w:ascii="仿宋" w:eastAsia="仿宋" w:hAnsi="仿宋" w:cs="黑体" w:hint="eastAsia"/>
          <w:sz w:val="32"/>
          <w:szCs w:val="32"/>
        </w:rPr>
        <w:t>260</w:t>
      </w:r>
      <w:r>
        <w:rPr>
          <w:rFonts w:ascii="仿宋" w:eastAsia="仿宋" w:hAnsi="仿宋" w:cs="黑体" w:hint="eastAsia"/>
          <w:sz w:val="32"/>
          <w:szCs w:val="32"/>
        </w:rPr>
        <w:t>处隐患点监测人员资金</w:t>
      </w:r>
      <w:r>
        <w:rPr>
          <w:rFonts w:ascii="仿宋" w:eastAsia="仿宋" w:hAnsi="仿宋" w:cs="黑体" w:hint="eastAsia"/>
          <w:sz w:val="32"/>
          <w:szCs w:val="32"/>
        </w:rPr>
        <w:t>93.6</w:t>
      </w:r>
      <w:r>
        <w:rPr>
          <w:rFonts w:ascii="仿宋" w:eastAsia="仿宋" w:hAnsi="仿宋" w:cs="黑体" w:hint="eastAsia"/>
          <w:sz w:val="32"/>
          <w:szCs w:val="32"/>
        </w:rPr>
        <w:t>万，无结余。</w:t>
      </w:r>
    </w:p>
    <w:p w:rsidR="00132B2B" w:rsidRDefault="005619AC">
      <w:pPr>
        <w:adjustRightInd w:val="0"/>
        <w:snapToGrid w:val="0"/>
        <w:spacing w:line="580" w:lineRule="exact"/>
        <w:ind w:firstLineChars="300" w:firstLine="960"/>
        <w:rPr>
          <w:rFonts w:ascii="仿宋_GB2312" w:eastAsia="仿宋_GB2312" w:hAnsi="宋体" w:cs="仿宋_GB2312"/>
          <w:lang w:val="zh-CN"/>
        </w:rPr>
      </w:pPr>
      <w:r>
        <w:rPr>
          <w:rFonts w:ascii="黑体" w:eastAsia="黑体" w:hAnsi="宋体" w:cs="黑体" w:hint="eastAsia"/>
          <w:sz w:val="32"/>
        </w:rPr>
        <w:t>四、项目绩效情况</w:t>
      </w:r>
      <w:r>
        <w:rPr>
          <w:rFonts w:ascii="仿宋_GB2312" w:eastAsia="仿宋_GB2312" w:hAnsi="宋体" w:cs="仿宋_GB2312" w:hint="eastAsia"/>
          <w:sz w:val="32"/>
          <w:lang w:val="zh-CN"/>
        </w:rPr>
        <w:tab/>
      </w:r>
    </w:p>
    <w:p w:rsidR="00132B2B" w:rsidRDefault="005619AC">
      <w:pPr>
        <w:tabs>
          <w:tab w:val="left" w:pos="3885"/>
        </w:tabs>
        <w:snapToGrid w:val="0"/>
        <w:spacing w:line="580" w:lineRule="exact"/>
        <w:ind w:leftChars="152" w:left="319" w:firstLineChars="200" w:firstLine="643"/>
        <w:jc w:val="left"/>
        <w:rPr>
          <w:rFonts w:ascii="楷体_GB2312" w:eastAsia="楷体_GB2312" w:hAnsi="宋体" w:cs="楷体_GB2312"/>
          <w:b/>
          <w:sz w:val="32"/>
          <w:lang w:val="zh-CN"/>
        </w:rPr>
      </w:pPr>
      <w:r>
        <w:rPr>
          <w:rFonts w:ascii="楷体_GB2312" w:eastAsia="楷体_GB2312" w:hAnsi="宋体" w:cs="楷体_GB2312" w:hint="eastAsia"/>
          <w:b/>
          <w:sz w:val="32"/>
          <w:lang w:val="zh-CN"/>
        </w:rPr>
        <w:t>（一）项目完成情况。</w:t>
      </w:r>
    </w:p>
    <w:p w:rsidR="00132B2B" w:rsidRDefault="005619AC">
      <w:pPr>
        <w:adjustRightInd w:val="0"/>
        <w:snapToGrid w:val="0"/>
        <w:spacing w:line="580" w:lineRule="exact"/>
        <w:ind w:firstLine="720"/>
        <w:rPr>
          <w:rFonts w:ascii="仿宋" w:eastAsia="仿宋" w:hAnsi="仿宋" w:cs="黑体"/>
          <w:sz w:val="32"/>
          <w:szCs w:val="32"/>
        </w:rPr>
      </w:pPr>
      <w:r>
        <w:rPr>
          <w:rFonts w:ascii="仿宋" w:eastAsia="仿宋" w:hAnsi="仿宋" w:cs="黑体" w:hint="eastAsia"/>
          <w:sz w:val="32"/>
          <w:szCs w:val="32"/>
        </w:rPr>
        <w:t>2019</w:t>
      </w:r>
      <w:r>
        <w:rPr>
          <w:rFonts w:ascii="仿宋" w:eastAsia="仿宋" w:hAnsi="仿宋" w:cs="黑体" w:hint="eastAsia"/>
          <w:sz w:val="32"/>
          <w:szCs w:val="32"/>
        </w:rPr>
        <w:t>年</w:t>
      </w:r>
      <w:r>
        <w:rPr>
          <w:rFonts w:ascii="仿宋" w:eastAsia="仿宋" w:hAnsi="仿宋" w:cs="黑体" w:hint="eastAsia"/>
          <w:sz w:val="32"/>
          <w:szCs w:val="32"/>
        </w:rPr>
        <w:t>12</w:t>
      </w:r>
      <w:r>
        <w:rPr>
          <w:rFonts w:ascii="仿宋" w:eastAsia="仿宋" w:hAnsi="仿宋" w:cs="黑体" w:hint="eastAsia"/>
          <w:sz w:val="32"/>
          <w:szCs w:val="32"/>
        </w:rPr>
        <w:t>月底一次性发放黑水县</w:t>
      </w:r>
      <w:r>
        <w:rPr>
          <w:rFonts w:ascii="仿宋" w:eastAsia="仿宋" w:hAnsi="仿宋" w:cs="黑体" w:hint="eastAsia"/>
          <w:sz w:val="32"/>
          <w:szCs w:val="32"/>
        </w:rPr>
        <w:t>17</w:t>
      </w:r>
      <w:r>
        <w:rPr>
          <w:rFonts w:ascii="仿宋" w:eastAsia="仿宋" w:hAnsi="仿宋" w:cs="黑体" w:hint="eastAsia"/>
          <w:sz w:val="32"/>
          <w:szCs w:val="32"/>
        </w:rPr>
        <w:t>个乡镇</w:t>
      </w:r>
      <w:r>
        <w:rPr>
          <w:rFonts w:ascii="仿宋" w:eastAsia="仿宋" w:hAnsi="仿宋" w:cs="黑体" w:hint="eastAsia"/>
          <w:sz w:val="32"/>
          <w:szCs w:val="32"/>
        </w:rPr>
        <w:t>260</w:t>
      </w:r>
      <w:r>
        <w:rPr>
          <w:rFonts w:ascii="仿宋" w:eastAsia="仿宋" w:hAnsi="仿宋" w:cs="黑体" w:hint="eastAsia"/>
          <w:sz w:val="32"/>
          <w:szCs w:val="32"/>
        </w:rPr>
        <w:t>处隐患点监测人员资金</w:t>
      </w:r>
      <w:r>
        <w:rPr>
          <w:rFonts w:ascii="仿宋" w:eastAsia="仿宋" w:hAnsi="仿宋" w:cs="黑体" w:hint="eastAsia"/>
          <w:sz w:val="32"/>
          <w:szCs w:val="32"/>
        </w:rPr>
        <w:t>93.6</w:t>
      </w:r>
      <w:r>
        <w:rPr>
          <w:rFonts w:ascii="仿宋" w:eastAsia="仿宋" w:hAnsi="仿宋" w:cs="黑体" w:hint="eastAsia"/>
          <w:sz w:val="32"/>
          <w:szCs w:val="32"/>
        </w:rPr>
        <w:t>万，消除隐患，确保人民生命财产安全。</w:t>
      </w:r>
    </w:p>
    <w:p w:rsidR="00132B2B" w:rsidRDefault="005619AC">
      <w:pPr>
        <w:adjustRightInd w:val="0"/>
        <w:snapToGrid w:val="0"/>
        <w:spacing w:line="580" w:lineRule="exact"/>
        <w:ind w:firstLine="720"/>
        <w:rPr>
          <w:rFonts w:ascii="楷体_GB2312" w:eastAsia="楷体_GB2312" w:hAnsi="宋体" w:cs="楷体_GB2312"/>
          <w:b/>
          <w:lang w:val="zh-CN"/>
        </w:rPr>
      </w:pPr>
      <w:r>
        <w:rPr>
          <w:rFonts w:ascii="楷体_GB2312" w:eastAsia="楷体_GB2312" w:hAnsi="宋体" w:cs="楷体_GB2312" w:hint="eastAsia"/>
          <w:b/>
          <w:sz w:val="32"/>
          <w:lang w:val="zh-CN"/>
        </w:rPr>
        <w:t>（二）项目效益情况。</w:t>
      </w:r>
    </w:p>
    <w:p w:rsidR="00132B2B" w:rsidRDefault="005619A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监测预警区地质灾害防范能力提升，工程治理区群众生命财产安全保障提高；服务对象指标：实施区群众防灾减灾参与度</w:t>
      </w:r>
      <w:r>
        <w:rPr>
          <w:rFonts w:ascii="仿宋_GB2312" w:eastAsia="仿宋_GB2312" w:hAnsi="仿宋_GB2312" w:cs="仿宋_GB2312" w:hint="eastAsia"/>
          <w:sz w:val="32"/>
          <w:szCs w:val="32"/>
        </w:rPr>
        <w:t>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，实施区域受益人群满意度</w:t>
      </w:r>
      <w:r>
        <w:rPr>
          <w:rFonts w:ascii="仿宋_GB2312" w:eastAsia="仿宋_GB2312" w:hAnsi="仿宋_GB2312" w:cs="仿宋_GB2312" w:hint="eastAsia"/>
          <w:sz w:val="32"/>
          <w:szCs w:val="32"/>
        </w:rPr>
        <w:t>达到</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w:t>
      </w:r>
    </w:p>
    <w:p w:rsidR="00132B2B" w:rsidRDefault="005619AC">
      <w:pPr>
        <w:adjustRightInd w:val="0"/>
        <w:snapToGrid w:val="0"/>
        <w:spacing w:line="580" w:lineRule="exact"/>
        <w:ind w:firstLine="720"/>
        <w:rPr>
          <w:rFonts w:ascii="黑体" w:eastAsia="黑体" w:hAnsi="宋体" w:cs="黑体"/>
        </w:rPr>
      </w:pPr>
      <w:r>
        <w:rPr>
          <w:rFonts w:ascii="黑体" w:eastAsia="黑体" w:hAnsi="宋体" w:cs="黑体" w:hint="eastAsia"/>
          <w:sz w:val="32"/>
        </w:rPr>
        <w:t>五、问题及建议</w:t>
      </w:r>
    </w:p>
    <w:p w:rsidR="00132B2B" w:rsidRDefault="005619AC">
      <w:pPr>
        <w:adjustRightInd w:val="0"/>
        <w:snapToGrid w:val="0"/>
        <w:spacing w:line="580" w:lineRule="exact"/>
        <w:ind w:firstLine="720"/>
        <w:rPr>
          <w:rFonts w:ascii="楷体_GB2312" w:eastAsia="楷体_GB2312" w:hAnsi="宋体" w:cs="楷体_GB2312"/>
          <w:b/>
          <w:sz w:val="32"/>
          <w:lang w:val="zh-CN"/>
        </w:rPr>
      </w:pPr>
      <w:r>
        <w:rPr>
          <w:rFonts w:ascii="楷体_GB2312" w:eastAsia="楷体_GB2312" w:hAnsi="宋体" w:cs="楷体_GB2312" w:hint="eastAsia"/>
          <w:b/>
          <w:sz w:val="32"/>
          <w:lang w:val="zh-CN"/>
        </w:rPr>
        <w:t>（一）存在的问题。</w:t>
      </w:r>
    </w:p>
    <w:p w:rsidR="00132B2B" w:rsidRDefault="005619AC">
      <w:pPr>
        <w:adjustRightInd w:val="0"/>
        <w:snapToGrid w:val="0"/>
        <w:spacing w:line="52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color w:val="000000"/>
          <w:sz w:val="32"/>
          <w:szCs w:val="32"/>
          <w:lang w:val="zh-CN"/>
        </w:rPr>
        <w:lastRenderedPageBreak/>
        <w:t>监测人员选择难度大。一般情况监测人员均在受威胁对象中就近选取，且需要至少整个主汛期（</w:t>
      </w:r>
      <w:r>
        <w:rPr>
          <w:rFonts w:ascii="仿宋_GB2312" w:eastAsia="仿宋_GB2312" w:hAnsi="仿宋_GB2312" w:cs="仿宋_GB2312" w:hint="eastAsia"/>
          <w:color w:val="000000"/>
          <w:sz w:val="32"/>
          <w:szCs w:val="32"/>
          <w:lang w:val="zh-CN"/>
        </w:rPr>
        <w:t>5-9</w:t>
      </w:r>
      <w:r>
        <w:rPr>
          <w:rFonts w:ascii="仿宋_GB2312" w:eastAsia="仿宋_GB2312" w:hAnsi="仿宋_GB2312" w:cs="仿宋_GB2312" w:hint="eastAsia"/>
          <w:color w:val="000000"/>
          <w:sz w:val="32"/>
          <w:szCs w:val="32"/>
          <w:lang w:val="zh-CN"/>
        </w:rPr>
        <w:t>月份）在家，但是汛期外出务工人员较多，导致部分隐患点只能选择年龄较大、文化较低的人员；（二）监测人员变动频繁或者电话变动频繁。汛期抽查时电话空号或者关机情况时有发生；（三）监测人员文化素质低我县为民族地区，监测员文化水平参差不齐，差异较大。监测员的文化接受能力差，培训不能达到预期效果，导致监测员的在遇到地质灾害时的应急、反馈能力不足，正确快速处置不到位；（四）监测人员补助经费补助不够。</w:t>
      </w:r>
      <w:r>
        <w:rPr>
          <w:rFonts w:ascii="仿宋_GB2312" w:eastAsia="仿宋_GB2312" w:hAnsi="仿宋_GB2312" w:cs="仿宋_GB2312" w:hint="eastAsia"/>
          <w:color w:val="000000"/>
          <w:sz w:val="32"/>
          <w:szCs w:val="32"/>
        </w:rPr>
        <w:t>黑水县属于深度贫</w:t>
      </w:r>
      <w:r>
        <w:rPr>
          <w:rFonts w:ascii="仿宋_GB2312" w:eastAsia="仿宋_GB2312" w:hAnsi="仿宋_GB2312" w:cs="仿宋_GB2312"/>
          <w:color w:val="000000"/>
          <w:sz w:val="32"/>
          <w:szCs w:val="32"/>
        </w:rPr>
        <w:t>困县，这几年全县人</w:t>
      </w:r>
      <w:r>
        <w:rPr>
          <w:rFonts w:ascii="仿宋_GB2312" w:eastAsia="仿宋_GB2312" w:hAnsi="仿宋_GB2312" w:cs="仿宋_GB2312"/>
          <w:color w:val="000000"/>
          <w:sz w:val="32"/>
          <w:szCs w:val="32"/>
        </w:rPr>
        <w:t>民都在举全县之力，全力开展脱贫攻坚工作，对于省</w:t>
      </w:r>
      <w:r>
        <w:rPr>
          <w:rFonts w:ascii="仿宋_GB2312" w:eastAsia="仿宋_GB2312" w:hAnsi="仿宋_GB2312" w:cs="仿宋_GB2312" w:hint="eastAsia"/>
          <w:color w:val="000000"/>
          <w:sz w:val="32"/>
          <w:szCs w:val="32"/>
        </w:rPr>
        <w:t>级补助资金到位后，余下的补助资金（地方县级配套资金不足），不能及时兑现到位</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lang w:val="zh-CN"/>
        </w:rPr>
        <w:t>（五）地质灾害治理工程属防灾抢险工程，需抢时间、赶季节，建议简化相关程序，缩短审查时间；（六）黑水县属地质灾害易发区和多发区，地质灾害防治任务重、压力大。建议县财政设立地质灾害防治专项资金。凡涉及地质灾害防治的财政资金由县自然资源部门专帐管理，一个口子支出；（七）排危除险项目资金单笔支出金额较小，但点多面广，监督和管理难度相对较大，今后应加强和规范应急处置资金的支出管理，确保资金使用方向</w:t>
      </w:r>
      <w:r>
        <w:rPr>
          <w:rFonts w:ascii="仿宋_GB2312" w:eastAsia="仿宋_GB2312" w:hAnsi="仿宋_GB2312" w:cs="仿宋_GB2312" w:hint="eastAsia"/>
          <w:sz w:val="32"/>
          <w:szCs w:val="32"/>
          <w:lang w:val="zh-CN"/>
        </w:rPr>
        <w:t>和使用效益。</w:t>
      </w:r>
    </w:p>
    <w:p w:rsidR="00132B2B" w:rsidRDefault="005619AC">
      <w:pPr>
        <w:spacing w:line="580" w:lineRule="exact"/>
        <w:ind w:firstLineChars="200" w:firstLine="643"/>
        <w:rPr>
          <w:rFonts w:ascii="黑体" w:eastAsia="黑体" w:hAnsi="宋体" w:cs="黑体"/>
          <w:b/>
          <w:bCs/>
          <w:color w:val="000000" w:themeColor="text1"/>
          <w:sz w:val="30"/>
          <w:szCs w:val="30"/>
          <w:shd w:val="clear" w:color="FFFFFF" w:fill="D9D9D9"/>
        </w:rPr>
      </w:pPr>
      <w:bookmarkStart w:id="4" w:name="_GoBack"/>
      <w:bookmarkEnd w:id="4"/>
      <w:r>
        <w:rPr>
          <w:rFonts w:ascii="楷体_GB2312" w:eastAsia="楷体_GB2312" w:hAnsi="宋体" w:cs="楷体_GB2312" w:hint="eastAsia"/>
          <w:b/>
          <w:sz w:val="32"/>
          <w:lang w:val="zh-CN"/>
        </w:rPr>
        <w:t>（二）相关建议。</w:t>
      </w:r>
      <w:r>
        <w:rPr>
          <w:rFonts w:ascii="仿宋_GB2312" w:eastAsia="仿宋_GB2312" w:hAnsi="宋体" w:cs="仿宋_GB2312" w:hint="eastAsia"/>
          <w:b/>
          <w:bCs/>
          <w:color w:val="000000" w:themeColor="text1"/>
          <w:sz w:val="32"/>
          <w:shd w:val="clear" w:color="FFFFFF" w:fill="D9D9D9"/>
          <w:lang w:val="zh-CN"/>
        </w:rPr>
        <w:t>无</w:t>
      </w:r>
    </w:p>
    <w:p w:rsidR="00132B2B" w:rsidRDefault="00132B2B">
      <w:pPr>
        <w:spacing w:line="580" w:lineRule="exact"/>
        <w:rPr>
          <w:rFonts w:ascii="黑体" w:eastAsia="黑体" w:hAnsi="宋体" w:cs="黑体"/>
          <w:sz w:val="30"/>
          <w:szCs w:val="30"/>
        </w:rPr>
      </w:pPr>
    </w:p>
    <w:p w:rsidR="00132B2B" w:rsidRDefault="00132B2B"/>
    <w:sectPr w:rsidR="00132B2B" w:rsidSect="00132B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9AC" w:rsidRDefault="005619AC" w:rsidP="00917803">
      <w:r>
        <w:separator/>
      </w:r>
    </w:p>
  </w:endnote>
  <w:endnote w:type="continuationSeparator" w:id="1">
    <w:p w:rsidR="005619AC" w:rsidRDefault="005619AC" w:rsidP="00917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
    <w:altName w:val="Times New Roman"/>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9AC" w:rsidRDefault="005619AC" w:rsidP="00917803">
      <w:r>
        <w:separator/>
      </w:r>
    </w:p>
  </w:footnote>
  <w:footnote w:type="continuationSeparator" w:id="1">
    <w:p w:rsidR="005619AC" w:rsidRDefault="005619AC" w:rsidP="00917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9EB"/>
    <w:multiLevelType w:val="multilevel"/>
    <w:tmpl w:val="04F009EB"/>
    <w:lvl w:ilvl="0">
      <w:start w:val="1"/>
      <w:numFmt w:val="japaneseCounting"/>
      <w:lvlText w:val="%1、"/>
      <w:lvlJc w:val="left"/>
      <w:pPr>
        <w:ind w:left="1380" w:hanging="6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1881AA63"/>
    <w:multiLevelType w:val="singleLevel"/>
    <w:tmpl w:val="1881AA63"/>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DC17E9F"/>
    <w:rsid w:val="00042BE9"/>
    <w:rsid w:val="00081D1C"/>
    <w:rsid w:val="00132B2B"/>
    <w:rsid w:val="00171B7A"/>
    <w:rsid w:val="00185C1F"/>
    <w:rsid w:val="001A2D62"/>
    <w:rsid w:val="001A3077"/>
    <w:rsid w:val="001E2186"/>
    <w:rsid w:val="00225B67"/>
    <w:rsid w:val="00265AF8"/>
    <w:rsid w:val="002E0D35"/>
    <w:rsid w:val="00310A61"/>
    <w:rsid w:val="00343894"/>
    <w:rsid w:val="00407E02"/>
    <w:rsid w:val="004201C8"/>
    <w:rsid w:val="004425EA"/>
    <w:rsid w:val="004A1B72"/>
    <w:rsid w:val="004F2DDE"/>
    <w:rsid w:val="0053230C"/>
    <w:rsid w:val="00556979"/>
    <w:rsid w:val="005619AC"/>
    <w:rsid w:val="00566C81"/>
    <w:rsid w:val="005B74D9"/>
    <w:rsid w:val="006643FE"/>
    <w:rsid w:val="00690EAB"/>
    <w:rsid w:val="006D306E"/>
    <w:rsid w:val="006E76E4"/>
    <w:rsid w:val="00736E9A"/>
    <w:rsid w:val="007407D1"/>
    <w:rsid w:val="0075592C"/>
    <w:rsid w:val="00785984"/>
    <w:rsid w:val="007F7A39"/>
    <w:rsid w:val="008304B2"/>
    <w:rsid w:val="008306CE"/>
    <w:rsid w:val="00874BC3"/>
    <w:rsid w:val="0089118C"/>
    <w:rsid w:val="008B1B5B"/>
    <w:rsid w:val="00917803"/>
    <w:rsid w:val="009A1E28"/>
    <w:rsid w:val="00A02954"/>
    <w:rsid w:val="00A20DE6"/>
    <w:rsid w:val="00A2312A"/>
    <w:rsid w:val="00AA2D19"/>
    <w:rsid w:val="00AE5A63"/>
    <w:rsid w:val="00C07692"/>
    <w:rsid w:val="00C60209"/>
    <w:rsid w:val="00C60411"/>
    <w:rsid w:val="00C97047"/>
    <w:rsid w:val="00D8226B"/>
    <w:rsid w:val="00DD5D31"/>
    <w:rsid w:val="00DF70E5"/>
    <w:rsid w:val="00E359DE"/>
    <w:rsid w:val="00E411AC"/>
    <w:rsid w:val="00E96D24"/>
    <w:rsid w:val="00EC17E3"/>
    <w:rsid w:val="00F2199F"/>
    <w:rsid w:val="00FA4828"/>
    <w:rsid w:val="019519E2"/>
    <w:rsid w:val="0A026764"/>
    <w:rsid w:val="0D353725"/>
    <w:rsid w:val="0DC17E9F"/>
    <w:rsid w:val="0F105A37"/>
    <w:rsid w:val="112247CA"/>
    <w:rsid w:val="15FA50A3"/>
    <w:rsid w:val="21212BFD"/>
    <w:rsid w:val="2B506F5B"/>
    <w:rsid w:val="2CDD1D81"/>
    <w:rsid w:val="35D5279F"/>
    <w:rsid w:val="36F01934"/>
    <w:rsid w:val="3C523AE2"/>
    <w:rsid w:val="457D3D9A"/>
    <w:rsid w:val="477A235F"/>
    <w:rsid w:val="47ED2623"/>
    <w:rsid w:val="4E2541CC"/>
    <w:rsid w:val="4FA16198"/>
    <w:rsid w:val="59784E4E"/>
    <w:rsid w:val="6D920ED2"/>
    <w:rsid w:val="710A5A67"/>
    <w:rsid w:val="79487974"/>
    <w:rsid w:val="7A6116D7"/>
    <w:rsid w:val="7CEC1C92"/>
    <w:rsid w:val="7FDC3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B2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32B2B"/>
    <w:pPr>
      <w:tabs>
        <w:tab w:val="center" w:pos="4153"/>
        <w:tab w:val="right" w:pos="8306"/>
      </w:tabs>
      <w:snapToGrid w:val="0"/>
      <w:jc w:val="left"/>
    </w:pPr>
    <w:rPr>
      <w:sz w:val="18"/>
      <w:szCs w:val="18"/>
    </w:rPr>
  </w:style>
  <w:style w:type="paragraph" w:styleId="a4">
    <w:name w:val="header"/>
    <w:basedOn w:val="a"/>
    <w:link w:val="Char0"/>
    <w:qFormat/>
    <w:rsid w:val="00132B2B"/>
    <w:pPr>
      <w:pBdr>
        <w:bottom w:val="single" w:sz="6" w:space="1" w:color="auto"/>
      </w:pBdr>
      <w:tabs>
        <w:tab w:val="center" w:pos="4153"/>
        <w:tab w:val="right" w:pos="8306"/>
      </w:tabs>
      <w:snapToGrid w:val="0"/>
      <w:jc w:val="center"/>
    </w:pPr>
    <w:rPr>
      <w:sz w:val="18"/>
      <w:szCs w:val="18"/>
    </w:rPr>
  </w:style>
  <w:style w:type="paragraph" w:customStyle="1" w:styleId="a5">
    <w:name w:val="四号正文"/>
    <w:basedOn w:val="a"/>
    <w:qFormat/>
    <w:rsid w:val="00132B2B"/>
    <w:pPr>
      <w:spacing w:line="360" w:lineRule="auto"/>
    </w:pPr>
    <w:rPr>
      <w:rFonts w:ascii="??" w:eastAsia="宋体" w:hAnsi="??" w:cs="Times New Roman"/>
      <w:color w:val="000000"/>
      <w:kern w:val="0"/>
      <w:sz w:val="28"/>
      <w:szCs w:val="21"/>
    </w:rPr>
  </w:style>
  <w:style w:type="character" w:customStyle="1" w:styleId="Char0">
    <w:name w:val="页眉 Char"/>
    <w:basedOn w:val="a0"/>
    <w:link w:val="a4"/>
    <w:qFormat/>
    <w:rsid w:val="00132B2B"/>
    <w:rPr>
      <w:kern w:val="2"/>
      <w:sz w:val="18"/>
      <w:szCs w:val="18"/>
    </w:rPr>
  </w:style>
  <w:style w:type="character" w:customStyle="1" w:styleId="Char">
    <w:name w:val="页脚 Char"/>
    <w:basedOn w:val="a0"/>
    <w:link w:val="a3"/>
    <w:qFormat/>
    <w:rsid w:val="00132B2B"/>
    <w:rPr>
      <w:kern w:val="2"/>
      <w:sz w:val="18"/>
      <w:szCs w:val="18"/>
    </w:rPr>
  </w:style>
  <w:style w:type="paragraph" w:styleId="a6">
    <w:name w:val="List Paragraph"/>
    <w:basedOn w:val="a"/>
    <w:uiPriority w:val="99"/>
    <w:unhideWhenUsed/>
    <w:qFormat/>
    <w:rsid w:val="00132B2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74</cp:revision>
  <dcterms:created xsi:type="dcterms:W3CDTF">2019-07-08T03:07:00Z</dcterms:created>
  <dcterms:modified xsi:type="dcterms:W3CDTF">2021-08-16T10:11:00Z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