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黑水县住房和城乡建设局（本级）2022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  <w:t>县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级部门整体支出绩效评价报告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一、部门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概况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机构组成。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本部门独立编制机构1个，内设办公室、住房保障和房地产管理股、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建筑管理股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城市建设股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村镇建设股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市政公用设施管理股、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</w:t>
      </w:r>
      <w:r>
        <w:rPr>
          <w:rFonts w:hint="eastAsia" w:ascii="仿宋_GB2312" w:hAnsi="仿宋_GB2312" w:eastAsia="仿宋_GB2312" w:cs="仿宋_GB2312"/>
          <w:sz w:val="32"/>
          <w:szCs w:val="32"/>
        </w:rPr>
        <w:t>工程质量安全监督站、城乡环境综合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治理服务中心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个股室。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本单位下属二级预算单位0个，其中行政单位0个，参照公务员管理事业单位0个，其他事业单位0个。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机构职能。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黑水县住房和城乡建设局</w:t>
      </w:r>
      <w:r>
        <w:rPr>
          <w:rFonts w:hint="eastAsia" w:ascii="仿宋" w:hAnsi="仿宋" w:eastAsia="仿宋" w:cs="仿宋"/>
          <w:sz w:val="32"/>
          <w:szCs w:val="32"/>
        </w:rPr>
        <w:t>主要是负责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本系统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本部门依法行政工作、推进住房制度改革、保障全县城镇低收入家庭住房、全县工程建设标准体系责任、规范全县房地产市场秩序、监督管理全县建筑市场、指导全县城镇建设管理、</w:t>
      </w:r>
      <w:r>
        <w:rPr>
          <w:rFonts w:hint="eastAsia" w:ascii="仿宋" w:hAnsi="仿宋" w:eastAsia="仿宋" w:cs="仿宋"/>
          <w:sz w:val="32"/>
          <w:szCs w:val="32"/>
        </w:rPr>
        <w:t>建筑工程质量安全监督、城乡环境综合治理等工作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人员概况。</w:t>
      </w:r>
    </w:p>
    <w:p>
      <w:pPr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名，行政编制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人，其中行政工勤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人。本单位本年年末人数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人，其中：行政编制人员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行政工勤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二、部门财政资金收支情况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(一)部门财政资金收入情况</w:t>
      </w:r>
    </w:p>
    <w:p>
      <w:pPr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年本年收入合计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239.27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239.27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部门财政资金支出情况。</w:t>
      </w:r>
    </w:p>
    <w:p>
      <w:pPr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Autospacing="0" w:afterAutospacing="0" w:line="560" w:lineRule="exact"/>
        <w:ind w:left="0"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基本支出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Autospacing="0" w:after="0" w:afterAutospacing="0" w:line="560" w:lineRule="exact"/>
        <w:ind w:left="0" w:leftChars="0" w:firstLine="646" w:firstLineChars="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基本支出用于为保障机构正常运转、完成日常工作任务而发生的支出，包括人员经费和公用经费。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年年初预算批复的基本支出为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198.97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万元，年中追加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40.3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万元，上年指标结转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6.9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全年财政拨款收入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239.27万元，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全年财政拨款支出为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246.17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，收支差额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6.9万元，主要原因为上年结转和结余。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/>
        <w:textAlignment w:val="auto"/>
        <w:rPr>
          <w:rFonts w:hint="default" w:ascii="仿宋_GB2312" w:hAnsi="仿宋_GB2312" w:eastAsia="仿宋_GB2312" w:cs="仿宋_GB2312"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　　202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年决算基本支出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246.17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人员经费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219.16万元，公用经费27.01万元</w:t>
      </w:r>
    </w:p>
    <w:p>
      <w:pPr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 w:val="0"/>
        <w:spacing w:beforeAutospacing="0" w:afterAutospacing="0" w:line="560" w:lineRule="exact"/>
        <w:ind w:left="0"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项目支出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2022年度本部门无项目支出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firstLine="642" w:firstLineChars="200"/>
        <w:textAlignment w:val="auto"/>
        <w:outlineLvl w:val="0"/>
        <w:rPr>
          <w:rFonts w:ascii="仿宋" w:hAnsi="仿宋" w:eastAsia="仿宋"/>
          <w:b/>
          <w:bCs/>
          <w:color w:val="010101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010101"/>
          <w:sz w:val="32"/>
          <w:szCs w:val="32"/>
          <w:lang w:val="en-US" w:eastAsia="zh-CN"/>
        </w:rPr>
        <w:t>3.</w:t>
      </w:r>
      <w:r>
        <w:rPr>
          <w:rFonts w:ascii="仿宋" w:hAnsi="仿宋" w:eastAsia="仿宋"/>
          <w:b/>
          <w:bCs/>
          <w:color w:val="010101"/>
          <w:sz w:val="32"/>
          <w:szCs w:val="32"/>
        </w:rPr>
        <w:t>“三公”经费情况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2022年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决算支出“三公”经费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0.13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万元，其中公务接待费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0.13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 xml:space="preserve">万元、                                  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部门整体预算绩效管理情况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部门预算管理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Autospacing="0" w:line="560" w:lineRule="exact"/>
        <w:ind w:lef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按照县级部门预算编制通知和有关要求，对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</w:rPr>
        <w:t>的各项收入及支出作了认真的清理，真实、准确、全面、及时的完成年度预、决算工作；认真对绩效目标的填报，对专项预算进行分期、分批并结合实际提前细化，保障正常运行。</w:t>
      </w:r>
    </w:p>
    <w:p>
      <w:pPr>
        <w:pageBreakBefore w:val="0"/>
        <w:widowControl w:val="0"/>
        <w:kinsoku/>
        <w:wordWrap/>
        <w:topLinePunct w:val="0"/>
        <w:autoSpaceDE/>
        <w:bidi w:val="0"/>
        <w:adjustRightInd/>
        <w:spacing w:line="560" w:lineRule="exact"/>
        <w:ind w:left="0"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年部门绩效目标：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一是“两保障一监管”深入住房保障，二是“两提升一保护”完善城镇功能，三是“两严格一深入”共创生态文明示范，四是“三强化”促行业监管提质增效。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Autospacing="0" w:line="560" w:lineRule="exact"/>
        <w:ind w:left="0" w:firstLine="642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2022年重点工作完成情况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“两保障一监管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深入住房保障。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一是保障住房供给。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总投资0.9亿元的县城干部周转房二期，正在第14层施工，预计年内完成主体建设，其建成后计划安置100户。监管商品房建设和预售资金使用，“哈德广场”2栋建筑完成外装，剩余1栋计划年内完成主体建设。该楼盘住宅销售占比70%、商业销售占比32%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二是保障住房安全。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完成住建领域第一次自然灾害综合风险普查，完成全县建筑3.26万栋和县城市政道路25条、桥梁14座和供水管线17条17.95公里普查工作，为上级决策提升基本信息。自建房安全隐患排查农房28325栋，其中存在安全隐患的453栋，已采取个人租借、投亲靠友、闲置安置等排险，其中租住68户、借住72户、投亲靠友63户、村内闲着房屋安置24户，异地有安全房屋226户。采取个人重建+政府补助方式，年内启动了45户低收入群体农村危房改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三是监管物业服务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加强对物业公司的监管，协调解处理的各类故障维修维护，督促“芦花家园”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B区污水管网的改造。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整治各小区卫生死角，规范停车位，配合推进黑水县创建文明城市工作。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督促2家物业企业做好7个物业小区服务，落实测体温、扫码亮码等防疫措施，整改县创城办居民小区环境卫生问题2个，完成了人民网网友芦花家园A区污水处溢问题的处理。县林草局家属楼成立了业委会，县城累计有小区业委会4个，向县政协委员宣传小区业委会成立流程及要求。按照全州住建系统安排，对县城3个商住小区的维修资金进行了清理，已归集维修资金72.9万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Style w:val="16"/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“两提升一保护”完善城镇功能。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一是提升城市综合品质。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制完成城市品质提升“十四五”专项规划，明确了“冰雪映城·彩林画城·红色耀城”的城市定位，梳理项目27个、总投资9.43亿元，构建“一廊、两心、五片”城市结构。按照领导小组定期调度、主管部门牵头承办、县国投公司融资建设或属地镇担当业主的模式，推动环县城游步道等4个项目建设。其中，概算投资4800万元的芦花镇三个标段的乡村旅游基础设施的施工单位已于10月进场施工，计划明</w:t>
      </w:r>
      <w:r>
        <w:rPr>
          <w:rFonts w:hint="eastAsia" w:ascii="仿宋_GB2312" w:hAnsi="仿宋_GB2312" w:eastAsia="仿宋_GB2312" w:cs="仿宋_GB2312"/>
          <w:bCs/>
          <w:caps/>
          <w:color w:val="000000"/>
          <w:kern w:val="2"/>
          <w:sz w:val="32"/>
          <w:szCs w:val="32"/>
          <w:lang w:val="en-US" w:eastAsia="zh-CN" w:bidi="ar-SA"/>
        </w:rPr>
        <w:t>年底完工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；概算投资1.2亿元的县城老旧小区改造已确定总承包方，计划年底前完成样板栋建设；概算投资3000万元的县城3座景观桥梁已完成施工图图审和清单编制，进入财评环节，计划11月底前完成招投标。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二是提升城镇承载能力。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加快城镇市政道路建设，县城市政二期完成芦花桥建设，团结桥拓宽改造进入桥面、栏杆施工，并计划年内完成团结桥及桥头西侧的市政广场建设；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完成老政府家属区环境绿化提升，黑化区内道路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0.55万平米、户外活动场地680平米，新增了0.2万平米绿化和垃圾分类房、羽毛球场、凉亭等设施。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2.3公里的知木林绕场路和原址重建的2座市政桥梁建设年内投用，3.1公里的扎窝镇市政道路和2.5公里长的西尔镇市政道路计划年内完工。以色尔古镇为载体，深入“省级百强中心镇”创建，并完成州内初评。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三是保护利用传统村落。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将16处传统村落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纳入保护范围，现有国家级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5处、省级11处，今年新申报且进入公示的国家级3个。积极参与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国家级传统村落集中连片保护利用示范县创建，终因排名全省第二遗憾落选。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坚持建管用三结合，构建传统村落保护利用机制。投资300万元的沙石多镇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奶子沟和昌德村传统村落保护利用项目进场施工，计划年内完成建设。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3.“两严格一深入”共创生态文明示范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。一是严格城镇供排水管理。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谷汝水厂恢复重建项目于今年7月20日供水，扎窝镇市政供水项目计划年底前建成投入使用。8个建制镇中，有6个建制镇污水处理设施正常运行，剩余扎窝和西尔2镇污水处理站计划年底前完工。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县城污水处理厂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进水浓度、污泥处置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2个问题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整改，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以一级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A标排放标准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启动县污水处理厂提标改造及县城234处管网病害处理，现已完成60%工程量，计划年底前基本建成。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二是严格城乡垃圾处理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。州级城乡垃圾“新三推”涉及我县的厨余垃圾处理及资源化利用、县城垃圾卫生填埋场封场、县城生活垃圾分类收转运设施3个项目均已立项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按照环卫管理精细化、垃圾处置固定化、监督检查常态化的原则，依托2个垃圾焚烧厂、5个垃圾压缩中转站、3个移动压缩站和2台中转车、2辆转运车/乡（镇），年内新投放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3m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垃圾箱100个，进一步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完善“村组收集、乡镇转运、片区处理”的城乡垃圾收转运体系，全县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城乡垃圾收集处理率达到了90%以上。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三是深入城乡环境治理。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投资40万元改造团结桥头西侧公厕1座，计划年网内建成投入使用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；明确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公路沿线公厕管理员258人、二级所长15人、网格监督员100人，落实公厕环境卫生管理。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印发城乡环境综合治理责任区域划分通知、城乡环境综合治理工作方案、逐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步推进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每月第二周和第四周星期五定期大扫除机制常态化。建立常态化的监督检查及问题曝光机制，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“点对点”将检查发现问题通报所属单位限期整改，建立检查问题整改台账。对限期整改不到位的，在县级媒体上通报曝光。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全年张贴环境治理宣传海报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100余份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发改资料500余份，全年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检查城乡环境15次、整改问题23个，建立起每月2次的卫生大扫除活动，并每月对部门、乡镇进行排名。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Autospacing="0" w:line="560" w:lineRule="exact"/>
        <w:ind w:left="0" w:firstLine="64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“三</w:t>
      </w:r>
      <w:r>
        <w:rPr>
          <w:rFonts w:hint="eastAsia" w:ascii="仿宋_GB2312" w:hAnsi="仿宋_GB2312" w:eastAsia="仿宋_GB2312" w:cs="仿宋_GB2312"/>
          <w:b/>
          <w:bCs/>
          <w:sz w:val="32"/>
          <w:lang w:val="en-US" w:eastAsia="zh-CN"/>
        </w:rPr>
        <w:t>强化”促行业监管提质增效。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一是强化行业安全生产。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订行业领域应急预案6个，督促企业开展应急演练3次。加强在建工程质量安全，年内报监在建工程18个、4.77万平米，总投资2.11亿元；开展质量安全监督检查118个次，发出《质量安全整改通知单》21份，所有问题已全部整改，实现工地“死亡事故零指标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全年查处</w:t>
      </w:r>
      <w:r>
        <w:rPr>
          <w:rFonts w:hint="eastAsia" w:ascii="仿宋_GB2312" w:hAnsi="仿宋_GB2312" w:eastAsia="仿宋_GB2312" w:cs="仿宋_GB2312"/>
          <w:sz w:val="32"/>
          <w:szCs w:val="32"/>
        </w:rPr>
        <w:t>出借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资质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未批先建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起</w:t>
      </w:r>
      <w:r>
        <w:rPr>
          <w:rFonts w:hint="eastAsia" w:ascii="仿宋_GB2312" w:hAnsi="仿宋_GB2312" w:eastAsia="仿宋_GB2312" w:cs="仿宋_GB2312"/>
          <w:sz w:val="32"/>
          <w:szCs w:val="32"/>
        </w:rPr>
        <w:t>，罚金1.488万元。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督促城镇燃气安全使用，与冰川燃气公司签订安全生产责任书，制定燃气安全应急预案，督促企业开展应急演练，提高应急救援处置能力。牵头城镇燃气安全隐患排查及问题整改，共张贴宣传资料120张，发放明白卡926户，排查燃气926户，87个问题已整改完毕。强化行业领域疫情防控，督促系统人员做好第三针疫苗接种，疫苗接种率达到98%；督促行业从业人员做好静态管控期间的管理及每周2次常态化核酸检测，全县18个在建工地均建立了人员排查台账，均落实进出测体温、扫码亮码、提前报备、入县核酸检测和居家隔离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防疫措施，并做好口罩、消毒液等防疫物资储备。共开具进县证明700余人。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二是强化建筑行业监管。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抓好建筑业产值统计，现已完成1.69亿元、同比增长34.3%，力争全年完成2.5亿元。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强化对企服务，召开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企业联席会议2次，帮助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四川均衡建司等县内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企业“纾困解难”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。强化政策保障，结合阿坝州促进建筑业高质量发展的实施意见稿，调整形成《黑水县促进建筑业高质量发展实施意见（送审稿）》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完善填报机制，以预填预报提前掌握企业产值完成情况，年内新增入统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建筑企业4家，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注册企业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纳入建筑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业产值入统的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印发</w:t>
      </w:r>
      <w:r>
        <w:rPr>
          <w:rFonts w:hint="eastAsia" w:ascii="仿宋_GB2312" w:hAnsi="仿宋_GB2312" w:eastAsia="仿宋_GB2312" w:cs="仿宋_GB2312"/>
          <w:sz w:val="32"/>
          <w:szCs w:val="32"/>
        </w:rPr>
        <w:t>《2022年度根治欠薪工作的实施方案》，进一步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落实工程建设保证金、农民工实名制、农民工工资专户等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制度，强化日常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监督检查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，畅通投诉举报渠道，积极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防范化解建设工地</w:t>
      </w:r>
      <w:r>
        <w:rPr>
          <w:rFonts w:hint="eastAsia" w:ascii="仿宋_GB2312" w:hAnsi="仿宋_GB2312" w:eastAsia="仿宋_GB2312" w:cs="仿宋_GB2312"/>
          <w:sz w:val="32"/>
          <w:szCs w:val="32"/>
        </w:rPr>
        <w:t>欠薪问题。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截至</w:t>
      </w:r>
      <w:r>
        <w:rPr>
          <w:rFonts w:hint="eastAsia" w:ascii="仿宋_GB2312" w:hAnsi="仿宋_GB2312" w:eastAsia="仿宋_GB2312" w:cs="仿宋_GB2312"/>
          <w:sz w:val="32"/>
          <w:szCs w:val="32"/>
        </w:rPr>
        <w:t>目前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无拖欠民工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工资问题发生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抓好固定资产投资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，截至目前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新增固定资产10590万元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三是强化建设审批制度改革。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牵头工改2.0工作，梳理房建和市政工程建设审批事项及前置要件，印发《关于进一步做好住建领域工程建设项目审批的通知》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，督促业主单位完善报建手续，积极做好本部门在线审批服务。截至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目前，共办理施工许可证办理26件，招投标监督工作16个。促进房地产健康发展。监管好“哈德广场”预售资金，该项目应归集资金1.42亿元，现已归集1.07亿元，已拨付9143万元。目前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，商品房备案243宗、面积23284.1㎡，成交金额13368.668万元。协助做好房地产领域不动产登记，存量房产权交易累计15宗、面积9463.47万㎡，成交2062.66万元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Autospacing="0" w:line="560" w:lineRule="exact"/>
        <w:ind w:left="0"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（二）结果应用情况。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Autospacing="0" w:line="560" w:lineRule="exact"/>
        <w:ind w:firstLine="64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绩效自评公开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Autospacing="0" w:line="560" w:lineRule="exact"/>
        <w:ind w:lef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每年按规定对本单位项目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及整体支出进行绩效评价；并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将评价结果</w:t>
      </w:r>
      <w:r>
        <w:rPr>
          <w:rFonts w:hint="eastAsia" w:ascii="仿宋_GB2312" w:hAnsi="仿宋_GB2312" w:eastAsia="仿宋_GB2312" w:cs="仿宋_GB2312"/>
          <w:sz w:val="32"/>
          <w:szCs w:val="32"/>
        </w:rPr>
        <w:t>按规定在政府公开网站公开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依法接受财政部门监督监管。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Autospacing="0" w:line="560" w:lineRule="exact"/>
        <w:ind w:firstLine="642" w:firstLineChars="200"/>
        <w:textAlignment w:val="auto"/>
        <w:outlineLvl w:val="9"/>
        <w:rPr>
          <w:rFonts w:hint="eastAsia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eastAsia="仿宋_GB2312" w:cs="仿宋_GB2312"/>
          <w:b/>
          <w:bCs/>
          <w:sz w:val="32"/>
          <w:szCs w:val="32"/>
          <w:lang w:val="en-US" w:eastAsia="zh-CN"/>
        </w:rPr>
        <w:t>评价结果整改和应用结果</w:t>
      </w:r>
    </w:p>
    <w:p>
      <w:pPr>
        <w:pStyle w:val="9"/>
        <w:shd w:val="clear" w:color="auto" w:fill="FFFFFF"/>
        <w:spacing w:before="0" w:beforeAutospacing="0" w:after="0" w:afterAutospacing="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eastAsia="仿宋_GB2312"/>
          <w:lang w:val="en-US" w:eastAsia="zh-CN"/>
        </w:rPr>
        <w:t xml:space="preserve">     </w:t>
      </w:r>
      <w:r>
        <w:rPr>
          <w:rFonts w:hint="eastAsia" w:ascii="仿宋" w:hAnsi="仿宋" w:eastAsia="仿宋"/>
          <w:color w:val="000000"/>
          <w:sz w:val="32"/>
          <w:szCs w:val="32"/>
        </w:rPr>
        <w:t>预算支出在保障本局工作运转、履行职能职责上整体情况良好。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</w:rPr>
        <w:t>年度支出绩效较好，预算编制比较精确、合理;为认真落实中央“八项”规定等厉行节约，反对浪费规定要求，压缩了部分培训费及一般性支出;动态优化了年度预算安排，保障了在经费压缩情况下的高效运转;各项目经费的支出有力保障了项目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建设</w:t>
      </w:r>
      <w:r>
        <w:rPr>
          <w:rFonts w:hint="eastAsia" w:ascii="仿宋" w:hAnsi="仿宋" w:eastAsia="仿宋"/>
          <w:color w:val="000000"/>
          <w:sz w:val="32"/>
          <w:szCs w:val="32"/>
        </w:rPr>
        <w:t>所需，推动了改革和各类便民措施的实行;提高了管理工作的规范化、信息化水平;强化机关公用经费及日常运行经费管理，对于各科室日常公用经费按照相关政策进行管理，对于办公日常运行维护费用加强审核力度，公用经费及水、电等日常运行经费均有一定下降。</w:t>
      </w:r>
      <w:r>
        <w:rPr>
          <w:rFonts w:hint="eastAsia" w:eastAsia="仿宋"/>
          <w:color w:val="000000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评价结论及建议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 评价结论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年，我单位在县委、县政府的领导下，坚持依法行政、执法为民，稳中求进，改革创新，积极作为，突出抓改革强监管促发展，各方面工作稳步推进，根据我单位制定的《部门整体支出绩效评价自评分值表》评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分，得分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分，财政支出绩效为“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存在问题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绩效目标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设定还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不够完善，预算编制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还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不够科学合理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改进建议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进一步完善绩效目标填报工作，强化绩效指标实用性。绩效目标是整个预算绩效管理的起点，与部门履职效率形成直接关系，在接下来工作中，严格按照经济型、效率性及效益性原则设置对应指标，提高绩效指标实用性。认真履行预算编报要求，提高预算编报的科学性。严格按照相关预算编报文件要求，结合近年来执行情况，合理编制各项预算，提高预算的科学性和准确性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="0" w:afterAutospacing="0" w:line="560" w:lineRule="exact"/>
        <w:ind w:lef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黑水县住房和城乡建设局</w:t>
      </w:r>
    </w:p>
    <w:p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pacing w:beforeAutospacing="0" w:after="0" w:afterAutospacing="0" w:line="560" w:lineRule="exact"/>
        <w:ind w:lef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2023年8月23日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4YmFkMmRiOTVkZDYxZmUzNDY5YTNjNWEzNDk5ZDQifQ=="/>
  </w:docVars>
  <w:rsids>
    <w:rsidRoot w:val="004C22EC"/>
    <w:rsid w:val="004C22EC"/>
    <w:rsid w:val="007B38C6"/>
    <w:rsid w:val="1B4A3EC4"/>
    <w:rsid w:val="28876FC5"/>
    <w:rsid w:val="29402826"/>
    <w:rsid w:val="32CA5C84"/>
    <w:rsid w:val="4A0B0DD8"/>
    <w:rsid w:val="57B166CC"/>
    <w:rsid w:val="5BF82A43"/>
    <w:rsid w:val="BBFB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6"/>
    <w:qFormat/>
    <w:uiPriority w:val="0"/>
    <w:pPr>
      <w:ind w:firstLine="664"/>
    </w:pPr>
    <w:rPr>
      <w:rFonts w:ascii="Calibri" w:hAnsi="Calibri" w:eastAsia="宋体" w:cs="Times New Roman"/>
    </w:rPr>
  </w:style>
  <w:style w:type="character" w:customStyle="1" w:styleId="13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7"/>
    <w:semiHidden/>
    <w:qFormat/>
    <w:uiPriority w:val="99"/>
    <w:rPr>
      <w:sz w:val="18"/>
      <w:szCs w:val="18"/>
    </w:rPr>
  </w:style>
  <w:style w:type="character" w:customStyle="1" w:styleId="15">
    <w:name w:val="标题 1 Char"/>
    <w:basedOn w:val="12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5018</Words>
  <Characters>5420</Characters>
  <Lines>2</Lines>
  <Paragraphs>1</Paragraphs>
  <TotalTime>27</TotalTime>
  <ScaleCrop>false</ScaleCrop>
  <LinksUpToDate>false</LinksUpToDate>
  <CharactersWithSpaces>5512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2023-08-30T15:21:18Z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18B2DA436C144CC6B9E9881EAD4D1C0E</vt:lpwstr>
  </property>
</Properties>
</file>