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ind w:left="0"/>
        <w:jc w:val="center"/>
        <w:textAlignment w:val="auto"/>
        <w:rPr>
          <w:rFonts w:hint="eastAsia" w:ascii="宋体" w:hAnsi="宋体" w:eastAsia="宋体" w:cs="宋体"/>
          <w:b/>
          <w:bCs w:val="0"/>
          <w:sz w:val="44"/>
          <w:szCs w:val="44"/>
        </w:rPr>
      </w:pPr>
      <w:r>
        <w:rPr>
          <w:rFonts w:hint="eastAsia" w:ascii="宋体" w:hAnsi="宋体" w:eastAsia="宋体" w:cs="宋体"/>
          <w:b/>
          <w:bCs w:val="0"/>
          <w:sz w:val="44"/>
          <w:szCs w:val="44"/>
          <w:lang w:val="en-US" w:eastAsia="zh-CN"/>
        </w:rPr>
        <w:t>黑水县住房和城乡建设局2022</w:t>
      </w:r>
      <w:r>
        <w:rPr>
          <w:rFonts w:hint="eastAsia" w:ascii="宋体" w:hAnsi="宋体" w:eastAsia="宋体" w:cs="宋体"/>
          <w:b/>
          <w:bCs w:val="0"/>
          <w:sz w:val="44"/>
          <w:szCs w:val="44"/>
        </w:rPr>
        <w:t>年</w:t>
      </w:r>
      <w:r>
        <w:rPr>
          <w:rFonts w:hint="eastAsia" w:ascii="宋体" w:hAnsi="宋体" w:eastAsia="宋体" w:cs="宋体"/>
          <w:b/>
          <w:bCs w:val="0"/>
          <w:sz w:val="44"/>
          <w:szCs w:val="44"/>
          <w:lang w:eastAsia="zh-CN"/>
        </w:rPr>
        <w:t>县</w:t>
      </w:r>
      <w:r>
        <w:rPr>
          <w:rFonts w:hint="eastAsia" w:ascii="宋体" w:hAnsi="宋体" w:eastAsia="宋体" w:cs="宋体"/>
          <w:b/>
          <w:bCs w:val="0"/>
          <w:sz w:val="44"/>
          <w:szCs w:val="44"/>
        </w:rPr>
        <w:t>级部门整体支出绩效评价报告</w:t>
      </w: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黑体" w:hAnsi="黑体" w:eastAsia="黑体" w:cs="黑体"/>
          <w:b w:val="0"/>
          <w:bCs w:val="0"/>
          <w:sz w:val="32"/>
          <w:szCs w:val="32"/>
        </w:rPr>
      </w:pP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一、部门</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单位</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概况</w:t>
      </w:r>
    </w:p>
    <w:p>
      <w:pPr>
        <w:pageBreakBefore w:val="0"/>
        <w:widowControl w:val="0"/>
        <w:numPr>
          <w:ilvl w:val="0"/>
          <w:numId w:val="0"/>
        </w:numPr>
        <w:kinsoku/>
        <w:wordWrap/>
        <w:overflowPunct/>
        <w:topLinePunct w:val="0"/>
        <w:autoSpaceDE/>
        <w:bidi w:val="0"/>
        <w:adjustRightIn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机构组成。</w:t>
      </w: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本部门独立编制机构1个，内设办公室、住房保障和房地产管理股、</w:t>
      </w:r>
      <w:r>
        <w:rPr>
          <w:rFonts w:hint="eastAsia" w:ascii="仿宋_GB2312" w:hAnsi="仿宋_GB2312" w:eastAsia="仿宋_GB2312" w:cs="仿宋_GB2312"/>
          <w:sz w:val="32"/>
          <w:szCs w:val="32"/>
          <w:lang w:eastAsia="zh-CN"/>
        </w:rPr>
        <w:t>建筑管理股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城市建设股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村镇建设股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市政公用设施管理股、</w:t>
      </w:r>
      <w:r>
        <w:rPr>
          <w:rFonts w:hint="eastAsia" w:ascii="仿宋_GB2312" w:hAnsi="仿宋_GB2312" w:eastAsia="仿宋_GB2312" w:cs="仿宋_GB2312"/>
          <w:sz w:val="32"/>
          <w:szCs w:val="32"/>
        </w:rPr>
        <w:t>建</w:t>
      </w:r>
      <w:r>
        <w:rPr>
          <w:rFonts w:hint="eastAsia" w:ascii="仿宋_GB2312" w:hAnsi="仿宋_GB2312" w:eastAsia="仿宋_GB2312" w:cs="仿宋_GB2312"/>
          <w:sz w:val="32"/>
          <w:szCs w:val="32"/>
          <w:lang w:eastAsia="zh-CN"/>
        </w:rPr>
        <w:t>设</w:t>
      </w:r>
      <w:r>
        <w:rPr>
          <w:rFonts w:hint="eastAsia" w:ascii="仿宋_GB2312" w:hAnsi="仿宋_GB2312" w:eastAsia="仿宋_GB2312" w:cs="仿宋_GB2312"/>
          <w:sz w:val="32"/>
          <w:szCs w:val="32"/>
        </w:rPr>
        <w:t>工程质量安全监督站、城乡环境综合</w:t>
      </w:r>
      <w:r>
        <w:rPr>
          <w:rFonts w:hint="eastAsia" w:ascii="仿宋_GB2312" w:hAnsi="仿宋_GB2312" w:eastAsia="仿宋_GB2312" w:cs="仿宋_GB2312"/>
          <w:sz w:val="32"/>
          <w:szCs w:val="32"/>
          <w:lang w:eastAsia="zh-CN"/>
        </w:rPr>
        <w:t>治理服务中心</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个股室。</w:t>
      </w: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本单位下属二级预算单位0个，其中行政单位0个，参照公务员管理事业单位0个，其他事业单位0个。</w:t>
      </w:r>
    </w:p>
    <w:p>
      <w:pPr>
        <w:pageBreakBefore w:val="0"/>
        <w:widowControl w:val="0"/>
        <w:numPr>
          <w:ilvl w:val="0"/>
          <w:numId w:val="0"/>
        </w:numPr>
        <w:kinsoku/>
        <w:wordWrap/>
        <w:overflowPunct/>
        <w:topLinePunct w:val="0"/>
        <w:autoSpaceDE/>
        <w:bidi w:val="0"/>
        <w:adjustRightIn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机构职能。</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黑水县住房和城乡建设局</w:t>
      </w:r>
      <w:r>
        <w:rPr>
          <w:rFonts w:hint="eastAsia" w:ascii="仿宋" w:hAnsi="仿宋" w:eastAsia="仿宋" w:cs="仿宋"/>
          <w:sz w:val="32"/>
          <w:szCs w:val="32"/>
        </w:rPr>
        <w:t>主要是负责</w:t>
      </w:r>
      <w:r>
        <w:rPr>
          <w:rFonts w:hint="eastAsia" w:ascii="仿宋" w:hAnsi="仿宋" w:eastAsia="仿宋" w:cs="仿宋"/>
          <w:sz w:val="32"/>
          <w:szCs w:val="32"/>
          <w:lang w:eastAsia="zh-CN"/>
        </w:rPr>
        <w:t>本系统</w:t>
      </w:r>
      <w:r>
        <w:rPr>
          <w:rFonts w:hint="eastAsia" w:ascii="仿宋" w:hAnsi="仿宋" w:eastAsia="仿宋" w:cs="仿宋"/>
          <w:sz w:val="32"/>
          <w:szCs w:val="32"/>
        </w:rPr>
        <w:t>、</w:t>
      </w:r>
      <w:r>
        <w:rPr>
          <w:rFonts w:hint="eastAsia" w:ascii="仿宋" w:hAnsi="仿宋" w:eastAsia="仿宋" w:cs="仿宋"/>
          <w:sz w:val="32"/>
          <w:szCs w:val="32"/>
          <w:lang w:eastAsia="zh-CN"/>
        </w:rPr>
        <w:t>本部门依法行政工作、推进住房制度改革、保障全县城镇低收入家庭住房、全县工程建设标准体系责任、规范全县房地产市场秩序、监督管理全县建筑市场、指导全县城镇建设管理、</w:t>
      </w:r>
      <w:r>
        <w:rPr>
          <w:rFonts w:hint="eastAsia" w:ascii="仿宋" w:hAnsi="仿宋" w:eastAsia="仿宋" w:cs="仿宋"/>
          <w:sz w:val="32"/>
          <w:szCs w:val="32"/>
        </w:rPr>
        <w:t>建筑工程质量安全监督、城乡环境综合治理等工作</w:t>
      </w:r>
      <w:r>
        <w:rPr>
          <w:rFonts w:hint="eastAsia" w:ascii="仿宋" w:hAnsi="仿宋" w:eastAsia="仿宋" w:cs="仿宋"/>
          <w:sz w:val="32"/>
          <w:szCs w:val="32"/>
          <w:lang w:eastAsia="zh-CN"/>
        </w:rPr>
        <w:t>。</w:t>
      </w:r>
    </w:p>
    <w:p>
      <w:pPr>
        <w:pageBreakBefore w:val="0"/>
        <w:widowControl w:val="0"/>
        <w:numPr>
          <w:ilvl w:val="0"/>
          <w:numId w:val="0"/>
        </w:numPr>
        <w:kinsoku/>
        <w:wordWrap/>
        <w:overflowPunct/>
        <w:topLinePunct w:val="0"/>
        <w:autoSpaceDE/>
        <w:bidi w:val="0"/>
        <w:adjustRightIn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人员概况。</w:t>
      </w:r>
    </w:p>
    <w:p>
      <w:pPr>
        <w:pageBreakBefore w:val="0"/>
        <w:widowControl w:val="0"/>
        <w:kinsoku/>
        <w:wordWrap/>
        <w:overflowPunct/>
        <w:topLinePunct w:val="0"/>
        <w:autoSpaceDE/>
        <w:bidi w:val="0"/>
        <w:adjustRightInd/>
        <w:spacing w:beforeAutospacing="0" w:afterAutospacing="0" w:line="560" w:lineRule="exact"/>
        <w:ind w:left="0"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sz w:val="32"/>
          <w:szCs w:val="32"/>
        </w:rPr>
        <w:t>单位编制</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名，行政编制</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人，其中行政工勤</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人。事业编制</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人，本单位本年年末人数</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人，其中：行政编制人员</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人，事业编制人员1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p>
    <w:p>
      <w:pPr>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二、部门财政资金收支情况</w:t>
      </w:r>
    </w:p>
    <w:p>
      <w:pPr>
        <w:pageBreakBefore w:val="0"/>
        <w:widowControl w:val="0"/>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仿宋" w:hAnsi="仿宋" w:eastAsia="仿宋" w:cs="仿宋"/>
          <w:sz w:val="32"/>
          <w:szCs w:val="32"/>
        </w:rPr>
      </w:pPr>
      <w:r>
        <w:rPr>
          <w:rFonts w:hint="eastAsia" w:ascii="楷体_GB2312" w:hAnsi="楷体_GB2312" w:eastAsia="楷体_GB2312" w:cs="楷体_GB2312"/>
          <w:b/>
          <w:bCs/>
          <w:sz w:val="32"/>
          <w:szCs w:val="32"/>
        </w:rPr>
        <w:t>(一)部门财政资金收入情况</w:t>
      </w:r>
    </w:p>
    <w:p>
      <w:pPr>
        <w:pageBreakBefore w:val="0"/>
        <w:widowControl w:val="0"/>
        <w:kinsoku/>
        <w:wordWrap/>
        <w:overflowPunct/>
        <w:topLinePunct w:val="0"/>
        <w:autoSpaceDE/>
        <w:bidi w:val="0"/>
        <w:adjustRightInd/>
        <w:spacing w:beforeAutospacing="0" w:afterAutospacing="0" w:line="560" w:lineRule="exact"/>
        <w:ind w:left="0"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2022</w:t>
      </w:r>
      <w:r>
        <w:rPr>
          <w:rFonts w:hint="eastAsia" w:ascii="仿宋_GB2312" w:hAnsi="仿宋_GB2312" w:eastAsia="仿宋_GB2312" w:cs="仿宋_GB2312"/>
          <w:color w:val="000000"/>
          <w:sz w:val="32"/>
          <w:szCs w:val="32"/>
        </w:rPr>
        <w:t>年本年收入合计</w:t>
      </w:r>
      <w:r>
        <w:rPr>
          <w:rFonts w:hint="eastAsia" w:ascii="仿宋_GB2312" w:hAnsi="仿宋_GB2312" w:eastAsia="仿宋_GB2312" w:cs="仿宋_GB2312"/>
          <w:color w:val="000000"/>
          <w:sz w:val="32"/>
          <w:szCs w:val="32"/>
          <w:lang w:val="en-US" w:eastAsia="zh-CN"/>
        </w:rPr>
        <w:t>10196.16</w:t>
      </w:r>
      <w:r>
        <w:rPr>
          <w:rFonts w:hint="eastAsia" w:ascii="仿宋_GB2312" w:hAnsi="仿宋_GB2312" w:eastAsia="仿宋_GB2312" w:cs="仿宋_GB2312"/>
          <w:color w:val="000000"/>
          <w:sz w:val="32"/>
          <w:szCs w:val="32"/>
        </w:rPr>
        <w:t>万元，其中：一般公共预算财政拨款收入</w:t>
      </w:r>
      <w:r>
        <w:rPr>
          <w:rFonts w:hint="eastAsia" w:ascii="仿宋_GB2312" w:hAnsi="仿宋_GB2312" w:eastAsia="仿宋_GB2312" w:cs="仿宋_GB2312"/>
          <w:color w:val="000000"/>
          <w:sz w:val="32"/>
          <w:szCs w:val="32"/>
          <w:lang w:val="en-US" w:eastAsia="zh-CN"/>
        </w:rPr>
        <w:t>4196.16</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eastAsia="zh-CN"/>
        </w:rPr>
        <w:t>比</w:t>
      </w:r>
      <w:r>
        <w:rPr>
          <w:rFonts w:hint="eastAsia" w:ascii="仿宋_GB2312" w:hAnsi="仿宋_GB2312" w:eastAsia="仿宋_GB2312" w:cs="仿宋_GB2312"/>
          <w:color w:val="000000"/>
          <w:sz w:val="32"/>
          <w:szCs w:val="32"/>
          <w:lang w:val="en-US" w:eastAsia="zh-CN"/>
        </w:rPr>
        <w:t>41.15</w:t>
      </w:r>
      <w:r>
        <w:rPr>
          <w:rFonts w:hint="eastAsia" w:ascii="仿宋_GB2312" w:hAnsi="仿宋_GB2312" w:eastAsia="仿宋_GB2312" w:cs="仿宋_GB2312"/>
          <w:color w:val="000000"/>
          <w:sz w:val="32"/>
          <w:szCs w:val="32"/>
        </w:rPr>
        <w:t>%；政府性基金预算财政拨款收入</w:t>
      </w:r>
      <w:r>
        <w:rPr>
          <w:rFonts w:hint="eastAsia" w:ascii="仿宋_GB2312" w:hAnsi="仿宋_GB2312" w:eastAsia="仿宋_GB2312" w:cs="仿宋_GB2312"/>
          <w:color w:val="000000"/>
          <w:sz w:val="32"/>
          <w:szCs w:val="32"/>
          <w:lang w:val="en-US" w:eastAsia="zh-CN"/>
        </w:rPr>
        <w:t>6000</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eastAsia="zh-CN"/>
        </w:rPr>
        <w:t>比</w:t>
      </w:r>
      <w:r>
        <w:rPr>
          <w:rFonts w:hint="eastAsia" w:ascii="仿宋_GB2312" w:hAnsi="仿宋_GB2312" w:eastAsia="仿宋_GB2312" w:cs="仿宋_GB2312"/>
          <w:color w:val="000000"/>
          <w:sz w:val="32"/>
          <w:szCs w:val="32"/>
          <w:lang w:val="en-US" w:eastAsia="zh-CN"/>
        </w:rPr>
        <w:t>58.85</w:t>
      </w:r>
      <w:r>
        <w:rPr>
          <w:rFonts w:hint="eastAsia" w:ascii="仿宋_GB2312" w:hAnsi="仿宋_GB2312" w:eastAsia="仿宋_GB2312" w:cs="仿宋_GB2312"/>
          <w:color w:val="000000"/>
          <w:sz w:val="32"/>
          <w:szCs w:val="32"/>
        </w:rPr>
        <w:t>%。</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部门财政资金支出情况。</w:t>
      </w:r>
    </w:p>
    <w:p>
      <w:pPr>
        <w:pageBreakBefore w:val="0"/>
        <w:widowControl w:val="0"/>
        <w:kinsoku/>
        <w:wordWrap/>
        <w:overflowPunct/>
        <w:topLinePunct w:val="0"/>
        <w:autoSpaceDE/>
        <w:bidi w:val="0"/>
        <w:adjustRightInd/>
        <w:spacing w:beforeAutospacing="0" w:afterAutospacing="0" w:line="560" w:lineRule="exact"/>
        <w:ind w:left="0"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基本支出</w:t>
      </w:r>
    </w:p>
    <w:p>
      <w:pPr>
        <w:pStyle w:val="10"/>
        <w:keepNext w:val="0"/>
        <w:keepLines w:val="0"/>
        <w:pageBreakBefore w:val="0"/>
        <w:widowControl w:val="0"/>
        <w:kinsoku/>
        <w:wordWrap/>
        <w:overflowPunct/>
        <w:topLinePunct w:val="0"/>
        <w:autoSpaceDE/>
        <w:bidi w:val="0"/>
        <w:adjustRightInd/>
        <w:snapToGrid/>
        <w:spacing w:beforeAutospacing="0" w:after="0" w:afterAutospacing="0" w:line="560" w:lineRule="exact"/>
        <w:ind w:left="0" w:leftChars="0" w:firstLine="646" w:firstLineChars="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基本支出用于为保障机构正常运转、完成日常工作任务而发生的支出，包括人员经费和公用经费。</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textAlignment w:val="auto"/>
        <w:rPr>
          <w:rFonts w:hint="default"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rPr>
        <w:t>202</w:t>
      </w:r>
      <w:r>
        <w:rPr>
          <w:rFonts w:hint="eastAsia" w:ascii="仿宋_GB2312" w:hAnsi="仿宋_GB2312" w:eastAsia="仿宋_GB2312" w:cs="仿宋_GB2312"/>
          <w:color w:val="010101"/>
          <w:sz w:val="32"/>
          <w:szCs w:val="32"/>
          <w:lang w:val="en-US" w:eastAsia="zh-CN"/>
        </w:rPr>
        <w:t>2</w:t>
      </w:r>
      <w:r>
        <w:rPr>
          <w:rFonts w:hint="eastAsia" w:ascii="仿宋_GB2312" w:hAnsi="仿宋_GB2312" w:eastAsia="仿宋_GB2312" w:cs="仿宋_GB2312"/>
          <w:color w:val="010101"/>
          <w:sz w:val="32"/>
          <w:szCs w:val="32"/>
        </w:rPr>
        <w:t>年年初预算批复的基本支出为</w:t>
      </w:r>
      <w:r>
        <w:rPr>
          <w:rFonts w:hint="eastAsia" w:ascii="仿宋_GB2312" w:hAnsi="仿宋_GB2312" w:eastAsia="仿宋_GB2312" w:cs="仿宋_GB2312"/>
          <w:color w:val="010101"/>
          <w:sz w:val="32"/>
          <w:szCs w:val="32"/>
          <w:lang w:val="en-US" w:eastAsia="zh-CN"/>
        </w:rPr>
        <w:t>439.22</w:t>
      </w:r>
      <w:r>
        <w:rPr>
          <w:rFonts w:hint="eastAsia" w:ascii="仿宋_GB2312" w:hAnsi="仿宋_GB2312" w:eastAsia="仿宋_GB2312" w:cs="仿宋_GB2312"/>
          <w:color w:val="010101"/>
          <w:sz w:val="32"/>
          <w:szCs w:val="32"/>
        </w:rPr>
        <w:t>万元，年中追加</w:t>
      </w:r>
      <w:r>
        <w:rPr>
          <w:rFonts w:hint="eastAsia" w:ascii="仿宋_GB2312" w:hAnsi="仿宋_GB2312" w:eastAsia="仿宋_GB2312" w:cs="仿宋_GB2312"/>
          <w:color w:val="010101"/>
          <w:sz w:val="32"/>
          <w:szCs w:val="32"/>
          <w:lang w:val="en-US" w:eastAsia="zh-CN"/>
        </w:rPr>
        <w:t>161.03</w:t>
      </w:r>
      <w:r>
        <w:rPr>
          <w:rFonts w:hint="eastAsia" w:ascii="仿宋_GB2312" w:hAnsi="仿宋_GB2312" w:eastAsia="仿宋_GB2312" w:cs="仿宋_GB2312"/>
          <w:color w:val="010101"/>
          <w:sz w:val="32"/>
          <w:szCs w:val="32"/>
        </w:rPr>
        <w:t>万元（占年初预算批复数</w:t>
      </w:r>
      <w:r>
        <w:rPr>
          <w:rFonts w:hint="eastAsia" w:ascii="仿宋_GB2312" w:hAnsi="仿宋_GB2312" w:eastAsia="仿宋_GB2312" w:cs="仿宋_GB2312"/>
          <w:color w:val="010101"/>
          <w:sz w:val="32"/>
          <w:szCs w:val="32"/>
          <w:lang w:val="en-US" w:eastAsia="zh-CN"/>
        </w:rPr>
        <w:t>36.66</w:t>
      </w:r>
      <w:r>
        <w:rPr>
          <w:rFonts w:hint="eastAsia" w:ascii="仿宋_GB2312" w:hAnsi="仿宋_GB2312" w:eastAsia="仿宋_GB2312" w:cs="仿宋_GB2312"/>
          <w:color w:val="010101"/>
          <w:sz w:val="32"/>
          <w:szCs w:val="32"/>
        </w:rPr>
        <w:t>%），上年指标结转</w:t>
      </w:r>
      <w:r>
        <w:rPr>
          <w:rFonts w:hint="eastAsia" w:ascii="仿宋_GB2312" w:hAnsi="仿宋_GB2312" w:eastAsia="仿宋_GB2312" w:cs="仿宋_GB2312"/>
          <w:color w:val="010101"/>
          <w:sz w:val="32"/>
          <w:szCs w:val="32"/>
          <w:lang w:val="en-US" w:eastAsia="zh-CN"/>
        </w:rPr>
        <w:t>1398.42</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全年财政拨款收入</w:t>
      </w:r>
      <w:r>
        <w:rPr>
          <w:rFonts w:hint="eastAsia" w:ascii="仿宋_GB2312" w:hAnsi="仿宋_GB2312" w:eastAsia="仿宋_GB2312" w:cs="仿宋_GB2312"/>
          <w:color w:val="010101"/>
          <w:sz w:val="32"/>
          <w:szCs w:val="32"/>
          <w:lang w:val="en-US" w:eastAsia="zh-CN"/>
        </w:rPr>
        <w:t>10196.15万元，</w:t>
      </w:r>
      <w:r>
        <w:rPr>
          <w:rFonts w:hint="eastAsia" w:ascii="仿宋_GB2312" w:hAnsi="仿宋_GB2312" w:eastAsia="仿宋_GB2312" w:cs="仿宋_GB2312"/>
          <w:color w:val="010101"/>
          <w:sz w:val="32"/>
          <w:szCs w:val="32"/>
        </w:rPr>
        <w:t>全年财政拨款支出为</w:t>
      </w:r>
      <w:r>
        <w:rPr>
          <w:rFonts w:hint="eastAsia" w:ascii="仿宋_GB2312" w:hAnsi="仿宋_GB2312" w:eastAsia="仿宋_GB2312" w:cs="仿宋_GB2312"/>
          <w:color w:val="010101"/>
          <w:sz w:val="32"/>
          <w:szCs w:val="32"/>
          <w:lang w:val="en-US" w:eastAsia="zh-CN"/>
        </w:rPr>
        <w:t>11594.58</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，收支差额</w:t>
      </w:r>
      <w:r>
        <w:rPr>
          <w:rFonts w:hint="eastAsia" w:ascii="仿宋_GB2312" w:hAnsi="仿宋_GB2312" w:eastAsia="仿宋_GB2312" w:cs="仿宋_GB2312"/>
          <w:color w:val="010101"/>
          <w:sz w:val="32"/>
          <w:szCs w:val="32"/>
          <w:lang w:val="en-US" w:eastAsia="zh-CN"/>
        </w:rPr>
        <w:t>1398.42万元，主要原因为上年结转和结余。</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textAlignment w:val="auto"/>
        <w:rPr>
          <w:rFonts w:hint="default"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rPr>
        <w:t>　　202</w:t>
      </w:r>
      <w:r>
        <w:rPr>
          <w:rFonts w:hint="eastAsia" w:ascii="仿宋_GB2312" w:hAnsi="仿宋_GB2312" w:eastAsia="仿宋_GB2312" w:cs="仿宋_GB2312"/>
          <w:color w:val="010101"/>
          <w:sz w:val="32"/>
          <w:szCs w:val="32"/>
          <w:lang w:val="en-US" w:eastAsia="zh-CN"/>
        </w:rPr>
        <w:t>2</w:t>
      </w:r>
      <w:r>
        <w:rPr>
          <w:rFonts w:hint="eastAsia" w:ascii="仿宋_GB2312" w:hAnsi="仿宋_GB2312" w:eastAsia="仿宋_GB2312" w:cs="仿宋_GB2312"/>
          <w:color w:val="010101"/>
          <w:sz w:val="32"/>
          <w:szCs w:val="32"/>
        </w:rPr>
        <w:t>年决算基本支出</w:t>
      </w:r>
      <w:r>
        <w:rPr>
          <w:rFonts w:hint="eastAsia" w:ascii="仿宋_GB2312" w:hAnsi="仿宋_GB2312" w:eastAsia="仿宋_GB2312" w:cs="仿宋_GB2312"/>
          <w:color w:val="auto"/>
          <w:sz w:val="32"/>
          <w:szCs w:val="32"/>
          <w:lang w:val="en-US" w:eastAsia="zh-CN"/>
        </w:rPr>
        <w:t>600.25</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人员经费</w:t>
      </w:r>
      <w:r>
        <w:rPr>
          <w:rFonts w:hint="eastAsia" w:ascii="仿宋_GB2312" w:hAnsi="仿宋_GB2312" w:eastAsia="仿宋_GB2312" w:cs="仿宋_GB2312"/>
          <w:color w:val="010101"/>
          <w:sz w:val="32"/>
          <w:szCs w:val="32"/>
          <w:lang w:val="en-US" w:eastAsia="zh-CN"/>
        </w:rPr>
        <w:t>538.06万元，公用经费62.19万元</w:t>
      </w:r>
    </w:p>
    <w:p>
      <w:pPr>
        <w:pageBreakBefore w:val="0"/>
        <w:widowControl w:val="0"/>
        <w:kinsoku/>
        <w:wordWrap/>
        <w:overflowPunct/>
        <w:topLinePunct w:val="0"/>
        <w:autoSpaceDE/>
        <w:bidi w:val="0"/>
        <w:adjustRightInd/>
        <w:snapToGrid w:val="0"/>
        <w:spacing w:beforeAutospacing="0" w:afterAutospacing="0" w:line="560" w:lineRule="exact"/>
        <w:ind w:left="0"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项目支出</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项目支出是在基本支出之外为完成其特定的行政工作任务而发生的支出，主要用于一般行政管理事务、</w:t>
      </w:r>
      <w:r>
        <w:rPr>
          <w:rFonts w:hint="eastAsia" w:ascii="仿宋_GB2312" w:hAnsi="仿宋_GB2312" w:eastAsia="仿宋_GB2312" w:cs="仿宋_GB2312"/>
          <w:color w:val="010101"/>
          <w:sz w:val="32"/>
          <w:szCs w:val="32"/>
          <w:lang w:val="en-US" w:eastAsia="zh-CN"/>
        </w:rPr>
        <w:t>城乡社区支出</w:t>
      </w:r>
      <w:r>
        <w:rPr>
          <w:rFonts w:hint="eastAsia" w:ascii="仿宋_GB2312" w:hAnsi="仿宋_GB2312" w:eastAsia="仿宋_GB2312" w:cs="仿宋_GB2312"/>
          <w:color w:val="010101"/>
          <w:sz w:val="32"/>
          <w:szCs w:val="32"/>
        </w:rPr>
        <w:t>等其他行政管理事务支出。</w:t>
      </w:r>
    </w:p>
    <w:p>
      <w:pPr>
        <w:pStyle w:val="2"/>
        <w:keepNext w:val="0"/>
        <w:keepLines w:val="0"/>
        <w:pageBreakBefore w:val="0"/>
        <w:widowControl w:val="0"/>
        <w:kinsoku/>
        <w:wordWrap/>
        <w:overflowPunct/>
        <w:topLinePunct w:val="0"/>
        <w:autoSpaceDE/>
        <w:bidi w:val="0"/>
        <w:adjustRightInd/>
        <w:snapToGrid/>
        <w:spacing w:beforeAutospacing="0" w:after="0" w:afterAutospacing="0" w:line="560" w:lineRule="exact"/>
        <w:ind w:left="0" w:firstLine="700" w:firstLineChars="219"/>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202</w:t>
      </w:r>
      <w:r>
        <w:rPr>
          <w:rFonts w:hint="eastAsia" w:ascii="仿宋_GB2312" w:hAnsi="仿宋_GB2312" w:eastAsia="仿宋_GB2312" w:cs="仿宋_GB2312"/>
          <w:color w:val="010101"/>
          <w:sz w:val="32"/>
          <w:szCs w:val="32"/>
          <w:lang w:val="en-US" w:eastAsia="zh-CN"/>
        </w:rPr>
        <w:t>2</w:t>
      </w:r>
      <w:r>
        <w:rPr>
          <w:rFonts w:hint="eastAsia" w:ascii="仿宋_GB2312" w:hAnsi="仿宋_GB2312" w:eastAsia="仿宋_GB2312" w:cs="仿宋_GB2312"/>
          <w:color w:val="010101"/>
          <w:sz w:val="32"/>
          <w:szCs w:val="32"/>
        </w:rPr>
        <w:t>年</w:t>
      </w:r>
      <w:r>
        <w:rPr>
          <w:rFonts w:hint="eastAsia" w:ascii="仿宋_GB2312" w:hAnsi="仿宋_GB2312" w:eastAsia="仿宋_GB2312" w:cs="仿宋_GB2312"/>
          <w:color w:val="010101"/>
          <w:sz w:val="32"/>
          <w:szCs w:val="32"/>
          <w:lang w:eastAsia="zh-CN"/>
        </w:rPr>
        <w:t>决算项目</w:t>
      </w:r>
      <w:r>
        <w:rPr>
          <w:rFonts w:hint="eastAsia" w:ascii="仿宋_GB2312" w:hAnsi="仿宋_GB2312" w:eastAsia="仿宋_GB2312" w:cs="仿宋_GB2312"/>
          <w:color w:val="010101"/>
          <w:sz w:val="32"/>
          <w:szCs w:val="32"/>
        </w:rPr>
        <w:t>支出为</w:t>
      </w:r>
      <w:r>
        <w:rPr>
          <w:rFonts w:hint="eastAsia" w:ascii="仿宋_GB2312" w:hAnsi="仿宋_GB2312" w:eastAsia="仿宋_GB2312" w:cs="仿宋_GB2312"/>
          <w:color w:val="010101"/>
          <w:sz w:val="32"/>
          <w:szCs w:val="32"/>
          <w:lang w:val="en-US" w:eastAsia="zh-CN"/>
        </w:rPr>
        <w:t>10994.33</w:t>
      </w:r>
      <w:r>
        <w:rPr>
          <w:rFonts w:hint="eastAsia" w:ascii="仿宋_GB2312" w:hAnsi="仿宋_GB2312" w:eastAsia="仿宋_GB2312" w:cs="仿宋_GB2312"/>
          <w:color w:val="010101"/>
          <w:sz w:val="32"/>
          <w:szCs w:val="32"/>
        </w:rPr>
        <w:t>万元，其中：</w:t>
      </w:r>
      <w:r>
        <w:rPr>
          <w:rFonts w:hint="eastAsia" w:ascii="仿宋_GB2312" w:hAnsi="仿宋_GB2312" w:eastAsia="仿宋_GB2312" w:cs="仿宋_GB2312"/>
          <w:color w:val="010101"/>
          <w:sz w:val="32"/>
          <w:szCs w:val="32"/>
          <w:lang w:eastAsia="zh-CN"/>
        </w:rPr>
        <w:t>节能环保支出</w:t>
      </w:r>
      <w:r>
        <w:rPr>
          <w:rFonts w:hint="eastAsia" w:ascii="仿宋_GB2312" w:hAnsi="仿宋_GB2312" w:eastAsia="仿宋_GB2312" w:cs="仿宋_GB2312"/>
          <w:color w:val="010101"/>
          <w:sz w:val="32"/>
          <w:szCs w:val="32"/>
          <w:lang w:val="en-US" w:eastAsia="zh-CN"/>
        </w:rPr>
        <w:t>1261.94</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城乡社区支出</w:t>
      </w:r>
      <w:r>
        <w:rPr>
          <w:rFonts w:hint="eastAsia" w:ascii="仿宋_GB2312" w:hAnsi="仿宋_GB2312" w:eastAsia="仿宋_GB2312" w:cs="仿宋_GB2312"/>
          <w:color w:val="010101"/>
          <w:sz w:val="32"/>
          <w:szCs w:val="32"/>
          <w:lang w:val="en-US" w:eastAsia="zh-CN"/>
        </w:rPr>
        <w:t>2367.64</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eastAsia="zh-CN"/>
        </w:rPr>
        <w:t>、农林水支出</w:t>
      </w:r>
      <w:r>
        <w:rPr>
          <w:rFonts w:hint="eastAsia" w:ascii="仿宋_GB2312" w:hAnsi="仿宋_GB2312" w:eastAsia="仿宋_GB2312" w:cs="仿宋_GB2312"/>
          <w:color w:val="010101"/>
          <w:sz w:val="32"/>
          <w:szCs w:val="32"/>
          <w:lang w:val="en-US" w:eastAsia="zh-CN"/>
        </w:rPr>
        <w:t>324万元、住房保障支出831.95万元、灾害防治及应急管理支出151万元、其他支出6057.8万元</w:t>
      </w:r>
      <w:r>
        <w:rPr>
          <w:rFonts w:hint="eastAsia" w:ascii="仿宋_GB2312" w:hAnsi="仿宋_GB2312" w:eastAsia="仿宋_GB2312" w:cs="仿宋_GB2312"/>
          <w:color w:val="010101"/>
          <w:sz w:val="32"/>
          <w:szCs w:val="32"/>
        </w:rPr>
        <w:t>。</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2" w:firstLineChars="200"/>
        <w:textAlignment w:val="auto"/>
        <w:outlineLvl w:val="0"/>
        <w:rPr>
          <w:rFonts w:ascii="仿宋" w:hAnsi="仿宋" w:eastAsia="仿宋"/>
          <w:b/>
          <w:bCs/>
          <w:color w:val="010101"/>
          <w:sz w:val="32"/>
          <w:szCs w:val="32"/>
        </w:rPr>
      </w:pPr>
      <w:r>
        <w:rPr>
          <w:rFonts w:hint="eastAsia" w:ascii="仿宋" w:hAnsi="仿宋" w:eastAsia="仿宋"/>
          <w:b/>
          <w:bCs/>
          <w:color w:val="010101"/>
          <w:sz w:val="32"/>
          <w:szCs w:val="32"/>
          <w:lang w:val="en-US" w:eastAsia="zh-CN"/>
        </w:rPr>
        <w:t>3.</w:t>
      </w:r>
      <w:r>
        <w:rPr>
          <w:rFonts w:ascii="仿宋" w:hAnsi="仿宋" w:eastAsia="仿宋"/>
          <w:b/>
          <w:bCs/>
          <w:color w:val="010101"/>
          <w:sz w:val="32"/>
          <w:szCs w:val="32"/>
        </w:rPr>
        <w:t>“三公”经费情况</w:t>
      </w:r>
    </w:p>
    <w:p>
      <w:pPr>
        <w:keepNext w:val="0"/>
        <w:keepLines w:val="0"/>
        <w:pageBreakBefore w:val="0"/>
        <w:widowControl w:val="0"/>
        <w:kinsoku/>
        <w:wordWrap/>
        <w:overflowPunct/>
        <w:topLinePunct w:val="0"/>
        <w:autoSpaceDE/>
        <w:autoSpaceDN w:val="0"/>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lang w:val="en-US" w:eastAsia="zh-CN"/>
        </w:rPr>
        <w:t>2022年</w:t>
      </w:r>
      <w:r>
        <w:rPr>
          <w:rFonts w:hint="eastAsia" w:ascii="仿宋_GB2312" w:hAnsi="仿宋_GB2312" w:eastAsia="仿宋_GB2312" w:cs="仿宋_GB2312"/>
          <w:color w:val="010101"/>
          <w:sz w:val="32"/>
          <w:szCs w:val="32"/>
        </w:rPr>
        <w:t>决算支出“三公”经费</w:t>
      </w:r>
      <w:r>
        <w:rPr>
          <w:rFonts w:hint="eastAsia" w:ascii="仿宋_GB2312" w:hAnsi="仿宋_GB2312" w:eastAsia="仿宋_GB2312" w:cs="仿宋_GB2312"/>
          <w:color w:val="010101"/>
          <w:sz w:val="32"/>
          <w:szCs w:val="32"/>
          <w:lang w:val="en-US" w:eastAsia="zh-CN"/>
        </w:rPr>
        <w:t>9.15</w:t>
      </w:r>
      <w:r>
        <w:rPr>
          <w:rFonts w:hint="eastAsia" w:ascii="仿宋_GB2312" w:hAnsi="仿宋_GB2312" w:eastAsia="仿宋_GB2312" w:cs="仿宋_GB2312"/>
          <w:color w:val="010101"/>
          <w:sz w:val="32"/>
          <w:szCs w:val="32"/>
        </w:rPr>
        <w:t>万元，其中公务接待费</w:t>
      </w:r>
      <w:r>
        <w:rPr>
          <w:rFonts w:hint="eastAsia" w:ascii="仿宋_GB2312" w:hAnsi="仿宋_GB2312" w:eastAsia="仿宋_GB2312" w:cs="仿宋_GB2312"/>
          <w:color w:val="010101"/>
          <w:sz w:val="32"/>
          <w:szCs w:val="32"/>
          <w:lang w:val="en-US" w:eastAsia="zh-CN"/>
        </w:rPr>
        <w:t>0.13</w:t>
      </w:r>
      <w:r>
        <w:rPr>
          <w:rFonts w:hint="eastAsia" w:ascii="仿宋_GB2312" w:hAnsi="仿宋_GB2312" w:eastAsia="仿宋_GB2312" w:cs="仿宋_GB2312"/>
          <w:color w:val="010101"/>
          <w:sz w:val="32"/>
          <w:szCs w:val="32"/>
        </w:rPr>
        <w:t>万元、公务用车购置及运行维护费</w:t>
      </w:r>
      <w:r>
        <w:rPr>
          <w:rFonts w:hint="eastAsia" w:ascii="仿宋_GB2312" w:hAnsi="仿宋_GB2312" w:eastAsia="仿宋_GB2312" w:cs="仿宋_GB2312"/>
          <w:color w:val="010101"/>
          <w:sz w:val="32"/>
          <w:szCs w:val="32"/>
          <w:lang w:val="en-US" w:eastAsia="zh-CN"/>
        </w:rPr>
        <w:t>9.02</w:t>
      </w:r>
      <w:r>
        <w:rPr>
          <w:rFonts w:hint="eastAsia" w:ascii="仿宋_GB2312" w:hAnsi="仿宋_GB2312" w:eastAsia="仿宋_GB2312" w:cs="仿宋_GB2312"/>
          <w:color w:val="010101"/>
          <w:sz w:val="32"/>
          <w:szCs w:val="32"/>
        </w:rPr>
        <w:t>万元。较上年决算支出</w:t>
      </w:r>
      <w:r>
        <w:rPr>
          <w:rFonts w:hint="eastAsia" w:ascii="仿宋_GB2312" w:hAnsi="仿宋_GB2312" w:eastAsia="仿宋_GB2312" w:cs="仿宋_GB2312"/>
          <w:color w:val="010101"/>
          <w:sz w:val="32"/>
          <w:szCs w:val="32"/>
          <w:lang w:val="en-US" w:eastAsia="zh-CN"/>
        </w:rPr>
        <w:t>0.2万元</w:t>
      </w:r>
      <w:r>
        <w:rPr>
          <w:rFonts w:hint="eastAsia" w:ascii="仿宋_GB2312" w:hAnsi="仿宋_GB2312" w:eastAsia="仿宋_GB2312" w:cs="仿宋_GB2312"/>
          <w:color w:val="010101"/>
          <w:sz w:val="32"/>
          <w:szCs w:val="32"/>
        </w:rPr>
        <w:t>增加</w:t>
      </w:r>
      <w:r>
        <w:rPr>
          <w:rFonts w:hint="eastAsia" w:ascii="仿宋_GB2312" w:hAnsi="仿宋_GB2312" w:eastAsia="仿宋_GB2312" w:cs="仿宋_GB2312"/>
          <w:color w:val="010101"/>
          <w:sz w:val="32"/>
          <w:szCs w:val="32"/>
          <w:lang w:val="en-US" w:eastAsia="zh-CN"/>
        </w:rPr>
        <w:t>8.82</w:t>
      </w:r>
      <w:r>
        <w:rPr>
          <w:rFonts w:hint="eastAsia" w:ascii="仿宋_GB2312" w:hAnsi="仿宋_GB2312" w:eastAsia="仿宋_GB2312" w:cs="仿宋_GB2312"/>
          <w:color w:val="010101"/>
          <w:sz w:val="32"/>
          <w:szCs w:val="32"/>
        </w:rPr>
        <w:t>万元，上升</w:t>
      </w:r>
      <w:r>
        <w:rPr>
          <w:rFonts w:hint="eastAsia" w:ascii="仿宋_GB2312" w:hAnsi="仿宋_GB2312" w:eastAsia="仿宋_GB2312" w:cs="仿宋_GB2312"/>
          <w:color w:val="010101"/>
          <w:sz w:val="32"/>
          <w:szCs w:val="32"/>
          <w:lang w:val="en-US" w:eastAsia="zh-CN"/>
        </w:rPr>
        <w:t>4301.74</w:t>
      </w:r>
      <w:r>
        <w:rPr>
          <w:rFonts w:hint="eastAsia" w:ascii="仿宋_GB2312" w:hAnsi="仿宋_GB2312" w:eastAsia="仿宋_GB2312" w:cs="仿宋_GB2312"/>
          <w:color w:val="010101"/>
          <w:sz w:val="32"/>
          <w:szCs w:val="32"/>
        </w:rPr>
        <w:t>%；</w:t>
      </w:r>
      <w:r>
        <w:rPr>
          <w:rFonts w:hint="eastAsia" w:ascii="仿宋_GB2312" w:hAnsi="仿宋_GB2312" w:eastAsia="仿宋_GB2312" w:cs="仿宋_GB2312"/>
          <w:color w:val="010101"/>
          <w:sz w:val="32"/>
          <w:szCs w:val="32"/>
          <w:lang w:eastAsia="zh-CN"/>
        </w:rPr>
        <w:t>主要原因为公务用车购置及运行维护费增加。</w:t>
      </w:r>
      <w:r>
        <w:rPr>
          <w:rFonts w:hint="eastAsia" w:ascii="仿宋_GB2312" w:hAnsi="仿宋_GB2312" w:eastAsia="仿宋_GB2312" w:cs="仿宋_GB2312"/>
          <w:color w:val="010101"/>
          <w:sz w:val="32"/>
          <w:szCs w:val="32"/>
        </w:rPr>
        <w:t xml:space="preserve">具体情况列表如下： </w:t>
      </w:r>
    </w:p>
    <w:p>
      <w:pPr>
        <w:pageBreakBefore w:val="0"/>
        <w:widowControl w:val="0"/>
        <w:kinsoku/>
        <w:wordWrap/>
        <w:overflowPunct/>
        <w:topLinePunct w:val="0"/>
        <w:autoSpaceDE/>
        <w:autoSpaceDN w:val="0"/>
        <w:bidi w:val="0"/>
        <w:adjustRightInd/>
        <w:spacing w:beforeAutospacing="0" w:afterAutospacing="0" w:line="560" w:lineRule="exact"/>
        <w:ind w:left="0" w:hanging="6080" w:hangingChars="1900"/>
        <w:jc w:val="left"/>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 xml:space="preserve">                                     金额单位：万元</w:t>
      </w:r>
    </w:p>
    <w:tbl>
      <w:tblPr>
        <w:tblStyle w:val="11"/>
        <w:tblW w:w="8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279"/>
        <w:gridCol w:w="1305"/>
        <w:gridCol w:w="1669"/>
        <w:gridCol w:w="1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376"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项目</w:t>
            </w:r>
          </w:p>
        </w:tc>
        <w:tc>
          <w:tcPr>
            <w:tcW w:w="127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年初预算数</w:t>
            </w:r>
          </w:p>
        </w:tc>
        <w:tc>
          <w:tcPr>
            <w:tcW w:w="1305"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年末决算数</w:t>
            </w:r>
          </w:p>
        </w:tc>
        <w:tc>
          <w:tcPr>
            <w:tcW w:w="166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金额差异</w:t>
            </w:r>
          </w:p>
        </w:tc>
        <w:tc>
          <w:tcPr>
            <w:tcW w:w="1946"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超支节约比率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2376" w:type="dxa"/>
            <w:noWrap w:val="0"/>
            <w:vAlign w:val="top"/>
          </w:tcPr>
          <w:p>
            <w:pPr>
              <w:pageBreakBefore w:val="0"/>
              <w:widowControl w:val="0"/>
              <w:kinsoku/>
              <w:wordWrap/>
              <w:overflowPunct/>
              <w:topLinePunct w:val="0"/>
              <w:autoSpaceDE/>
              <w:autoSpaceDN w:val="0"/>
              <w:bidi w:val="0"/>
              <w:adjustRightInd/>
              <w:spacing w:beforeAutospacing="0" w:afterAutospacing="0" w:line="560" w:lineRule="exact"/>
              <w:ind w:left="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公务接待费</w:t>
            </w:r>
          </w:p>
        </w:tc>
        <w:tc>
          <w:tcPr>
            <w:tcW w:w="127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0.21</w:t>
            </w:r>
          </w:p>
        </w:tc>
        <w:tc>
          <w:tcPr>
            <w:tcW w:w="1305"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0.13</w:t>
            </w:r>
          </w:p>
        </w:tc>
        <w:tc>
          <w:tcPr>
            <w:tcW w:w="166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-0.08</w:t>
            </w:r>
          </w:p>
        </w:tc>
        <w:tc>
          <w:tcPr>
            <w:tcW w:w="1946"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节约38.1%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2376" w:type="dxa"/>
            <w:noWrap w:val="0"/>
            <w:vAlign w:val="top"/>
          </w:tcPr>
          <w:p>
            <w:pPr>
              <w:pageBreakBefore w:val="0"/>
              <w:widowControl w:val="0"/>
              <w:kinsoku/>
              <w:wordWrap/>
              <w:overflowPunct/>
              <w:topLinePunct w:val="0"/>
              <w:autoSpaceDE/>
              <w:autoSpaceDN w:val="0"/>
              <w:bidi w:val="0"/>
              <w:adjustRightInd/>
              <w:spacing w:beforeAutospacing="0" w:afterAutospacing="0" w:line="560" w:lineRule="exact"/>
              <w:ind w:left="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公务用车购置及运行维护费</w:t>
            </w:r>
          </w:p>
        </w:tc>
        <w:tc>
          <w:tcPr>
            <w:tcW w:w="127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9.5</w:t>
            </w:r>
          </w:p>
        </w:tc>
        <w:tc>
          <w:tcPr>
            <w:tcW w:w="1305"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9.02</w:t>
            </w:r>
          </w:p>
        </w:tc>
        <w:tc>
          <w:tcPr>
            <w:tcW w:w="166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eastAsia="zh-CN"/>
              </w:rPr>
              <w:t>－</w:t>
            </w:r>
            <w:r>
              <w:rPr>
                <w:rFonts w:hint="eastAsia" w:ascii="仿宋_GB2312" w:hAnsi="仿宋_GB2312" w:eastAsia="仿宋_GB2312" w:cs="仿宋_GB2312"/>
                <w:color w:val="010101"/>
                <w:sz w:val="32"/>
                <w:szCs w:val="32"/>
                <w:lang w:val="en-US" w:eastAsia="zh-CN"/>
              </w:rPr>
              <w:t>0.48</w:t>
            </w:r>
          </w:p>
        </w:tc>
        <w:tc>
          <w:tcPr>
            <w:tcW w:w="1946"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eastAsia="zh-CN"/>
              </w:rPr>
              <w:t>节约</w:t>
            </w:r>
            <w:r>
              <w:rPr>
                <w:rFonts w:hint="eastAsia" w:ascii="仿宋_GB2312" w:hAnsi="仿宋_GB2312" w:eastAsia="仿宋_GB2312" w:cs="仿宋_GB2312"/>
                <w:color w:val="010101"/>
                <w:sz w:val="32"/>
                <w:szCs w:val="32"/>
                <w:lang w:val="en-US" w:eastAsia="zh-CN"/>
              </w:rPr>
              <w:t>5.05%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2376"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公务车购置费</w:t>
            </w:r>
          </w:p>
        </w:tc>
        <w:tc>
          <w:tcPr>
            <w:tcW w:w="127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0</w:t>
            </w:r>
          </w:p>
        </w:tc>
        <w:tc>
          <w:tcPr>
            <w:tcW w:w="1305"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0</w:t>
            </w:r>
          </w:p>
        </w:tc>
        <w:tc>
          <w:tcPr>
            <w:tcW w:w="166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0</w:t>
            </w:r>
          </w:p>
        </w:tc>
        <w:tc>
          <w:tcPr>
            <w:tcW w:w="1946"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376" w:type="dxa"/>
            <w:noWrap w:val="0"/>
            <w:vAlign w:val="top"/>
          </w:tcPr>
          <w:p>
            <w:pPr>
              <w:pageBreakBefore w:val="0"/>
              <w:widowControl w:val="0"/>
              <w:kinsoku/>
              <w:wordWrap/>
              <w:overflowPunct/>
              <w:topLinePunct w:val="0"/>
              <w:autoSpaceDE/>
              <w:autoSpaceDN w:val="0"/>
              <w:bidi w:val="0"/>
              <w:adjustRightInd/>
              <w:spacing w:beforeAutospacing="0" w:afterAutospacing="0" w:line="560" w:lineRule="exact"/>
              <w:ind w:left="0"/>
              <w:textAlignment w:val="auto"/>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合计</w:t>
            </w:r>
          </w:p>
        </w:tc>
        <w:tc>
          <w:tcPr>
            <w:tcW w:w="127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9.71</w:t>
            </w:r>
          </w:p>
        </w:tc>
        <w:tc>
          <w:tcPr>
            <w:tcW w:w="1305"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9.15</w:t>
            </w:r>
          </w:p>
        </w:tc>
        <w:tc>
          <w:tcPr>
            <w:tcW w:w="1669"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eastAsia="zh-CN"/>
              </w:rPr>
              <w:t>－</w:t>
            </w:r>
            <w:r>
              <w:rPr>
                <w:rFonts w:hint="eastAsia" w:ascii="仿宋_GB2312" w:hAnsi="仿宋_GB2312" w:eastAsia="仿宋_GB2312" w:cs="仿宋_GB2312"/>
                <w:color w:val="010101"/>
                <w:sz w:val="32"/>
                <w:szCs w:val="32"/>
                <w:lang w:val="en-US" w:eastAsia="zh-CN"/>
              </w:rPr>
              <w:t>0.56</w:t>
            </w:r>
          </w:p>
        </w:tc>
        <w:tc>
          <w:tcPr>
            <w:tcW w:w="1946" w:type="dxa"/>
            <w:noWrap w:val="0"/>
            <w:vAlign w:val="center"/>
          </w:tcPr>
          <w:p>
            <w:pPr>
              <w:pageBreakBefore w:val="0"/>
              <w:widowControl w:val="0"/>
              <w:kinsoku/>
              <w:wordWrap/>
              <w:overflowPunct/>
              <w:topLinePunct w:val="0"/>
              <w:autoSpaceDE/>
              <w:autoSpaceDN w:val="0"/>
              <w:bidi w:val="0"/>
              <w:adjustRightInd/>
              <w:spacing w:beforeAutospacing="0" w:afterAutospacing="0" w:line="560" w:lineRule="exact"/>
              <w:ind w:left="0"/>
              <w:jc w:val="center"/>
              <w:textAlignment w:val="auto"/>
              <w:rPr>
                <w:rFonts w:hint="eastAsia" w:ascii="仿宋_GB2312" w:hAnsi="仿宋_GB2312" w:eastAsia="仿宋_GB2312" w:cs="仿宋_GB2312"/>
                <w:color w:val="010101"/>
                <w:sz w:val="32"/>
                <w:szCs w:val="32"/>
                <w:lang w:val="en-US" w:eastAsia="zh-CN"/>
              </w:rPr>
            </w:pPr>
            <w:r>
              <w:rPr>
                <w:rFonts w:hint="eastAsia" w:ascii="仿宋_GB2312" w:hAnsi="仿宋_GB2312" w:eastAsia="仿宋_GB2312" w:cs="仿宋_GB2312"/>
                <w:color w:val="010101"/>
                <w:sz w:val="32"/>
                <w:szCs w:val="32"/>
                <w:lang w:val="en-US" w:eastAsia="zh-CN"/>
              </w:rPr>
              <w:t>节约43.15%</w:t>
            </w:r>
          </w:p>
        </w:tc>
      </w:tr>
    </w:tbl>
    <w:p>
      <w:pPr>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部门整体预算绩效管理情况</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楷体_GB2312" w:hAnsi="楷体_GB2312" w:eastAsia="楷体_GB2312" w:cs="楷体_GB2312"/>
          <w:b/>
          <w:bCs/>
          <w:sz w:val="32"/>
          <w:szCs w:val="32"/>
        </w:rPr>
      </w:pPr>
      <w:r>
        <w:rPr>
          <w:rFonts w:hint="eastAsia" w:ascii="黑体" w:hAnsi="黑体" w:eastAsia="黑体" w:cs="黑体"/>
          <w:b w:val="0"/>
          <w:bCs w:val="0"/>
          <w:sz w:val="32"/>
          <w:szCs w:val="32"/>
          <w:lang w:eastAsia="zh-CN"/>
        </w:rPr>
        <w:t>（一）</w:t>
      </w:r>
      <w:r>
        <w:rPr>
          <w:rFonts w:hint="eastAsia" w:ascii="楷体_GB2312" w:hAnsi="楷体_GB2312" w:eastAsia="楷体_GB2312" w:cs="楷体_GB2312"/>
          <w:b/>
          <w:bCs/>
          <w:sz w:val="32"/>
          <w:szCs w:val="32"/>
        </w:rPr>
        <w:t>部门预算管理</w:t>
      </w:r>
    </w:p>
    <w:p>
      <w:pPr>
        <w:keepNext w:val="0"/>
        <w:keepLines w:val="0"/>
        <w:pageBreakBefore w:val="0"/>
        <w:widowControl w:val="0"/>
        <w:kinsoku/>
        <w:wordWrap/>
        <w:overflowPunct/>
        <w:topLinePunct w:val="0"/>
        <w:autoSpaceDE/>
        <w:autoSpaceDN/>
        <w:bidi w:val="0"/>
        <w:adjustRightInd/>
        <w:snapToGrid w:val="0"/>
        <w:spacing w:afterAutospacing="0" w:line="560" w:lineRule="exact"/>
        <w:ind w:lef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按照县级部门预算编制通知和有关要求，对</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的各项收入及支出作了认真的清理，真实、准确、全面、及时的完成年度预、决算工作；认真对绩效目标的填报，对专项预算进行分期、分批并结合实际提前细化，保障正常运行。</w:t>
      </w:r>
    </w:p>
    <w:p>
      <w:pPr>
        <w:pageBreakBefore w:val="0"/>
        <w:widowControl w:val="0"/>
        <w:kinsoku/>
        <w:wordWrap/>
        <w:topLinePunct w:val="0"/>
        <w:autoSpaceDE/>
        <w:bidi w:val="0"/>
        <w:adjustRightInd/>
        <w:spacing w:line="560" w:lineRule="exact"/>
        <w:ind w:left="0" w:firstLine="64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eastAsia="zh-CN"/>
        </w:rPr>
        <w:t>202</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年部门绩效目标：</w:t>
      </w:r>
      <w:r>
        <w:rPr>
          <w:rFonts w:hint="eastAsia" w:ascii="仿宋" w:hAnsi="仿宋" w:eastAsia="仿宋" w:cs="仿宋"/>
          <w:color w:val="000000"/>
          <w:sz w:val="32"/>
          <w:szCs w:val="32"/>
          <w:lang w:val="en-US" w:eastAsia="zh-CN"/>
        </w:rPr>
        <w:t>一是“两保障一监管”深入住房保障，二是“两提升一保护”完善城镇功能，三是“两严格一深入”共创生态文明示范，四是“三强化”促行业监管提质增效。</w:t>
      </w:r>
    </w:p>
    <w:p>
      <w:pPr>
        <w:keepNext w:val="0"/>
        <w:keepLines w:val="0"/>
        <w:pageBreakBefore w:val="0"/>
        <w:widowControl w:val="0"/>
        <w:kinsoku/>
        <w:wordWrap/>
        <w:overflowPunct/>
        <w:topLinePunct w:val="0"/>
        <w:autoSpaceDE/>
        <w:autoSpaceDN/>
        <w:bidi w:val="0"/>
        <w:adjustRightInd/>
        <w:snapToGrid w:val="0"/>
        <w:spacing w:afterAutospacing="0" w:line="560" w:lineRule="exact"/>
        <w:ind w:left="0" w:firstLine="642"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2022年重点工作完成情况</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0"/>
          <w:sz w:val="32"/>
          <w:szCs w:val="32"/>
          <w:lang w:val="en-US" w:eastAsia="zh-CN"/>
        </w:rPr>
        <w:t>1.</w:t>
      </w:r>
      <w:r>
        <w:rPr>
          <w:rFonts w:hint="eastAsia" w:ascii="仿宋_GB2312" w:hAnsi="仿宋_GB2312" w:eastAsia="仿宋_GB2312" w:cs="仿宋_GB2312"/>
          <w:b/>
          <w:bCs/>
          <w:kern w:val="0"/>
          <w:sz w:val="32"/>
          <w:szCs w:val="32"/>
          <w:lang w:eastAsia="zh-CN"/>
        </w:rPr>
        <w:t>“两保障一监管</w:t>
      </w:r>
      <w:r>
        <w:rPr>
          <w:rFonts w:hint="eastAsia" w:ascii="仿宋_GB2312" w:hAnsi="仿宋_GB2312" w:eastAsia="仿宋_GB2312" w:cs="仿宋_GB2312"/>
          <w:b/>
          <w:bCs/>
          <w:kern w:val="0"/>
          <w:sz w:val="32"/>
          <w:szCs w:val="32"/>
          <w:lang w:val="en-US" w:eastAsia="zh-CN"/>
        </w:rPr>
        <w:t>”</w:t>
      </w:r>
      <w:r>
        <w:rPr>
          <w:rFonts w:hint="eastAsia" w:ascii="仿宋_GB2312" w:hAnsi="仿宋_GB2312" w:eastAsia="仿宋_GB2312" w:cs="仿宋_GB2312"/>
          <w:b/>
          <w:bCs/>
          <w:kern w:val="0"/>
          <w:sz w:val="32"/>
          <w:szCs w:val="32"/>
          <w:lang w:eastAsia="zh-CN"/>
        </w:rPr>
        <w:t>深入住房保障。</w:t>
      </w:r>
      <w:r>
        <w:rPr>
          <w:rFonts w:hint="eastAsia" w:ascii="仿宋_GB2312" w:hAnsi="仿宋_GB2312" w:eastAsia="仿宋_GB2312" w:cs="仿宋_GB2312"/>
          <w:b/>
          <w:bCs/>
          <w:kern w:val="2"/>
          <w:sz w:val="32"/>
          <w:szCs w:val="32"/>
          <w:lang w:val="en-US" w:eastAsia="zh-CN" w:bidi="ar-SA"/>
        </w:rPr>
        <w:t>一是保障住房供给。</w:t>
      </w:r>
      <w:r>
        <w:rPr>
          <w:rFonts w:hint="eastAsia" w:ascii="仿宋_GB2312" w:hAnsi="仿宋_GB2312" w:eastAsia="仿宋_GB2312" w:cs="仿宋_GB2312"/>
          <w:b w:val="0"/>
          <w:bCs w:val="0"/>
          <w:sz w:val="32"/>
          <w:szCs w:val="32"/>
          <w:lang w:val="en-US" w:eastAsia="zh-CN"/>
        </w:rPr>
        <w:t>总投资0.9亿元的县城干部周转房二期，正在第14层施工，预计年内完成主体建设，其建成后计划安置100户。监管商品房建设和预售资金使用，“哈德广场”2栋建筑完成外装，剩余1栋计划年内完成主体建设。该楼盘住宅销售占比70%、商业销售占比32%。</w:t>
      </w:r>
      <w:r>
        <w:rPr>
          <w:rFonts w:hint="eastAsia" w:ascii="仿宋_GB2312" w:hAnsi="仿宋_GB2312" w:eastAsia="仿宋_GB2312" w:cs="仿宋_GB2312"/>
          <w:b/>
          <w:bCs/>
          <w:kern w:val="2"/>
          <w:sz w:val="32"/>
          <w:szCs w:val="32"/>
          <w:lang w:val="en-US" w:eastAsia="zh-CN" w:bidi="ar-SA"/>
        </w:rPr>
        <w:t>二是保障住房安全。</w:t>
      </w:r>
      <w:r>
        <w:rPr>
          <w:rFonts w:hint="eastAsia" w:ascii="仿宋_GB2312" w:hAnsi="仿宋_GB2312" w:eastAsia="仿宋_GB2312" w:cs="仿宋_GB2312"/>
          <w:b w:val="0"/>
          <w:bCs w:val="0"/>
          <w:kern w:val="2"/>
          <w:sz w:val="32"/>
          <w:szCs w:val="32"/>
          <w:lang w:val="en-US" w:eastAsia="zh-CN" w:bidi="ar-SA"/>
        </w:rPr>
        <w:t>完成住建领域第一次自然灾害综合风险普查，完成全县建筑3.26万栋和县城市政道路25条、桥梁14座和供水管线17条17.95公里普查工作，为上级决策提升基本信息。自建房安全隐患排查农房28325栋，其中存在安全隐患的453栋，已采取个人租借、投亲靠友、闲置安置等排险，其中租住68户、借住72户、投亲靠友63户、村内闲着房屋安置24户，异地有安全房屋226户。采取个人重建+政府补助方式，年内启动了45户低收入群体农村危房改造</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kern w:val="2"/>
          <w:sz w:val="32"/>
          <w:szCs w:val="32"/>
          <w:lang w:val="en-US" w:eastAsia="zh-CN" w:bidi="ar-SA"/>
        </w:rPr>
        <w:t>三是监管物业服务</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kern w:val="0"/>
          <w:sz w:val="32"/>
          <w:szCs w:val="32"/>
          <w:lang w:eastAsia="zh-CN"/>
        </w:rPr>
        <w:t>加强对物业公司的监管，协调解处理的各类故障维修维护，督促“芦花家园”</w:t>
      </w:r>
      <w:r>
        <w:rPr>
          <w:rFonts w:hint="eastAsia" w:ascii="仿宋_GB2312" w:hAnsi="仿宋_GB2312" w:eastAsia="仿宋_GB2312" w:cs="仿宋_GB2312"/>
          <w:kern w:val="0"/>
          <w:sz w:val="32"/>
          <w:szCs w:val="32"/>
          <w:lang w:val="en-US" w:eastAsia="zh-CN"/>
        </w:rPr>
        <w:t>B区污水管网的改造。</w:t>
      </w:r>
      <w:r>
        <w:rPr>
          <w:rFonts w:hint="eastAsia" w:ascii="仿宋_GB2312" w:hAnsi="仿宋_GB2312" w:eastAsia="仿宋_GB2312" w:cs="仿宋_GB2312"/>
          <w:kern w:val="0"/>
          <w:sz w:val="32"/>
          <w:szCs w:val="32"/>
          <w:lang w:eastAsia="zh-CN"/>
        </w:rPr>
        <w:t>整治各小区卫生死角，规范停车位，配合推进黑水县创建文明城市工作。</w:t>
      </w:r>
      <w:r>
        <w:rPr>
          <w:rFonts w:hint="eastAsia" w:ascii="仿宋_GB2312" w:hAnsi="仿宋_GB2312" w:eastAsia="仿宋_GB2312" w:cs="仿宋_GB2312"/>
          <w:b w:val="0"/>
          <w:bCs w:val="0"/>
          <w:sz w:val="32"/>
          <w:szCs w:val="32"/>
          <w:lang w:val="en-US" w:eastAsia="zh-CN"/>
        </w:rPr>
        <w:t>督促2家物业企业做好7个物业小区服务，落实测体温、扫码亮码等防疫措施，整改县创城办居民小区环境卫生问题2个，完成了人民网网友芦花家园A区污水处溢问题的处理。县林草局家属楼成立了业委会，县城累计有小区业委会4个，向县政协委员宣传小区业委会成立流程及要求。按照全州住建系统安排，对县城3个商住小区的维修资金进行了清理，已归集维修资金72.9万元。</w:t>
      </w:r>
    </w:p>
    <w:p>
      <w:pPr>
        <w:keepNext w:val="0"/>
        <w:keepLines w:val="0"/>
        <w:pageBreakBefore w:val="0"/>
        <w:widowControl w:val="0"/>
        <w:kinsoku/>
        <w:wordWrap/>
        <w:overflowPunct w:val="0"/>
        <w:topLinePunct w:val="0"/>
        <w:autoSpaceDE/>
        <w:autoSpaceDN/>
        <w:bidi w:val="0"/>
        <w:adjustRightInd/>
        <w:snapToGrid/>
        <w:spacing w:line="560" w:lineRule="exact"/>
        <w:ind w:left="0" w:firstLine="642" w:firstLineChars="200"/>
        <w:jc w:val="both"/>
        <w:textAlignment w:val="auto"/>
        <w:rPr>
          <w:rStyle w:val="16"/>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kern w:val="0"/>
          <w:sz w:val="32"/>
          <w:szCs w:val="32"/>
          <w:lang w:val="en-US" w:eastAsia="zh-CN"/>
        </w:rPr>
        <w:t>2.</w:t>
      </w:r>
      <w:r>
        <w:rPr>
          <w:rFonts w:hint="eastAsia" w:ascii="仿宋_GB2312" w:hAnsi="仿宋_GB2312" w:eastAsia="仿宋_GB2312" w:cs="仿宋_GB2312"/>
          <w:b/>
          <w:bCs/>
          <w:kern w:val="0"/>
          <w:sz w:val="32"/>
          <w:szCs w:val="32"/>
          <w:lang w:eastAsia="zh-CN"/>
        </w:rPr>
        <w:t>“两提升一保护”完善城镇功能。</w:t>
      </w:r>
      <w:r>
        <w:rPr>
          <w:rFonts w:hint="eastAsia" w:ascii="仿宋_GB2312" w:hAnsi="仿宋_GB2312" w:eastAsia="仿宋_GB2312" w:cs="仿宋_GB2312"/>
          <w:b/>
          <w:bCs/>
          <w:kern w:val="2"/>
          <w:sz w:val="32"/>
          <w:szCs w:val="32"/>
          <w:lang w:val="en-US" w:eastAsia="zh-CN" w:bidi="ar-SA"/>
        </w:rPr>
        <w:t>一是提升城市综合品质。</w:t>
      </w:r>
      <w:r>
        <w:rPr>
          <w:rFonts w:hint="eastAsia" w:ascii="仿宋_GB2312" w:hAnsi="仿宋_GB2312" w:eastAsia="仿宋_GB2312" w:cs="仿宋_GB2312"/>
          <w:sz w:val="32"/>
          <w:szCs w:val="32"/>
          <w:lang w:val="en-US" w:eastAsia="zh-CN"/>
        </w:rPr>
        <w:t>编制完成城市品质提升“十四五”专项规划，明确了“冰雪映城·彩林画城·红色耀城”的城市定位，梳理项目27个、总投资9.43亿元，构建“一廊、两心、五片”城市结构。按照领导小组定期调度、主管部门牵头承办、县国投公司融资建设或属地镇担当业主的模式，推动环县城游步道等4个项目建设。其中，概算投资4800万元的芦花镇三个标段的乡村旅游基础设施的施工单位已于10月进场施工，计划明</w:t>
      </w:r>
      <w:r>
        <w:rPr>
          <w:rFonts w:hint="eastAsia" w:ascii="仿宋_GB2312" w:hAnsi="仿宋_GB2312" w:eastAsia="仿宋_GB2312" w:cs="仿宋_GB2312"/>
          <w:bCs/>
          <w:caps/>
          <w:color w:val="000000"/>
          <w:kern w:val="2"/>
          <w:sz w:val="32"/>
          <w:szCs w:val="32"/>
          <w:lang w:val="en-US" w:eastAsia="zh-CN" w:bidi="ar-SA"/>
        </w:rPr>
        <w:t>年底完工</w:t>
      </w:r>
      <w:r>
        <w:rPr>
          <w:rFonts w:hint="eastAsia" w:ascii="仿宋_GB2312" w:hAnsi="仿宋_GB2312" w:eastAsia="仿宋_GB2312" w:cs="仿宋_GB2312"/>
          <w:sz w:val="32"/>
          <w:szCs w:val="32"/>
          <w:lang w:val="en-US" w:eastAsia="zh-CN"/>
        </w:rPr>
        <w:t>；概算投资1.2亿元的县城老旧小区改造已确定总承包方，计划年底前完成样板栋建设；概算投资3000万元的县城3座景观桥梁已完成施工图图审和清单编制，进入财评环节，计划11月底前完成招投标。</w:t>
      </w:r>
      <w:r>
        <w:rPr>
          <w:rFonts w:hint="eastAsia" w:ascii="仿宋_GB2312" w:hAnsi="仿宋_GB2312" w:eastAsia="仿宋_GB2312" w:cs="仿宋_GB2312"/>
          <w:b/>
          <w:bCs/>
          <w:kern w:val="2"/>
          <w:sz w:val="32"/>
          <w:szCs w:val="32"/>
          <w:lang w:val="en-US" w:eastAsia="zh-CN" w:bidi="ar-SA"/>
        </w:rPr>
        <w:t>二是提升城镇承载能力。</w:t>
      </w:r>
      <w:r>
        <w:rPr>
          <w:rFonts w:hint="eastAsia" w:ascii="仿宋_GB2312" w:hAnsi="仿宋_GB2312" w:eastAsia="仿宋_GB2312" w:cs="仿宋_GB2312"/>
          <w:sz w:val="32"/>
          <w:szCs w:val="32"/>
          <w:lang w:val="en-US" w:eastAsia="zh-CN"/>
        </w:rPr>
        <w:t>加快城镇市政道路建设，县城市政二期完成芦花桥建设，团结桥拓宽改造进入桥面、栏杆施工，并计划年内完成团结桥及桥头西侧的市政广场建设；</w:t>
      </w:r>
      <w:r>
        <w:rPr>
          <w:rFonts w:hint="eastAsia" w:ascii="仿宋_GB2312" w:hAnsi="仿宋_GB2312" w:eastAsia="仿宋_GB2312" w:cs="仿宋_GB2312"/>
          <w:bCs/>
          <w:color w:val="000000"/>
          <w:sz w:val="32"/>
          <w:szCs w:val="32"/>
          <w:lang w:eastAsia="zh-CN"/>
        </w:rPr>
        <w:t>完成老政府家属区环境绿化提升，黑化区内道路</w:t>
      </w:r>
      <w:r>
        <w:rPr>
          <w:rFonts w:hint="eastAsia" w:ascii="仿宋_GB2312" w:hAnsi="仿宋_GB2312" w:eastAsia="仿宋_GB2312" w:cs="仿宋_GB2312"/>
          <w:bCs/>
          <w:color w:val="000000"/>
          <w:sz w:val="32"/>
          <w:szCs w:val="32"/>
          <w:lang w:val="en-US" w:eastAsia="zh-CN"/>
        </w:rPr>
        <w:t>0.55万平米、户外活动场地680平米，新增了0.2万平米绿化和垃圾分类房、羽毛球场、凉亭等设施。</w:t>
      </w:r>
      <w:r>
        <w:rPr>
          <w:rFonts w:hint="eastAsia" w:ascii="仿宋_GB2312" w:hAnsi="仿宋_GB2312" w:eastAsia="仿宋_GB2312" w:cs="仿宋_GB2312"/>
          <w:sz w:val="32"/>
          <w:szCs w:val="32"/>
          <w:lang w:val="en-US" w:eastAsia="zh-CN"/>
        </w:rPr>
        <w:t>2.3公里的知木林绕场路和原址重建的2座市政桥梁建设年内投用，3.1公里的扎窝镇市政道路和2.5公里长的西尔镇市政道路计划年内完工。以色尔古镇为载体，深入“省级百强中心镇”创建，并完成州内初评。</w:t>
      </w:r>
      <w:r>
        <w:rPr>
          <w:rFonts w:hint="eastAsia" w:ascii="仿宋_GB2312" w:hAnsi="仿宋_GB2312" w:eastAsia="仿宋_GB2312" w:cs="仿宋_GB2312"/>
          <w:b/>
          <w:bCs/>
          <w:kern w:val="2"/>
          <w:sz w:val="32"/>
          <w:szCs w:val="32"/>
          <w:lang w:val="en-US" w:eastAsia="zh-CN" w:bidi="ar-SA"/>
        </w:rPr>
        <w:t>三是保护利用传统村落。</w:t>
      </w:r>
      <w:r>
        <w:rPr>
          <w:rFonts w:hint="eastAsia" w:ascii="仿宋_GB2312" w:hAnsi="仿宋_GB2312" w:eastAsia="仿宋_GB2312" w:cs="仿宋_GB2312"/>
          <w:b w:val="0"/>
          <w:bCs w:val="0"/>
          <w:sz w:val="32"/>
          <w:szCs w:val="32"/>
          <w:lang w:val="en-US" w:eastAsia="zh-CN"/>
        </w:rPr>
        <w:t>将16处传统村落</w:t>
      </w:r>
      <w:r>
        <w:rPr>
          <w:rFonts w:hint="eastAsia" w:ascii="仿宋_GB2312" w:hAnsi="仿宋_GB2312" w:eastAsia="仿宋_GB2312" w:cs="仿宋_GB2312"/>
          <w:sz w:val="32"/>
          <w:szCs w:val="32"/>
          <w:lang w:eastAsia="zh-CN"/>
        </w:rPr>
        <w:t>纳入保护范围，现有国家级</w:t>
      </w:r>
      <w:r>
        <w:rPr>
          <w:rFonts w:hint="eastAsia" w:ascii="仿宋_GB2312" w:hAnsi="仿宋_GB2312" w:eastAsia="仿宋_GB2312" w:cs="仿宋_GB2312"/>
          <w:sz w:val="32"/>
          <w:szCs w:val="32"/>
          <w:lang w:val="en-US" w:eastAsia="zh-CN"/>
        </w:rPr>
        <w:t>5处、省级11处，今年新申报且进入公示的国家级3个。积极参与</w:t>
      </w:r>
      <w:r>
        <w:rPr>
          <w:rFonts w:hint="eastAsia" w:ascii="仿宋_GB2312" w:hAnsi="仿宋_GB2312" w:eastAsia="仿宋_GB2312" w:cs="仿宋_GB2312"/>
          <w:sz w:val="32"/>
          <w:szCs w:val="32"/>
          <w:lang w:eastAsia="zh-CN"/>
        </w:rPr>
        <w:t>国家级传统村落集中连片保护利用示范县创建，终因排名全省第二遗憾落选。</w:t>
      </w:r>
      <w:r>
        <w:rPr>
          <w:rFonts w:hint="eastAsia" w:ascii="仿宋_GB2312" w:hAnsi="仿宋_GB2312" w:eastAsia="仿宋_GB2312" w:cs="仿宋_GB2312"/>
          <w:b w:val="0"/>
          <w:bCs w:val="0"/>
          <w:sz w:val="32"/>
          <w:szCs w:val="32"/>
          <w:lang w:val="en-US" w:eastAsia="zh-CN"/>
        </w:rPr>
        <w:t>坚持建管用三结合，构建传统村落保护利用机制。投资300万元的沙石多镇</w:t>
      </w:r>
      <w:r>
        <w:rPr>
          <w:rFonts w:hint="eastAsia" w:ascii="仿宋_GB2312" w:hAnsi="仿宋_GB2312" w:eastAsia="仿宋_GB2312" w:cs="仿宋_GB2312"/>
          <w:color w:val="auto"/>
          <w:sz w:val="32"/>
          <w:szCs w:val="32"/>
          <w:lang w:val="en-US" w:eastAsia="zh-CN"/>
        </w:rPr>
        <w:t>奶子沟和昌德村传统村落保护利用项目进场施工，计划年内完成建设。</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kern w:val="0"/>
          <w:sz w:val="32"/>
          <w:szCs w:val="32"/>
          <w:lang w:val="en-US" w:eastAsia="zh-CN"/>
        </w:rPr>
        <w:t>3.“两严格一深入”共创生态文明示范</w:t>
      </w:r>
      <w:r>
        <w:rPr>
          <w:rFonts w:hint="eastAsia" w:ascii="仿宋_GB2312" w:hAnsi="仿宋_GB2312" w:eastAsia="仿宋_GB2312" w:cs="仿宋_GB2312"/>
          <w:b/>
          <w:bCs/>
          <w:kern w:val="2"/>
          <w:sz w:val="32"/>
          <w:szCs w:val="32"/>
          <w:lang w:val="en-US" w:eastAsia="zh-CN" w:bidi="ar-SA"/>
        </w:rPr>
        <w:t>。一是严格城镇供排水管理。</w:t>
      </w:r>
      <w:r>
        <w:rPr>
          <w:rFonts w:hint="eastAsia" w:ascii="仿宋_GB2312" w:hAnsi="仿宋_GB2312" w:eastAsia="仿宋_GB2312" w:cs="仿宋_GB2312"/>
          <w:sz w:val="32"/>
          <w:szCs w:val="32"/>
          <w:lang w:val="en-US" w:eastAsia="zh-CN"/>
        </w:rPr>
        <w:t>谷汝水厂恢复重建项目于今年7月20日供水，扎窝镇市政供水项目计划年底前建成投入使用。8个建制镇中，有6个建制镇污水处理设施正常运行，剩余扎窝和西尔2镇污水处理站计划年底前完工。</w:t>
      </w:r>
      <w:r>
        <w:rPr>
          <w:rFonts w:hint="eastAsia" w:ascii="仿宋_GB2312" w:hAnsi="仿宋_GB2312" w:eastAsia="仿宋_GB2312" w:cs="仿宋_GB2312"/>
          <w:b w:val="0"/>
          <w:bCs w:val="0"/>
          <w:color w:val="000000"/>
          <w:sz w:val="32"/>
          <w:szCs w:val="32"/>
          <w:lang w:eastAsia="zh-CN"/>
        </w:rPr>
        <w:t>完成</w:t>
      </w:r>
      <w:r>
        <w:rPr>
          <w:rFonts w:hint="eastAsia" w:ascii="仿宋_GB2312" w:hAnsi="仿宋_GB2312" w:eastAsia="仿宋_GB2312" w:cs="仿宋_GB2312"/>
          <w:b w:val="0"/>
          <w:bCs w:val="0"/>
          <w:sz w:val="32"/>
          <w:szCs w:val="32"/>
          <w:lang w:val="en-US" w:eastAsia="zh-CN"/>
        </w:rPr>
        <w:t>县城污水处理厂</w:t>
      </w:r>
      <w:r>
        <w:rPr>
          <w:rFonts w:hint="eastAsia" w:ascii="仿宋_GB2312" w:hAnsi="仿宋_GB2312" w:eastAsia="仿宋_GB2312" w:cs="仿宋_GB2312"/>
          <w:b w:val="0"/>
          <w:bCs w:val="0"/>
          <w:color w:val="000000"/>
          <w:sz w:val="32"/>
          <w:szCs w:val="32"/>
          <w:lang w:eastAsia="zh-CN"/>
        </w:rPr>
        <w:t>进水浓度、污泥处置</w:t>
      </w:r>
      <w:r>
        <w:rPr>
          <w:rFonts w:hint="eastAsia" w:ascii="仿宋_GB2312" w:hAnsi="仿宋_GB2312" w:eastAsia="仿宋_GB2312" w:cs="仿宋_GB2312"/>
          <w:b w:val="0"/>
          <w:bCs w:val="0"/>
          <w:color w:val="000000"/>
          <w:sz w:val="32"/>
          <w:szCs w:val="32"/>
          <w:lang w:val="en-US" w:eastAsia="zh-CN"/>
        </w:rPr>
        <w:t>2个问题</w:t>
      </w:r>
      <w:r>
        <w:rPr>
          <w:rFonts w:hint="eastAsia" w:ascii="仿宋_GB2312" w:hAnsi="仿宋_GB2312" w:eastAsia="仿宋_GB2312" w:cs="仿宋_GB2312"/>
          <w:b w:val="0"/>
          <w:bCs w:val="0"/>
          <w:color w:val="000000"/>
          <w:sz w:val="32"/>
          <w:szCs w:val="32"/>
          <w:highlight w:val="none"/>
          <w:lang w:val="en-US" w:eastAsia="zh-CN"/>
        </w:rPr>
        <w:t>整改，</w:t>
      </w:r>
      <w:r>
        <w:rPr>
          <w:rFonts w:hint="eastAsia" w:ascii="仿宋_GB2312" w:hAnsi="仿宋_GB2312" w:eastAsia="仿宋_GB2312" w:cs="仿宋_GB2312"/>
          <w:b w:val="0"/>
          <w:bCs w:val="0"/>
          <w:color w:val="000000"/>
          <w:sz w:val="32"/>
          <w:szCs w:val="32"/>
          <w:lang w:eastAsia="zh-CN"/>
        </w:rPr>
        <w:t>以一级</w:t>
      </w:r>
      <w:r>
        <w:rPr>
          <w:rFonts w:hint="eastAsia" w:ascii="仿宋_GB2312" w:hAnsi="仿宋_GB2312" w:eastAsia="仿宋_GB2312" w:cs="仿宋_GB2312"/>
          <w:b w:val="0"/>
          <w:bCs w:val="0"/>
          <w:color w:val="000000"/>
          <w:sz w:val="32"/>
          <w:szCs w:val="32"/>
          <w:lang w:val="en-US" w:eastAsia="zh-CN"/>
        </w:rPr>
        <w:t>A标排放标准</w:t>
      </w:r>
      <w:r>
        <w:rPr>
          <w:rFonts w:hint="eastAsia" w:ascii="仿宋_GB2312" w:hAnsi="仿宋_GB2312" w:eastAsia="仿宋_GB2312" w:cs="仿宋_GB2312"/>
          <w:sz w:val="32"/>
          <w:szCs w:val="32"/>
          <w:lang w:val="en-US" w:eastAsia="zh-CN"/>
        </w:rPr>
        <w:t>启动县污水处理厂提标改造及县城234处管网病害处理，现已完成60%工程量，计划年底前基本建成。</w:t>
      </w:r>
      <w:r>
        <w:rPr>
          <w:rFonts w:hint="eastAsia" w:ascii="仿宋_GB2312" w:hAnsi="仿宋_GB2312" w:eastAsia="仿宋_GB2312" w:cs="仿宋_GB2312"/>
          <w:b/>
          <w:bCs/>
          <w:kern w:val="2"/>
          <w:sz w:val="32"/>
          <w:szCs w:val="32"/>
          <w:lang w:val="en-US" w:eastAsia="zh-CN" w:bidi="ar-SA"/>
        </w:rPr>
        <w:t>二是严格城乡垃圾处理</w:t>
      </w:r>
      <w:r>
        <w:rPr>
          <w:rFonts w:hint="eastAsia" w:ascii="仿宋_GB2312" w:hAnsi="仿宋_GB2312" w:eastAsia="仿宋_GB2312" w:cs="仿宋_GB2312"/>
          <w:sz w:val="32"/>
          <w:szCs w:val="32"/>
          <w:lang w:val="en-US" w:eastAsia="zh-CN"/>
        </w:rPr>
        <w:t>。州级城乡垃圾“新三推”涉及我县的厨余垃圾处理及资源化利用、县城垃圾卫生填埋场封场、县城生活垃圾分类收转运设施3个项目均已立项</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sz w:val="32"/>
          <w:szCs w:val="32"/>
          <w:lang w:val="en-US" w:eastAsia="zh-CN"/>
        </w:rPr>
        <w:t>按照环卫管理精细化、垃圾处置固定化、监督检查常态化的原则，依托2个垃圾焚烧厂、5个垃圾压缩中转站、3个移动压缩站和2台中转车、2辆转运车/乡（镇），年内新投放</w:t>
      </w:r>
      <w:r>
        <w:rPr>
          <w:rFonts w:hint="eastAsia" w:ascii="仿宋_GB2312" w:hAnsi="仿宋_GB2312" w:eastAsia="仿宋_GB2312" w:cs="仿宋_GB2312"/>
          <w:b w:val="0"/>
          <w:bCs w:val="0"/>
          <w:color w:val="auto"/>
          <w:sz w:val="32"/>
          <w:szCs w:val="32"/>
          <w:lang w:val="en-US" w:eastAsia="zh-CN"/>
        </w:rPr>
        <w:t>3m</w:t>
      </w:r>
      <w:r>
        <w:rPr>
          <w:rFonts w:hint="eastAsia" w:ascii="仿宋_GB2312" w:hAnsi="仿宋_GB2312" w:eastAsia="仿宋_GB2312" w:cs="仿宋_GB2312"/>
          <w:b w:val="0"/>
          <w:bCs w:val="0"/>
          <w:color w:val="auto"/>
          <w:sz w:val="32"/>
          <w:szCs w:val="32"/>
          <w:vertAlign w:val="superscript"/>
          <w:lang w:val="en-US" w:eastAsia="zh-CN"/>
        </w:rPr>
        <w:t>3</w:t>
      </w:r>
      <w:r>
        <w:rPr>
          <w:rFonts w:hint="eastAsia" w:ascii="仿宋_GB2312" w:hAnsi="仿宋_GB2312" w:eastAsia="仿宋_GB2312" w:cs="仿宋_GB2312"/>
          <w:b w:val="0"/>
          <w:bCs w:val="0"/>
          <w:color w:val="auto"/>
          <w:sz w:val="32"/>
          <w:szCs w:val="32"/>
          <w:lang w:val="en-US" w:eastAsia="zh-CN"/>
        </w:rPr>
        <w:t>垃圾箱100个，进一步</w:t>
      </w:r>
      <w:r>
        <w:rPr>
          <w:rFonts w:hint="eastAsia" w:ascii="仿宋_GB2312" w:hAnsi="仿宋_GB2312" w:eastAsia="仿宋_GB2312" w:cs="仿宋_GB2312"/>
          <w:sz w:val="32"/>
          <w:szCs w:val="32"/>
          <w:lang w:val="en-US" w:eastAsia="zh-CN"/>
        </w:rPr>
        <w:t>完善“村组收集、乡镇转运、片区处理”的城乡垃圾收转运体系，全县</w:t>
      </w:r>
      <w:r>
        <w:rPr>
          <w:rFonts w:hint="eastAsia" w:ascii="仿宋_GB2312" w:hAnsi="仿宋_GB2312" w:eastAsia="仿宋_GB2312" w:cs="仿宋_GB2312"/>
          <w:b w:val="0"/>
          <w:bCs w:val="0"/>
          <w:color w:val="auto"/>
          <w:sz w:val="32"/>
          <w:szCs w:val="32"/>
          <w:lang w:val="en-US" w:eastAsia="zh-CN"/>
        </w:rPr>
        <w:t>城乡垃圾收集处理率达到了90%以上。</w:t>
      </w:r>
      <w:r>
        <w:rPr>
          <w:rFonts w:hint="eastAsia" w:ascii="仿宋_GB2312" w:hAnsi="仿宋_GB2312" w:eastAsia="仿宋_GB2312" w:cs="仿宋_GB2312"/>
          <w:b/>
          <w:bCs/>
          <w:kern w:val="2"/>
          <w:sz w:val="32"/>
          <w:szCs w:val="32"/>
          <w:lang w:val="en-US" w:eastAsia="zh-CN" w:bidi="ar-SA"/>
        </w:rPr>
        <w:t>三是深入城乡环境治理。</w:t>
      </w:r>
      <w:r>
        <w:rPr>
          <w:rFonts w:hint="eastAsia" w:ascii="仿宋_GB2312" w:hAnsi="仿宋_GB2312" w:eastAsia="仿宋_GB2312" w:cs="仿宋_GB2312"/>
          <w:sz w:val="32"/>
          <w:szCs w:val="32"/>
          <w:lang w:val="en-US" w:eastAsia="zh-CN"/>
        </w:rPr>
        <w:t>投资40万元改造团结桥头西侧公厕1座，计划年网内建成投入使用</w:t>
      </w:r>
      <w:r>
        <w:rPr>
          <w:rFonts w:hint="eastAsia" w:ascii="仿宋_GB2312" w:hAnsi="仿宋_GB2312" w:eastAsia="仿宋_GB2312" w:cs="仿宋_GB2312"/>
          <w:color w:val="auto"/>
          <w:sz w:val="32"/>
          <w:szCs w:val="32"/>
          <w:lang w:val="en-US" w:eastAsia="zh-CN"/>
        </w:rPr>
        <w:t>；明确</w:t>
      </w:r>
      <w:r>
        <w:rPr>
          <w:rFonts w:hint="eastAsia" w:ascii="仿宋_GB2312" w:hAnsi="仿宋_GB2312" w:eastAsia="仿宋_GB2312" w:cs="仿宋_GB2312"/>
          <w:b w:val="0"/>
          <w:bCs w:val="0"/>
          <w:color w:val="auto"/>
          <w:kern w:val="2"/>
          <w:sz w:val="32"/>
          <w:szCs w:val="32"/>
          <w:lang w:val="en-US" w:eastAsia="zh-CN" w:bidi="ar-SA"/>
        </w:rPr>
        <w:t>公路沿线公厕管理员258人、二级所长15人、网格监督员100人，落实公厕环境卫生管理。</w:t>
      </w:r>
      <w:r>
        <w:rPr>
          <w:rFonts w:hint="eastAsia" w:ascii="仿宋_GB2312" w:hAnsi="仿宋_GB2312" w:eastAsia="仿宋_GB2312" w:cs="仿宋_GB2312"/>
          <w:b w:val="0"/>
          <w:bCs w:val="0"/>
          <w:color w:val="auto"/>
          <w:sz w:val="32"/>
          <w:szCs w:val="32"/>
          <w:lang w:val="en-US" w:eastAsia="zh-CN"/>
        </w:rPr>
        <w:t>印发城乡环境综合治理责任区域划分通知、城乡环境综合治理工作方案、逐</w:t>
      </w:r>
      <w:r>
        <w:rPr>
          <w:rFonts w:hint="eastAsia" w:ascii="仿宋_GB2312" w:hAnsi="仿宋_GB2312" w:eastAsia="仿宋_GB2312" w:cs="仿宋_GB2312"/>
          <w:color w:val="auto"/>
          <w:sz w:val="32"/>
          <w:szCs w:val="32"/>
          <w:lang w:val="en-US" w:eastAsia="zh-CN"/>
        </w:rPr>
        <w:t>步推进</w:t>
      </w:r>
      <w:r>
        <w:rPr>
          <w:rFonts w:hint="eastAsia" w:ascii="仿宋_GB2312" w:hAnsi="仿宋_GB2312" w:eastAsia="仿宋_GB2312" w:cs="仿宋_GB2312"/>
          <w:color w:val="auto"/>
          <w:sz w:val="32"/>
          <w:szCs w:val="32"/>
          <w:lang w:eastAsia="zh-CN"/>
        </w:rPr>
        <w:t>每月第二周和第四周星期五定期大扫除机制常态化。建立常态化的监督检查及问题曝光机制，</w:t>
      </w:r>
      <w:r>
        <w:rPr>
          <w:rFonts w:hint="eastAsia" w:ascii="仿宋_GB2312" w:hAnsi="仿宋_GB2312" w:eastAsia="仿宋_GB2312" w:cs="仿宋_GB2312"/>
          <w:color w:val="auto"/>
          <w:sz w:val="32"/>
          <w:szCs w:val="32"/>
          <w:lang w:val="en-US" w:eastAsia="zh-CN"/>
        </w:rPr>
        <w:t>“点对点”将检查发现问题通报所属单位限期整改，建立检查问题整改台账。对限期整改不到位的，在县级媒体上通报曝光。</w:t>
      </w:r>
      <w:r>
        <w:rPr>
          <w:rFonts w:hint="eastAsia" w:ascii="仿宋_GB2312" w:hAnsi="仿宋_GB2312" w:eastAsia="仿宋_GB2312" w:cs="仿宋_GB2312"/>
          <w:b w:val="0"/>
          <w:bCs w:val="0"/>
          <w:color w:val="auto"/>
          <w:sz w:val="32"/>
          <w:szCs w:val="32"/>
          <w:lang w:val="en-US" w:eastAsia="zh-CN"/>
        </w:rPr>
        <w:t>全年张贴环境治理宣传海报</w:t>
      </w:r>
      <w:r>
        <w:rPr>
          <w:rFonts w:hint="eastAsia" w:ascii="仿宋_GB2312" w:hAnsi="仿宋_GB2312" w:eastAsia="仿宋_GB2312" w:cs="仿宋_GB2312"/>
          <w:b w:val="0"/>
          <w:bCs w:val="0"/>
          <w:color w:val="auto"/>
          <w:kern w:val="2"/>
          <w:sz w:val="32"/>
          <w:szCs w:val="32"/>
          <w:lang w:val="en-US" w:eastAsia="zh-CN" w:bidi="ar-SA"/>
        </w:rPr>
        <w:t>100余份</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kern w:val="2"/>
          <w:sz w:val="32"/>
          <w:szCs w:val="32"/>
          <w:lang w:val="en-US" w:eastAsia="zh-CN" w:bidi="ar-SA"/>
        </w:rPr>
        <w:t>发改资料500余份，全年</w:t>
      </w:r>
      <w:r>
        <w:rPr>
          <w:rFonts w:hint="eastAsia" w:ascii="仿宋_GB2312" w:hAnsi="仿宋_GB2312" w:eastAsia="仿宋_GB2312" w:cs="仿宋_GB2312"/>
          <w:b w:val="0"/>
          <w:bCs w:val="0"/>
          <w:color w:val="auto"/>
          <w:sz w:val="32"/>
          <w:szCs w:val="32"/>
          <w:lang w:val="en-US" w:eastAsia="zh-CN"/>
        </w:rPr>
        <w:t>检查城乡环境15次、整改问题23个，建立起每月2次的卫生大扫除活动，并每月对部门、乡镇进行排名。</w:t>
      </w:r>
    </w:p>
    <w:p>
      <w:pPr>
        <w:keepNext w:val="0"/>
        <w:keepLines w:val="0"/>
        <w:pageBreakBefore w:val="0"/>
        <w:widowControl w:val="0"/>
        <w:kinsoku/>
        <w:wordWrap/>
        <w:overflowPunct/>
        <w:topLinePunct w:val="0"/>
        <w:autoSpaceDE/>
        <w:autoSpaceDN/>
        <w:bidi w:val="0"/>
        <w:adjustRightInd/>
        <w:spacing w:afterAutospacing="0" w:line="560" w:lineRule="exact"/>
        <w:ind w:left="0"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kern w:val="0"/>
          <w:sz w:val="32"/>
          <w:szCs w:val="32"/>
          <w:lang w:val="en-US" w:eastAsia="zh-CN"/>
        </w:rPr>
        <w:t>4.</w:t>
      </w:r>
      <w:r>
        <w:rPr>
          <w:rFonts w:hint="eastAsia" w:ascii="仿宋_GB2312" w:hAnsi="仿宋_GB2312" w:eastAsia="仿宋_GB2312" w:cs="仿宋_GB2312"/>
          <w:b/>
          <w:bCs/>
          <w:kern w:val="0"/>
          <w:sz w:val="32"/>
          <w:szCs w:val="32"/>
          <w:lang w:eastAsia="zh-CN"/>
        </w:rPr>
        <w:t>“三</w:t>
      </w:r>
      <w:r>
        <w:rPr>
          <w:rFonts w:hint="eastAsia" w:ascii="仿宋_GB2312" w:hAnsi="仿宋_GB2312" w:eastAsia="仿宋_GB2312" w:cs="仿宋_GB2312"/>
          <w:b/>
          <w:bCs/>
          <w:sz w:val="32"/>
          <w:lang w:val="en-US" w:eastAsia="zh-CN"/>
        </w:rPr>
        <w:t>强化”促行业监管提质增效。</w:t>
      </w:r>
      <w:r>
        <w:rPr>
          <w:rFonts w:hint="eastAsia" w:ascii="仿宋_GB2312" w:hAnsi="仿宋_GB2312" w:eastAsia="仿宋_GB2312" w:cs="仿宋_GB2312"/>
          <w:b/>
          <w:bCs/>
          <w:kern w:val="2"/>
          <w:sz w:val="32"/>
          <w:szCs w:val="32"/>
          <w:lang w:val="en-US" w:eastAsia="zh-CN" w:bidi="ar-SA"/>
        </w:rPr>
        <w:t>一是强化行业安全生产。</w:t>
      </w:r>
      <w:r>
        <w:rPr>
          <w:rFonts w:hint="eastAsia" w:ascii="仿宋_GB2312" w:hAnsi="仿宋_GB2312" w:eastAsia="仿宋_GB2312" w:cs="仿宋_GB2312"/>
          <w:sz w:val="32"/>
          <w:szCs w:val="32"/>
          <w:lang w:val="en-US" w:eastAsia="zh-CN"/>
        </w:rPr>
        <w:t>修订行业领域应急预案6个，督促企业开展应急演练3次。加强在建工程质量安全，年内报监在建工程18个、4.77万平米，总投资2.11亿元；开展质量安全监督检查118个次，发出《质量安全整改通知单》21份，所有问题已全部整改，实现工地“死亡事故零指标”。</w:t>
      </w:r>
      <w:r>
        <w:rPr>
          <w:rFonts w:hint="eastAsia" w:ascii="仿宋_GB2312" w:hAnsi="仿宋_GB2312" w:eastAsia="仿宋_GB2312" w:cs="仿宋_GB2312"/>
          <w:color w:val="auto"/>
          <w:sz w:val="32"/>
          <w:szCs w:val="32"/>
          <w:lang w:val="en-US" w:eastAsia="zh-CN"/>
        </w:rPr>
        <w:t>全年查处</w:t>
      </w:r>
      <w:r>
        <w:rPr>
          <w:rFonts w:hint="eastAsia" w:ascii="仿宋_GB2312" w:hAnsi="仿宋_GB2312" w:eastAsia="仿宋_GB2312" w:cs="仿宋_GB2312"/>
          <w:sz w:val="32"/>
          <w:szCs w:val="32"/>
        </w:rPr>
        <w:t>出借</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资质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未批先建</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问题3</w:t>
      </w:r>
      <w:r>
        <w:rPr>
          <w:rFonts w:hint="eastAsia" w:ascii="仿宋_GB2312" w:hAnsi="仿宋_GB2312" w:eastAsia="仿宋_GB2312" w:cs="仿宋_GB2312"/>
          <w:sz w:val="32"/>
          <w:szCs w:val="32"/>
          <w:lang w:eastAsia="zh-CN"/>
        </w:rPr>
        <w:t>起</w:t>
      </w:r>
      <w:r>
        <w:rPr>
          <w:rFonts w:hint="eastAsia" w:ascii="仿宋_GB2312" w:hAnsi="仿宋_GB2312" w:eastAsia="仿宋_GB2312" w:cs="仿宋_GB2312"/>
          <w:sz w:val="32"/>
          <w:szCs w:val="32"/>
        </w:rPr>
        <w:t>，罚金1.488万元。</w:t>
      </w:r>
      <w:r>
        <w:rPr>
          <w:rFonts w:hint="eastAsia" w:ascii="仿宋_GB2312" w:hAnsi="仿宋_GB2312" w:eastAsia="仿宋_GB2312" w:cs="仿宋_GB2312"/>
          <w:sz w:val="32"/>
          <w:szCs w:val="32"/>
          <w:lang w:val="en-US" w:eastAsia="zh-CN"/>
        </w:rPr>
        <w:t>督促城镇燃气安全使用，与冰川燃气公司签订安全生产责任书，制定燃气安全应急预案，督促企业开展应急演练，提高应急救援处置能力。牵头城镇燃气安全隐患排查及问题整改，共张贴宣传资料120张，发放明白卡926户，排查燃气926户，87个问题已整改完毕。强化行业领域疫情防控，督促系统人员做好第三针疫苗接种，疫苗接种率达到98%；督促行业从业人员做好静态管控期间的管理及每周2次常态化核酸检测，全县18个在建工地均建立了人员排查台账，均落实进出测体温、扫码亮码、提前报备、入县核酸检测和居家隔离等</w:t>
      </w:r>
      <w:r>
        <w:rPr>
          <w:rFonts w:hint="eastAsia" w:ascii="仿宋_GB2312" w:hAnsi="仿宋_GB2312" w:eastAsia="仿宋_GB2312" w:cs="仿宋_GB2312"/>
          <w:color w:val="auto"/>
          <w:sz w:val="32"/>
          <w:szCs w:val="32"/>
          <w:lang w:val="en-US" w:eastAsia="zh-CN"/>
        </w:rPr>
        <w:t>防疫措施，并做好口罩、消毒液等防疫物资储备。共开具进县证明700余人。</w:t>
      </w:r>
      <w:r>
        <w:rPr>
          <w:rFonts w:hint="eastAsia" w:ascii="仿宋_GB2312" w:hAnsi="仿宋_GB2312" w:eastAsia="仿宋_GB2312" w:cs="仿宋_GB2312"/>
          <w:b/>
          <w:bCs/>
          <w:color w:val="auto"/>
          <w:kern w:val="2"/>
          <w:sz w:val="32"/>
          <w:szCs w:val="32"/>
          <w:lang w:val="en-US" w:eastAsia="zh-CN" w:bidi="ar-SA"/>
        </w:rPr>
        <w:t>二是强化建筑行业监管。</w:t>
      </w:r>
      <w:r>
        <w:rPr>
          <w:rFonts w:hint="eastAsia" w:ascii="仿宋_GB2312" w:hAnsi="仿宋_GB2312" w:eastAsia="仿宋_GB2312" w:cs="仿宋_GB2312"/>
          <w:color w:val="auto"/>
          <w:sz w:val="32"/>
          <w:szCs w:val="32"/>
          <w:lang w:val="en-US" w:eastAsia="zh-CN"/>
        </w:rPr>
        <w:t>抓好建筑业产值统计，现已完成1.69亿元、同比增长34.3%，力争全年完成2.5亿元。</w:t>
      </w:r>
      <w:r>
        <w:rPr>
          <w:rFonts w:hint="eastAsia" w:ascii="仿宋_GB2312" w:hAnsi="仿宋_GB2312" w:eastAsia="仿宋_GB2312" w:cs="仿宋_GB2312"/>
          <w:color w:val="auto"/>
          <w:sz w:val="32"/>
          <w:szCs w:val="32"/>
          <w:lang w:eastAsia="zh-CN"/>
        </w:rPr>
        <w:t>强化对企服务，召开</w:t>
      </w:r>
      <w:r>
        <w:rPr>
          <w:rFonts w:hint="eastAsia" w:ascii="仿宋_GB2312" w:hAnsi="仿宋_GB2312" w:eastAsia="仿宋_GB2312" w:cs="仿宋_GB2312"/>
          <w:color w:val="auto"/>
          <w:sz w:val="32"/>
          <w:szCs w:val="32"/>
          <w:lang w:val="en-US" w:eastAsia="zh-CN"/>
        </w:rPr>
        <w:t>企业联席会议2次，帮助</w:t>
      </w:r>
      <w:r>
        <w:rPr>
          <w:rFonts w:hint="eastAsia" w:ascii="仿宋_GB2312" w:hAnsi="仿宋_GB2312" w:eastAsia="仿宋_GB2312" w:cs="仿宋_GB2312"/>
          <w:color w:val="auto"/>
          <w:sz w:val="32"/>
          <w:szCs w:val="32"/>
          <w:lang w:eastAsia="zh-CN"/>
        </w:rPr>
        <w:t>四川均衡建司等县内</w:t>
      </w:r>
      <w:r>
        <w:rPr>
          <w:rFonts w:hint="eastAsia" w:ascii="仿宋_GB2312" w:hAnsi="仿宋_GB2312" w:eastAsia="仿宋_GB2312" w:cs="仿宋_GB2312"/>
          <w:color w:val="auto"/>
          <w:sz w:val="32"/>
          <w:szCs w:val="32"/>
          <w:lang w:val="en-US" w:eastAsia="zh-CN"/>
        </w:rPr>
        <w:t>企业“纾困解难”</w:t>
      </w:r>
      <w:r>
        <w:rPr>
          <w:rFonts w:hint="eastAsia" w:ascii="仿宋_GB2312" w:hAnsi="仿宋_GB2312" w:eastAsia="仿宋_GB2312" w:cs="仿宋_GB2312"/>
          <w:color w:val="auto"/>
          <w:sz w:val="32"/>
          <w:szCs w:val="32"/>
          <w:lang w:eastAsia="zh-CN"/>
        </w:rPr>
        <w:t>。强化政策保障，结合阿坝州促进建筑业高质量发展的实施意见稿，调整形成《黑水县促进建筑业高质量发展实施意见（送审稿）》</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完善填报机制，以预填预报提前掌握企业产值完成情况，年内新增入统</w:t>
      </w:r>
      <w:r>
        <w:rPr>
          <w:rFonts w:hint="eastAsia" w:ascii="仿宋_GB2312" w:hAnsi="仿宋_GB2312" w:eastAsia="仿宋_GB2312" w:cs="仿宋_GB2312"/>
          <w:color w:val="auto"/>
          <w:sz w:val="32"/>
          <w:szCs w:val="32"/>
          <w:lang w:val="en-US" w:eastAsia="zh-CN"/>
        </w:rPr>
        <w:t>建筑企业4家，</w:t>
      </w:r>
      <w:r>
        <w:rPr>
          <w:rFonts w:hint="eastAsia" w:ascii="仿宋_GB2312" w:hAnsi="仿宋_GB2312" w:eastAsia="仿宋_GB2312" w:cs="仿宋_GB2312"/>
          <w:color w:val="auto"/>
          <w:sz w:val="32"/>
          <w:szCs w:val="32"/>
          <w:lang w:eastAsia="zh-CN"/>
        </w:rPr>
        <w:t>累计</w:t>
      </w:r>
      <w:r>
        <w:rPr>
          <w:rFonts w:hint="eastAsia" w:ascii="仿宋_GB2312" w:hAnsi="仿宋_GB2312" w:eastAsia="仿宋_GB2312" w:cs="仿宋_GB2312"/>
          <w:color w:val="auto"/>
          <w:sz w:val="32"/>
          <w:szCs w:val="32"/>
          <w:lang w:val="en-US" w:eastAsia="zh-CN"/>
        </w:rPr>
        <w:t>本地</w:t>
      </w:r>
      <w:r>
        <w:rPr>
          <w:rFonts w:hint="eastAsia" w:ascii="仿宋_GB2312" w:hAnsi="仿宋_GB2312" w:eastAsia="仿宋_GB2312" w:cs="仿宋_GB2312"/>
          <w:color w:val="auto"/>
          <w:sz w:val="32"/>
          <w:szCs w:val="32"/>
        </w:rPr>
        <w:t>注册企业</w:t>
      </w:r>
      <w:r>
        <w:rPr>
          <w:rFonts w:hint="eastAsia" w:ascii="仿宋_GB2312" w:hAnsi="仿宋_GB2312" w:eastAsia="仿宋_GB2312" w:cs="仿宋_GB2312"/>
          <w:color w:val="auto"/>
          <w:sz w:val="32"/>
          <w:szCs w:val="32"/>
          <w:lang w:val="en-US" w:eastAsia="zh-CN"/>
        </w:rPr>
        <w:t>16</w:t>
      </w:r>
      <w:r>
        <w:rPr>
          <w:rFonts w:hint="eastAsia" w:ascii="仿宋_GB2312" w:hAnsi="仿宋_GB2312" w:eastAsia="仿宋_GB2312" w:cs="仿宋_GB2312"/>
          <w:color w:val="auto"/>
          <w:sz w:val="32"/>
          <w:szCs w:val="32"/>
        </w:rPr>
        <w:t>家</w:t>
      </w:r>
      <w:r>
        <w:rPr>
          <w:rFonts w:hint="eastAsia" w:ascii="仿宋_GB2312" w:hAnsi="仿宋_GB2312" w:eastAsia="仿宋_GB2312" w:cs="仿宋_GB2312"/>
          <w:color w:val="auto"/>
          <w:sz w:val="32"/>
          <w:szCs w:val="32"/>
          <w:lang w:eastAsia="zh-CN"/>
        </w:rPr>
        <w:t>，其中</w:t>
      </w:r>
      <w:r>
        <w:rPr>
          <w:rFonts w:hint="eastAsia" w:ascii="仿宋_GB2312" w:hAnsi="仿宋_GB2312" w:eastAsia="仿宋_GB2312" w:cs="仿宋_GB2312"/>
          <w:color w:val="auto"/>
          <w:sz w:val="32"/>
          <w:szCs w:val="32"/>
        </w:rPr>
        <w:t>纳入建筑</w:t>
      </w:r>
      <w:r>
        <w:rPr>
          <w:rFonts w:hint="eastAsia" w:ascii="仿宋_GB2312" w:hAnsi="仿宋_GB2312" w:eastAsia="仿宋_GB2312" w:cs="仿宋_GB2312"/>
          <w:color w:val="auto"/>
          <w:sz w:val="32"/>
          <w:szCs w:val="32"/>
          <w:lang w:eastAsia="zh-CN"/>
        </w:rPr>
        <w:t>业产值入统的</w:t>
      </w:r>
      <w:r>
        <w:rPr>
          <w:rFonts w:hint="eastAsia" w:ascii="仿宋_GB2312" w:hAnsi="仿宋_GB2312" w:eastAsia="仿宋_GB2312" w:cs="仿宋_GB2312"/>
          <w:color w:val="auto"/>
          <w:sz w:val="32"/>
          <w:szCs w:val="32"/>
        </w:rPr>
        <w:t>企业</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lang w:eastAsia="zh-CN"/>
        </w:rPr>
        <w:t>印发</w:t>
      </w:r>
      <w:r>
        <w:rPr>
          <w:rFonts w:hint="eastAsia" w:ascii="仿宋_GB2312" w:hAnsi="仿宋_GB2312" w:eastAsia="仿宋_GB2312" w:cs="仿宋_GB2312"/>
          <w:sz w:val="32"/>
          <w:szCs w:val="32"/>
        </w:rPr>
        <w:t>《2022年度根治欠薪工作的实施方案》，进一步</w:t>
      </w:r>
      <w:r>
        <w:rPr>
          <w:rFonts w:hint="eastAsia" w:ascii="仿宋_GB2312" w:hAnsi="仿宋_GB2312" w:eastAsia="仿宋_GB2312" w:cs="仿宋_GB2312"/>
          <w:sz w:val="32"/>
          <w:szCs w:val="32"/>
          <w:lang w:eastAsia="zh-CN"/>
        </w:rPr>
        <w:t>落实工程建设保证金、农民工实名制、农民工工资专户等</w:t>
      </w:r>
      <w:r>
        <w:rPr>
          <w:rFonts w:hint="eastAsia" w:ascii="仿宋_GB2312" w:hAnsi="仿宋_GB2312" w:eastAsia="仿宋_GB2312" w:cs="仿宋_GB2312"/>
          <w:sz w:val="32"/>
          <w:szCs w:val="32"/>
        </w:rPr>
        <w:t>制度，强化日常</w:t>
      </w:r>
      <w:r>
        <w:rPr>
          <w:rFonts w:hint="eastAsia" w:ascii="仿宋_GB2312" w:hAnsi="仿宋_GB2312" w:eastAsia="仿宋_GB2312" w:cs="仿宋_GB2312"/>
          <w:sz w:val="32"/>
          <w:szCs w:val="32"/>
          <w:lang w:eastAsia="zh-CN"/>
        </w:rPr>
        <w:t>监督检查</w:t>
      </w:r>
      <w:r>
        <w:rPr>
          <w:rFonts w:hint="eastAsia" w:ascii="仿宋_GB2312" w:hAnsi="仿宋_GB2312" w:eastAsia="仿宋_GB2312" w:cs="仿宋_GB2312"/>
          <w:sz w:val="32"/>
          <w:szCs w:val="32"/>
        </w:rPr>
        <w:t>，畅通投诉举报渠道，积极</w:t>
      </w:r>
      <w:r>
        <w:rPr>
          <w:rFonts w:hint="eastAsia" w:ascii="仿宋_GB2312" w:hAnsi="仿宋_GB2312" w:eastAsia="仿宋_GB2312" w:cs="仿宋_GB2312"/>
          <w:sz w:val="32"/>
          <w:szCs w:val="32"/>
          <w:lang w:eastAsia="zh-CN"/>
        </w:rPr>
        <w:t>防范化解建设工地</w:t>
      </w:r>
      <w:r>
        <w:rPr>
          <w:rFonts w:hint="eastAsia" w:ascii="仿宋_GB2312" w:hAnsi="仿宋_GB2312" w:eastAsia="仿宋_GB2312" w:cs="仿宋_GB2312"/>
          <w:sz w:val="32"/>
          <w:szCs w:val="32"/>
        </w:rPr>
        <w:t>欠薪问题。</w:t>
      </w:r>
      <w:r>
        <w:rPr>
          <w:rFonts w:hint="eastAsia" w:ascii="仿宋_GB2312" w:hAnsi="仿宋_GB2312" w:eastAsia="仿宋_GB2312" w:cs="仿宋_GB2312"/>
          <w:sz w:val="32"/>
          <w:szCs w:val="32"/>
          <w:lang w:eastAsia="zh-CN"/>
        </w:rPr>
        <w:t>截至</w:t>
      </w:r>
      <w:r>
        <w:rPr>
          <w:rFonts w:hint="eastAsia" w:ascii="仿宋_GB2312" w:hAnsi="仿宋_GB2312" w:eastAsia="仿宋_GB2312" w:cs="仿宋_GB2312"/>
          <w:sz w:val="32"/>
          <w:szCs w:val="32"/>
        </w:rPr>
        <w:t>目前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无拖欠民工</w:t>
      </w:r>
      <w:r>
        <w:rPr>
          <w:rFonts w:hint="eastAsia" w:ascii="仿宋_GB2312" w:hAnsi="仿宋_GB2312" w:eastAsia="仿宋_GB2312" w:cs="仿宋_GB2312"/>
          <w:sz w:val="32"/>
          <w:szCs w:val="32"/>
          <w:lang w:eastAsia="zh-CN"/>
        </w:rPr>
        <w:t>工资问题发生</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eastAsia="zh-CN"/>
        </w:rPr>
        <w:t>抓好固定资产投资</w:t>
      </w:r>
      <w:r>
        <w:rPr>
          <w:rFonts w:hint="eastAsia" w:ascii="仿宋_GB2312" w:hAnsi="仿宋_GB2312" w:eastAsia="仿宋_GB2312" w:cs="仿宋_GB2312"/>
          <w:color w:val="auto"/>
          <w:sz w:val="32"/>
          <w:szCs w:val="32"/>
          <w:lang w:val="en-US" w:eastAsia="zh-CN"/>
        </w:rPr>
        <w:t>，截至目前</w:t>
      </w:r>
      <w:r>
        <w:rPr>
          <w:rFonts w:hint="eastAsia" w:ascii="仿宋_GB2312" w:hAnsi="仿宋_GB2312" w:eastAsia="仿宋_GB2312" w:cs="仿宋_GB2312"/>
          <w:kern w:val="2"/>
          <w:sz w:val="32"/>
          <w:szCs w:val="32"/>
          <w:lang w:val="en-US" w:eastAsia="zh-CN" w:bidi="ar-SA"/>
        </w:rPr>
        <w:t>新增固定资产10590万元</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kern w:val="2"/>
          <w:sz w:val="32"/>
          <w:szCs w:val="32"/>
          <w:lang w:val="en-US" w:eastAsia="zh-CN" w:bidi="ar-SA"/>
        </w:rPr>
        <w:t>三是强化建设审批制度改革。</w:t>
      </w:r>
      <w:r>
        <w:rPr>
          <w:rFonts w:hint="eastAsia" w:ascii="仿宋_GB2312" w:hAnsi="仿宋_GB2312" w:eastAsia="仿宋_GB2312" w:cs="仿宋_GB2312"/>
          <w:kern w:val="2"/>
          <w:sz w:val="32"/>
          <w:szCs w:val="32"/>
          <w:lang w:val="en-US" w:eastAsia="zh-CN" w:bidi="ar-SA"/>
        </w:rPr>
        <w:t>牵头工改2.0工作，梳理房建和市政工程建设审批事项及前置要件，印发《关于进一步做好住建领域工程建设项目审批的通知》</w:t>
      </w:r>
      <w:r>
        <w:rPr>
          <w:rFonts w:hint="eastAsia" w:ascii="仿宋_GB2312" w:hAnsi="仿宋_GB2312" w:eastAsia="仿宋_GB2312" w:cs="仿宋_GB2312"/>
          <w:color w:val="auto"/>
          <w:kern w:val="2"/>
          <w:sz w:val="32"/>
          <w:szCs w:val="32"/>
          <w:lang w:val="en-US" w:eastAsia="zh-CN" w:bidi="ar-SA"/>
        </w:rPr>
        <w:t>，督促业主单位完善报建手续，积极做好本部门在线审批服务。截至</w:t>
      </w:r>
      <w:bookmarkStart w:id="0" w:name="_GoBack"/>
      <w:bookmarkEnd w:id="0"/>
      <w:r>
        <w:rPr>
          <w:rFonts w:hint="eastAsia" w:ascii="仿宋_GB2312" w:hAnsi="仿宋_GB2312" w:eastAsia="仿宋_GB2312" w:cs="仿宋_GB2312"/>
          <w:color w:val="auto"/>
          <w:kern w:val="2"/>
          <w:sz w:val="32"/>
          <w:szCs w:val="32"/>
          <w:lang w:val="en-US" w:eastAsia="zh-CN" w:bidi="ar-SA"/>
        </w:rPr>
        <w:t>目前，共办理施工许可证办理26件，招投标监督工作16个。促进房地产健康发展。监管好“哈德广场”预售资金，该项目应归集资金1.42亿元，现已归集1.07亿元，已拨付9143万元。目前</w:t>
      </w:r>
      <w:r>
        <w:rPr>
          <w:rFonts w:hint="eastAsia" w:ascii="仿宋_GB2312" w:hAnsi="仿宋_GB2312" w:eastAsia="仿宋_GB2312" w:cs="仿宋_GB2312"/>
          <w:b w:val="0"/>
          <w:bCs w:val="0"/>
          <w:color w:val="auto"/>
          <w:kern w:val="2"/>
          <w:sz w:val="32"/>
          <w:szCs w:val="32"/>
          <w:lang w:val="en-US" w:eastAsia="zh-CN" w:bidi="ar-SA"/>
        </w:rPr>
        <w:t>，商品房备案243宗、面积23284.1㎡，成交金额13368.668万元。协助做好房地产领域不动产登记，存量房产权交易累计15宗、面积9463.47万㎡，成交2062.66万元</w:t>
      </w:r>
    </w:p>
    <w:p>
      <w:pPr>
        <w:keepNext w:val="0"/>
        <w:keepLines w:val="0"/>
        <w:pageBreakBefore w:val="0"/>
        <w:widowControl w:val="0"/>
        <w:kinsoku/>
        <w:wordWrap/>
        <w:overflowPunct/>
        <w:topLinePunct w:val="0"/>
        <w:autoSpaceDE/>
        <w:autoSpaceDN/>
        <w:bidi w:val="0"/>
        <w:adjustRightInd/>
        <w:spacing w:afterAutospacing="0" w:line="560" w:lineRule="exact"/>
        <w:ind w:left="0" w:firstLine="642" w:firstLineChars="200"/>
        <w:textAlignment w:val="auto"/>
        <w:outlineLvl w:val="9"/>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pPr>
        <w:keepNext w:val="0"/>
        <w:keepLines w:val="0"/>
        <w:pageBreakBefore w:val="0"/>
        <w:widowControl w:val="0"/>
        <w:kinsoku/>
        <w:wordWrap/>
        <w:overflowPunct/>
        <w:topLinePunct w:val="0"/>
        <w:autoSpaceDE/>
        <w:autoSpaceDN/>
        <w:bidi w:val="0"/>
        <w:adjustRightInd/>
        <w:spacing w:afterAutospacing="0" w:line="560" w:lineRule="exact"/>
        <w:ind w:left="0" w:firstLine="640" w:firstLineChars="200"/>
        <w:textAlignment w:val="auto"/>
        <w:outlineLvl w:val="9"/>
        <w:rPr>
          <w:rFonts w:hint="eastAsia" w:ascii="仿宋_GB2312" w:hAnsi="仿宋_GB2312" w:eastAsia="仿宋_GB2312" w:cs="仿宋_GB2312"/>
          <w:kern w:val="2"/>
          <w:sz w:val="32"/>
          <w:szCs w:val="32"/>
          <w:lang w:val="en-US" w:eastAsia="zh-CN" w:bidi="ar-SA"/>
        </w:rPr>
      </w:pPr>
      <w:r>
        <w:rPr>
          <w:rFonts w:hint="eastAsia" w:ascii="仿宋" w:hAnsi="仿宋" w:eastAsia="仿宋" w:cs="仿宋"/>
          <w:color w:val="auto"/>
          <w:kern w:val="2"/>
          <w:sz w:val="32"/>
          <w:szCs w:val="32"/>
          <w:lang w:val="en-US" w:eastAsia="zh-CN" w:bidi="ar-SA"/>
        </w:rPr>
        <w:t>本单位专项预算项目主要用于黑水县城市生活污水处理厂提标改造项目、知木林市政供水建设项目、黑水县乡镇公共基础设施管理运行费用、黑水县干部周转宿舍（二期）配套设施及停车场建设项目、卡龙供水及基础设施建设项目、拆装入城口照树灯项目、城市生活污水处理厂委托运营服务费等，专项预算经费纳入商品和服务支出使用，预算项目规划合理，分配科学及时，结果符合工作要求。</w:t>
      </w:r>
    </w:p>
    <w:p>
      <w:pPr>
        <w:pageBreakBefore w:val="0"/>
        <w:widowControl w:val="0"/>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结果应用情况。</w:t>
      </w:r>
    </w:p>
    <w:p>
      <w:pPr>
        <w:keepNext w:val="0"/>
        <w:keepLines w:val="0"/>
        <w:pageBreakBefore w:val="0"/>
        <w:widowControl w:val="0"/>
        <w:kinsoku/>
        <w:wordWrap/>
        <w:overflowPunct/>
        <w:topLinePunct w:val="0"/>
        <w:autoSpaceDE/>
        <w:autoSpaceDN/>
        <w:bidi w:val="0"/>
        <w:adjustRightInd/>
        <w:spacing w:afterAutospacing="0" w:line="560" w:lineRule="exact"/>
        <w:ind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kern w:val="0"/>
          <w:sz w:val="32"/>
          <w:szCs w:val="32"/>
          <w:shd w:val="clear" w:color="auto" w:fill="FFFFFF"/>
          <w:lang w:val="en-US" w:eastAsia="zh-CN"/>
        </w:rPr>
        <w:t>1.</w:t>
      </w:r>
      <w:r>
        <w:rPr>
          <w:rFonts w:hint="eastAsia" w:ascii="仿宋_GB2312" w:hAnsi="仿宋_GB2312" w:eastAsia="仿宋_GB2312" w:cs="仿宋_GB2312"/>
          <w:b/>
          <w:bCs/>
          <w:sz w:val="32"/>
          <w:szCs w:val="32"/>
        </w:rPr>
        <w:t>绩效自评公开</w:t>
      </w:r>
    </w:p>
    <w:p>
      <w:pPr>
        <w:keepNext w:val="0"/>
        <w:keepLines w:val="0"/>
        <w:pageBreakBefore w:val="0"/>
        <w:widowControl w:val="0"/>
        <w:kinsoku/>
        <w:wordWrap/>
        <w:overflowPunct/>
        <w:topLinePunct w:val="0"/>
        <w:autoSpaceDE/>
        <w:autoSpaceDN/>
        <w:bidi w:val="0"/>
        <w:adjustRightInd/>
        <w:spacing w:afterAutospacing="0" w:line="560" w:lineRule="exact"/>
        <w:ind w:lef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每年按规定对本单位项目</w:t>
      </w:r>
      <w:r>
        <w:rPr>
          <w:rFonts w:hint="eastAsia" w:ascii="仿宋_GB2312" w:hAnsi="仿宋_GB2312" w:eastAsia="仿宋_GB2312" w:cs="仿宋_GB2312"/>
          <w:sz w:val="32"/>
          <w:szCs w:val="32"/>
          <w:lang w:val="zh-CN"/>
        </w:rPr>
        <w:t>支出</w:t>
      </w:r>
      <w:r>
        <w:rPr>
          <w:rFonts w:hint="eastAsia" w:ascii="仿宋_GB2312" w:hAnsi="仿宋_GB2312" w:eastAsia="仿宋_GB2312" w:cs="仿宋_GB2312"/>
          <w:sz w:val="32"/>
          <w:szCs w:val="32"/>
        </w:rPr>
        <w:t>及整体支出进行绩效评价；并</w:t>
      </w:r>
      <w:r>
        <w:rPr>
          <w:rFonts w:hint="eastAsia" w:ascii="仿宋_GB2312" w:hAnsi="仿宋_GB2312" w:eastAsia="仿宋_GB2312" w:cs="仿宋_GB2312"/>
          <w:sz w:val="32"/>
          <w:szCs w:val="32"/>
          <w:lang w:eastAsia="zh-CN"/>
        </w:rPr>
        <w:t>将评价结果</w:t>
      </w:r>
      <w:r>
        <w:rPr>
          <w:rFonts w:hint="eastAsia" w:ascii="仿宋_GB2312" w:hAnsi="仿宋_GB2312" w:eastAsia="仿宋_GB2312" w:cs="仿宋_GB2312"/>
          <w:sz w:val="32"/>
          <w:szCs w:val="32"/>
        </w:rPr>
        <w:t>按规定在政府公开网站公开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依法接受财政部门监督监管。</w:t>
      </w:r>
    </w:p>
    <w:p>
      <w:pPr>
        <w:keepNext w:val="0"/>
        <w:keepLines w:val="0"/>
        <w:pageBreakBefore w:val="0"/>
        <w:widowControl w:val="0"/>
        <w:numPr>
          <w:ilvl w:val="0"/>
          <w:numId w:val="0"/>
        </w:numPr>
        <w:kinsoku/>
        <w:wordWrap/>
        <w:overflowPunct/>
        <w:topLinePunct w:val="0"/>
        <w:autoSpaceDE/>
        <w:autoSpaceDN/>
        <w:bidi w:val="0"/>
        <w:adjustRightInd/>
        <w:spacing w:afterAutospacing="0" w:line="560" w:lineRule="exact"/>
        <w:ind w:firstLine="642" w:firstLineChars="200"/>
        <w:textAlignment w:val="auto"/>
        <w:outlineLvl w:val="9"/>
        <w:rPr>
          <w:rFonts w:hint="eastAsia"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eastAsia="仿宋_GB2312" w:cs="仿宋_GB2312"/>
          <w:b/>
          <w:bCs/>
          <w:sz w:val="32"/>
          <w:szCs w:val="32"/>
          <w:lang w:val="en-US" w:eastAsia="zh-CN"/>
        </w:rPr>
        <w:t>评价结果整改和应用结果</w:t>
      </w:r>
    </w:p>
    <w:p>
      <w:pPr>
        <w:pStyle w:val="9"/>
        <w:shd w:val="clear" w:color="auto" w:fill="FFFFFF"/>
        <w:spacing w:before="0" w:beforeAutospacing="0" w:after="0" w:afterAutospacing="0" w:line="360" w:lineRule="auto"/>
        <w:rPr>
          <w:rFonts w:hint="eastAsia" w:ascii="仿宋" w:hAnsi="仿宋" w:eastAsia="仿宋" w:cs="仿宋"/>
          <w:sz w:val="32"/>
          <w:szCs w:val="32"/>
        </w:rPr>
      </w:pPr>
      <w:r>
        <w:rPr>
          <w:rFonts w:hint="eastAsia" w:eastAsia="仿宋_GB2312"/>
          <w:lang w:val="en-US" w:eastAsia="zh-CN"/>
        </w:rPr>
        <w:t xml:space="preserve">     </w:t>
      </w:r>
      <w:r>
        <w:rPr>
          <w:rFonts w:hint="eastAsia" w:ascii="仿宋" w:hAnsi="仿宋" w:eastAsia="仿宋"/>
          <w:color w:val="000000"/>
          <w:sz w:val="32"/>
          <w:szCs w:val="32"/>
        </w:rPr>
        <w:t>预算支出在保障本局工作运转、履行职能职责上整体情况良好。</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年度支出绩效较好，预算编制比较精确、合理;为认真落实中央“八项”规定等厉行节约，反对浪费规定要求，压缩了部分培训费及一般性支出;动态优化了年度预算安排，保障了在经费压缩情况下的高效运转;各项目经费的支出有力保障了项目</w:t>
      </w:r>
      <w:r>
        <w:rPr>
          <w:rFonts w:hint="eastAsia" w:ascii="仿宋" w:hAnsi="仿宋" w:eastAsia="仿宋"/>
          <w:color w:val="000000"/>
          <w:sz w:val="32"/>
          <w:szCs w:val="32"/>
          <w:lang w:eastAsia="zh-CN"/>
        </w:rPr>
        <w:t>建设</w:t>
      </w:r>
      <w:r>
        <w:rPr>
          <w:rFonts w:hint="eastAsia" w:ascii="仿宋" w:hAnsi="仿宋" w:eastAsia="仿宋"/>
          <w:color w:val="000000"/>
          <w:sz w:val="32"/>
          <w:szCs w:val="32"/>
        </w:rPr>
        <w:t>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r>
        <w:rPr>
          <w:rFonts w:hint="eastAsia" w:eastAsia="仿宋"/>
          <w:color w:val="000000"/>
          <w:sz w:val="32"/>
          <w:szCs w:val="32"/>
        </w:rPr>
        <w:t> </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w:t>
      </w:r>
      <w:r>
        <w:rPr>
          <w:rFonts w:hint="eastAsia" w:ascii="黑体" w:hAnsi="黑体" w:eastAsia="黑体" w:cs="黑体"/>
          <w:b w:val="0"/>
          <w:bCs w:val="0"/>
          <w:sz w:val="32"/>
          <w:szCs w:val="32"/>
        </w:rPr>
        <w:t>评价结论及建议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 评价结论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color w:val="010101"/>
          <w:sz w:val="32"/>
          <w:szCs w:val="32"/>
          <w:lang w:val="en-US" w:eastAsia="zh-CN"/>
        </w:rPr>
        <w:t>2022</w:t>
      </w:r>
      <w:r>
        <w:rPr>
          <w:rFonts w:hint="eastAsia" w:ascii="仿宋_GB2312" w:hAnsi="仿宋_GB2312" w:eastAsia="仿宋_GB2312" w:cs="仿宋_GB2312"/>
          <w:color w:val="010101"/>
          <w:sz w:val="32"/>
          <w:szCs w:val="32"/>
        </w:rPr>
        <w:t>年，我单位在县委、县政府的领导下，坚持依法行政、执法为民，稳中求进，改革创新，积极作为，突出抓改革强监管促发展，各方面工作稳步推进，根据我单位制定的《部门整体支出绩效评价自评分值表》评</w:t>
      </w:r>
      <w:r>
        <w:rPr>
          <w:rFonts w:hint="eastAsia" w:ascii="仿宋_GB2312" w:hAnsi="仿宋_GB2312" w:eastAsia="仿宋_GB2312" w:cs="仿宋_GB2312"/>
          <w:color w:val="auto"/>
          <w:sz w:val="32"/>
          <w:szCs w:val="32"/>
        </w:rPr>
        <w:t>分，得分</w:t>
      </w:r>
      <w:r>
        <w:rPr>
          <w:rFonts w:hint="eastAsia" w:ascii="仿宋_GB2312" w:hAnsi="仿宋_GB2312" w:eastAsia="仿宋_GB2312" w:cs="仿宋_GB2312"/>
          <w:color w:val="auto"/>
          <w:sz w:val="32"/>
          <w:szCs w:val="32"/>
          <w:lang w:val="en-US" w:eastAsia="zh-CN"/>
        </w:rPr>
        <w:t>91</w:t>
      </w:r>
      <w:r>
        <w:rPr>
          <w:rFonts w:hint="eastAsia" w:ascii="仿宋_GB2312" w:hAnsi="仿宋_GB2312" w:eastAsia="仿宋_GB2312" w:cs="仿宋_GB2312"/>
          <w:color w:val="auto"/>
          <w:sz w:val="32"/>
          <w:szCs w:val="32"/>
        </w:rPr>
        <w:t>分，财政支出绩效为“</w:t>
      </w:r>
      <w:r>
        <w:rPr>
          <w:rFonts w:hint="eastAsia" w:ascii="仿宋_GB2312" w:hAnsi="仿宋_GB2312" w:eastAsia="仿宋_GB2312" w:cs="仿宋_GB2312"/>
          <w:color w:val="auto"/>
          <w:sz w:val="32"/>
          <w:szCs w:val="32"/>
          <w:lang w:eastAsia="zh-CN"/>
        </w:rPr>
        <w:t>优</w:t>
      </w:r>
      <w:r>
        <w:rPr>
          <w:rFonts w:hint="eastAsia" w:ascii="仿宋_GB2312" w:hAnsi="仿宋_GB2312" w:eastAsia="仿宋_GB2312" w:cs="仿宋_GB2312"/>
          <w:color w:val="auto"/>
          <w:sz w:val="32"/>
          <w:szCs w:val="32"/>
        </w:rPr>
        <w:t>”。</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存在问题</w:t>
      </w:r>
    </w:p>
    <w:p>
      <w:pPr>
        <w:spacing w:line="58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10101"/>
          <w:sz w:val="32"/>
          <w:szCs w:val="32"/>
        </w:rPr>
        <w:t>绩效目标</w:t>
      </w:r>
      <w:r>
        <w:rPr>
          <w:rFonts w:hint="eastAsia" w:ascii="仿宋_GB2312" w:hAnsi="仿宋_GB2312" w:eastAsia="仿宋_GB2312" w:cs="仿宋_GB2312"/>
          <w:color w:val="010101"/>
          <w:sz w:val="32"/>
          <w:szCs w:val="32"/>
          <w:lang w:eastAsia="zh-CN"/>
        </w:rPr>
        <w:t>设定还</w:t>
      </w:r>
      <w:r>
        <w:rPr>
          <w:rFonts w:hint="eastAsia" w:ascii="仿宋_GB2312" w:hAnsi="仿宋_GB2312" w:eastAsia="仿宋_GB2312" w:cs="仿宋_GB2312"/>
          <w:color w:val="010101"/>
          <w:sz w:val="32"/>
          <w:szCs w:val="32"/>
        </w:rPr>
        <w:t>不够完善，预算编制</w:t>
      </w:r>
      <w:r>
        <w:rPr>
          <w:rFonts w:hint="eastAsia" w:ascii="仿宋_GB2312" w:hAnsi="仿宋_GB2312" w:eastAsia="仿宋_GB2312" w:cs="仿宋_GB2312"/>
          <w:color w:val="010101"/>
          <w:sz w:val="32"/>
          <w:szCs w:val="32"/>
          <w:lang w:eastAsia="zh-CN"/>
        </w:rPr>
        <w:t>还</w:t>
      </w:r>
      <w:r>
        <w:rPr>
          <w:rFonts w:hint="eastAsia" w:ascii="仿宋_GB2312" w:hAnsi="仿宋_GB2312" w:eastAsia="仿宋_GB2312" w:cs="仿宋_GB2312"/>
          <w:color w:val="010101"/>
          <w:sz w:val="32"/>
          <w:szCs w:val="32"/>
        </w:rPr>
        <w:t>不够科学合理</w:t>
      </w:r>
      <w:r>
        <w:rPr>
          <w:rFonts w:hint="eastAsia" w:ascii="仿宋_GB2312" w:hAnsi="仿宋_GB2312" w:eastAsia="仿宋_GB2312" w:cs="仿宋_GB2312"/>
          <w:color w:val="010101"/>
          <w:sz w:val="32"/>
          <w:szCs w:val="32"/>
          <w:lang w:eastAsia="zh-CN"/>
        </w:rPr>
        <w:t>。</w:t>
      </w:r>
    </w:p>
    <w:p>
      <w:pPr>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2" w:firstLineChars="200"/>
        <w:textAlignment w:val="auto"/>
        <w:rPr>
          <w:rFonts w:hint="eastAsia" w:ascii="楷体_GB2312" w:hAnsi="楷体_GB2312" w:eastAsia="楷体_GB2312" w:cs="楷体_GB2312"/>
          <w:color w:val="auto"/>
          <w:sz w:val="30"/>
          <w:szCs w:val="30"/>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改进建议</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进一步完善绩效目标填报工作，强化绩效指标实用性。绩效目标是整个预算绩效管理的起点，与部门履职效率形成直接关系，在接下来工作中，严格按照经济型、效率性及效益性原则设置对应指标，提高绩效指标实用性。认真履行预算编报要求，提高预算编报的科学性。严格按照相关预算编报文件要求，结合近年来执行情况，合理编制各项预算，提高预算的科学性和准确性。</w:t>
      </w:r>
    </w:p>
    <w:p>
      <w:pPr>
        <w:pageBreakBefore w:val="0"/>
        <w:widowControl w:val="0"/>
        <w:kinsoku/>
        <w:wordWrap/>
        <w:overflowPunct/>
        <w:topLinePunct w:val="0"/>
        <w:autoSpaceDE/>
        <w:autoSpaceDN w:val="0"/>
        <w:bidi w:val="0"/>
        <w:adjustRightInd/>
        <w:spacing w:line="560" w:lineRule="exact"/>
        <w:ind w:left="0" w:firstLine="640" w:firstLineChars="200"/>
        <w:textAlignment w:val="auto"/>
        <w:rPr>
          <w:rFonts w:hint="eastAsia" w:ascii="仿宋_GB2312" w:hAnsi="仿宋_GB2312" w:eastAsia="仿宋_GB2312" w:cs="仿宋_GB2312"/>
          <w:color w:val="auto"/>
          <w:sz w:val="32"/>
          <w:szCs w:val="32"/>
          <w:lang w:eastAsia="zh-CN"/>
        </w:rPr>
      </w:pPr>
    </w:p>
    <w:p>
      <w:pPr>
        <w:pStyle w:val="6"/>
        <w:pageBreakBefore w:val="0"/>
        <w:widowControl w:val="0"/>
        <w:numPr>
          <w:ilvl w:val="0"/>
          <w:numId w:val="0"/>
        </w:numPr>
        <w:kinsoku/>
        <w:wordWrap/>
        <w:overflowPunct/>
        <w:topLinePunct w:val="0"/>
        <w:autoSpaceDE/>
        <w:bidi w:val="0"/>
        <w:adjustRightInd/>
        <w:spacing w:beforeAutospacing="0" w:after="0" w:afterAutospacing="0" w:line="560" w:lineRule="exact"/>
        <w:ind w:lef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黑水县住房和城乡建设局</w:t>
      </w:r>
    </w:p>
    <w:p>
      <w:pPr>
        <w:pStyle w:val="6"/>
        <w:pageBreakBefore w:val="0"/>
        <w:widowControl w:val="0"/>
        <w:numPr>
          <w:ilvl w:val="0"/>
          <w:numId w:val="0"/>
        </w:numPr>
        <w:kinsoku/>
        <w:wordWrap/>
        <w:overflowPunct/>
        <w:topLinePunct w:val="0"/>
        <w:autoSpaceDE/>
        <w:bidi w:val="0"/>
        <w:adjustRightInd/>
        <w:spacing w:beforeAutospacing="0" w:after="0" w:afterAutospacing="0" w:line="560" w:lineRule="exact"/>
        <w:ind w:lef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2023年8月23日</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D616A1"/>
    <w:multiLevelType w:val="singleLevel"/>
    <w:tmpl w:val="42D616A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YmFkMmRiOTVkZDYxZmUzNDY5YTNjNWEzNDk5ZDQifQ=="/>
  </w:docVars>
  <w:rsids>
    <w:rsidRoot w:val="004C22EC"/>
    <w:rsid w:val="004C22EC"/>
    <w:rsid w:val="007B38C6"/>
    <w:rsid w:val="1B4A3EC4"/>
    <w:rsid w:val="29402826"/>
    <w:rsid w:val="32CA5C84"/>
    <w:rsid w:val="4A0B0DD8"/>
    <w:rsid w:val="57B166CC"/>
    <w:rsid w:val="5BF82A43"/>
    <w:rsid w:val="DF7EE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left="0" w:firstLine="40"/>
    </w:pPr>
    <w:rPr>
      <w:rFonts w:ascii="仿宋_GB2312" w:hAnsi="仿宋_GB2312" w:eastAsia="仿宋" w:cs="仿宋_GB2312"/>
      <w:sz w:val="32"/>
      <w:szCs w:val="32"/>
    </w:rPr>
  </w:style>
  <w:style w:type="paragraph" w:styleId="3">
    <w:name w:val="Body Text Indent"/>
    <w:basedOn w:val="1"/>
    <w:next w:val="2"/>
    <w:qFormat/>
    <w:uiPriority w:val="0"/>
    <w:pPr>
      <w:spacing w:after="120"/>
      <w:ind w:left="420"/>
    </w:pPr>
  </w:style>
  <w:style w:type="paragraph" w:styleId="6">
    <w:name w:val="Body Text"/>
    <w:basedOn w:val="1"/>
    <w:qFormat/>
    <w:uiPriority w:val="0"/>
    <w:pPr>
      <w:spacing w:after="120"/>
    </w:pPr>
  </w:style>
  <w:style w:type="paragraph" w:styleId="7">
    <w:name w:val="footer"/>
    <w:basedOn w:val="1"/>
    <w:link w:val="14"/>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3"/>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w:basedOn w:val="6"/>
    <w:qFormat/>
    <w:uiPriority w:val="0"/>
    <w:pPr>
      <w:ind w:firstLine="664"/>
    </w:pPr>
    <w:rPr>
      <w:rFonts w:ascii="Calibri" w:hAnsi="Calibri" w:eastAsia="宋体" w:cs="Times New Roman"/>
    </w:rPr>
  </w:style>
  <w:style w:type="character" w:customStyle="1" w:styleId="13">
    <w:name w:val="页眉 Char"/>
    <w:basedOn w:val="12"/>
    <w:link w:val="8"/>
    <w:semiHidden/>
    <w:qFormat/>
    <w:uiPriority w:val="99"/>
    <w:rPr>
      <w:sz w:val="18"/>
      <w:szCs w:val="18"/>
    </w:rPr>
  </w:style>
  <w:style w:type="character" w:customStyle="1" w:styleId="14">
    <w:name w:val="页脚 Char"/>
    <w:basedOn w:val="12"/>
    <w:link w:val="7"/>
    <w:semiHidden/>
    <w:qFormat/>
    <w:uiPriority w:val="99"/>
    <w:rPr>
      <w:sz w:val="18"/>
      <w:szCs w:val="18"/>
    </w:rPr>
  </w:style>
  <w:style w:type="character" w:customStyle="1" w:styleId="15">
    <w:name w:val="标题 1 Char"/>
    <w:basedOn w:val="12"/>
    <w:link w:val="4"/>
    <w:qFormat/>
    <w:uiPriority w:val="9"/>
    <w:rPr>
      <w:rFonts w:ascii="Times New Roman" w:hAnsi="Times New Roman" w:eastAsia="宋体" w:cs="Times New Roman"/>
      <w:b/>
      <w:bCs/>
      <w:kern w:val="44"/>
      <w:sz w:val="44"/>
      <w:szCs w:val="44"/>
    </w:rPr>
  </w:style>
  <w:style w:type="character" w:customStyle="1" w:styleId="16">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318</Words>
  <Characters>323</Characters>
  <Lines>2</Lines>
  <Paragraphs>1</Paragraphs>
  <TotalTime>2</TotalTime>
  <ScaleCrop>false</ScaleCrop>
  <LinksUpToDate>false</LinksUpToDate>
  <CharactersWithSpaces>323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2023-08-30T11:51:09Z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18B2DA436C144CC6B9E9881EAD4D1C0E</vt:lpwstr>
  </property>
</Properties>
</file>