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AF7B5">
      <w:pPr>
        <w:spacing w:line="600" w:lineRule="exact"/>
        <w:jc w:val="center"/>
        <w:outlineLvl w:val="0"/>
        <w:rPr>
          <w:rFonts w:hint="eastAsia" w:ascii="宋体" w:hAnsi="宋体" w:eastAsia="宋体" w:cs="宋体"/>
          <w:b/>
          <w:bCs w:val="0"/>
          <w:sz w:val="44"/>
          <w:szCs w:val="44"/>
          <w:lang w:eastAsia="zh-CN"/>
        </w:rPr>
      </w:pPr>
      <w:bookmarkStart w:id="0" w:name="_Toc15396616"/>
      <w:r>
        <w:rPr>
          <w:rFonts w:hint="eastAsia" w:ascii="宋体" w:hAnsi="宋体" w:eastAsia="宋体" w:cs="宋体"/>
          <w:b/>
          <w:bCs w:val="0"/>
          <w:sz w:val="44"/>
          <w:szCs w:val="44"/>
          <w:lang w:eastAsia="zh-CN"/>
        </w:rPr>
        <w:t>黑水县住房和城乡建设局（本级）</w:t>
      </w:r>
    </w:p>
    <w:p w14:paraId="6D9F163A">
      <w:pPr>
        <w:spacing w:line="600" w:lineRule="exact"/>
        <w:jc w:val="center"/>
        <w:outlineLvl w:val="0"/>
        <w:rPr>
          <w:rFonts w:hint="eastAsia" w:ascii="宋体" w:hAnsi="宋体" w:eastAsia="宋体" w:cs="宋体"/>
          <w:b/>
          <w:bCs w:val="0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</w:rPr>
        <w:t>20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24</w:t>
      </w:r>
      <w:r>
        <w:rPr>
          <w:rFonts w:hint="eastAsia" w:ascii="宋体" w:hAnsi="宋体" w:cs="宋体"/>
          <w:b/>
          <w:bCs w:val="0"/>
          <w:sz w:val="44"/>
          <w:szCs w:val="44"/>
          <w:lang w:val="en-US" w:eastAsia="zh-CN"/>
        </w:rPr>
        <w:t>年部</w:t>
      </w:r>
      <w:r>
        <w:rPr>
          <w:rFonts w:hint="eastAsia" w:ascii="宋体" w:hAnsi="宋体" w:eastAsia="宋体" w:cs="宋体"/>
          <w:b/>
          <w:bCs w:val="0"/>
          <w:sz w:val="44"/>
          <w:szCs w:val="44"/>
        </w:rPr>
        <w:t>门整体支出绩效评价报告</w:t>
      </w:r>
      <w:bookmarkEnd w:id="0"/>
    </w:p>
    <w:p w14:paraId="75B31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 w14:paraId="470D5A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一、部门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单位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概况</w:t>
      </w:r>
    </w:p>
    <w:p w14:paraId="257B92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pacing w:beforeAutospacing="0" w:afterAutospacing="0" w:line="560" w:lineRule="exact"/>
        <w:ind w:left="0"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机构组成。</w:t>
      </w:r>
    </w:p>
    <w:p w14:paraId="39B4B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本部门独立编制机构1个，内设办公室、住房保障和房地产管理股、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建筑管理股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城市建设股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村镇建设股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市政公用设施管理股、</w:t>
      </w:r>
      <w:r>
        <w:rPr>
          <w:rFonts w:hint="eastAsia" w:ascii="仿宋_GB2312" w:hAnsi="仿宋_GB2312" w:eastAsia="仿宋_GB2312" w:cs="仿宋_GB2312"/>
          <w:sz w:val="32"/>
          <w:szCs w:val="32"/>
        </w:rPr>
        <w:t>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设</w:t>
      </w:r>
      <w:r>
        <w:rPr>
          <w:rFonts w:hint="eastAsia" w:ascii="仿宋_GB2312" w:hAnsi="仿宋_GB2312" w:eastAsia="仿宋_GB2312" w:cs="仿宋_GB2312"/>
          <w:sz w:val="32"/>
          <w:szCs w:val="32"/>
        </w:rPr>
        <w:t>工程质量安全监督站、城乡环境综合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治理服务中心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个股室。</w:t>
      </w:r>
    </w:p>
    <w:p w14:paraId="7B38B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本单位下属二级预算单位0个，其中行政单位0个，参照公务员管理事业单位0个，其他事业单位0个。</w:t>
      </w:r>
    </w:p>
    <w:p w14:paraId="5BCF75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pacing w:beforeAutospacing="0" w:afterAutospacing="0" w:line="560" w:lineRule="exact"/>
        <w:ind w:left="0"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机构职能。</w:t>
      </w:r>
    </w:p>
    <w:p w14:paraId="516BD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黑水县住房和城乡建设局</w:t>
      </w:r>
      <w:r>
        <w:rPr>
          <w:rFonts w:hint="eastAsia" w:ascii="仿宋" w:hAnsi="仿宋" w:eastAsia="仿宋" w:cs="仿宋"/>
          <w:sz w:val="32"/>
          <w:szCs w:val="32"/>
        </w:rPr>
        <w:t>主要是负责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本系统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本部门依法行政工作、推进住房制度改革、保障全县城镇低收入家庭住房、全县工程建设标准体系责任、规范全县房地产市场秩序、监督管理全县建筑市场、指导全县城镇建设管理、</w:t>
      </w:r>
      <w:r>
        <w:rPr>
          <w:rFonts w:hint="eastAsia" w:ascii="仿宋" w:hAnsi="仿宋" w:eastAsia="仿宋" w:cs="仿宋"/>
          <w:sz w:val="32"/>
          <w:szCs w:val="32"/>
        </w:rPr>
        <w:t>建筑工程质量安全监督、城乡环境综合治理等工作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71093C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pacing w:beforeAutospacing="0" w:afterAutospacing="0" w:line="560" w:lineRule="exact"/>
        <w:ind w:left="0"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人员概况。</w:t>
      </w:r>
    </w:p>
    <w:p w14:paraId="071DA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pacing w:beforeAutospacing="0" w:afterAutospacing="0"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名，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其中：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人，行政工勤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，参公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12人</w:t>
      </w:r>
      <w:r>
        <w:rPr>
          <w:rFonts w:hint="eastAsia" w:ascii="仿宋_GB2312" w:hAnsi="仿宋_GB2312" w:eastAsia="仿宋_GB2312" w:cs="仿宋_GB2312"/>
          <w:sz w:val="32"/>
          <w:szCs w:val="32"/>
        </w:rPr>
        <w:t>。本单位本年年末人数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人，其中：行政编制人员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行政工勤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5人，参公9人。</w:t>
      </w:r>
    </w:p>
    <w:p w14:paraId="0E43EB09"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二、部门财政资金收支情况</w:t>
      </w:r>
    </w:p>
    <w:p w14:paraId="2D1BA49A">
      <w:pPr>
        <w:spacing w:line="58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（一）部门财政资金收入情况。</w:t>
      </w:r>
    </w:p>
    <w:p w14:paraId="65E6C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pacing w:beforeAutospacing="0" w:afterAutospacing="0" w:line="560" w:lineRule="exact"/>
        <w:ind w:left="0"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年本年收入合计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330.39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万元，其中：一般公共预算财政拨款收入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309.06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%。</w:t>
      </w:r>
    </w:p>
    <w:p w14:paraId="0AF1E3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0" w:leftChars="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部门财政资金支出情况。</w:t>
      </w:r>
    </w:p>
    <w:p w14:paraId="7B956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pacing w:beforeAutospacing="0" w:afterAutospacing="0" w:line="560" w:lineRule="exact"/>
        <w:ind w:lef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基本支出</w:t>
      </w:r>
    </w:p>
    <w:p w14:paraId="675D875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="0" w:afterAutospacing="0" w:line="560" w:lineRule="exact"/>
        <w:ind w:left="0" w:leftChars="0" w:firstLine="646" w:firstLineChars="0"/>
        <w:textAlignment w:val="auto"/>
        <w:rPr>
          <w:rFonts w:hint="eastAsia" w:ascii="仿宋_GB2312" w:hAnsi="仿宋_GB2312" w:eastAsia="仿宋_GB2312" w:cs="仿宋_GB2312"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基本支出用于为保障机构正常运转、完成日常工作任务而发生的支出，包括人员经费和公用经费。</w:t>
      </w:r>
    </w:p>
    <w:p w14:paraId="75B27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560" w:lineRule="exact"/>
        <w:ind w:left="0"/>
        <w:textAlignment w:val="auto"/>
        <w:rPr>
          <w:rFonts w:hint="default" w:ascii="仿宋_GB2312" w:hAnsi="仿宋_GB2312" w:eastAsia="仿宋_GB2312" w:cs="仿宋_GB2312"/>
          <w:color w:val="01010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　　202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年决算基本支出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330.39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万元，其中：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人员经费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297.2万元，公用经费33.19万元。</w:t>
      </w:r>
    </w:p>
    <w:p w14:paraId="229C7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 w:val="0"/>
        <w:spacing w:beforeAutospacing="0" w:afterAutospacing="0" w:line="560" w:lineRule="exact"/>
        <w:ind w:lef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项目支出</w:t>
      </w:r>
    </w:p>
    <w:p w14:paraId="38C4A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outlineLvl w:val="0"/>
        <w:rPr>
          <w:rFonts w:hint="default" w:ascii="仿宋_GB2312" w:hAnsi="仿宋_GB2312" w:eastAsia="仿宋_GB2312" w:cs="仿宋_GB2312"/>
          <w:color w:val="01010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2024年度本部门无项目支出。</w:t>
      </w:r>
    </w:p>
    <w:p w14:paraId="58173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560" w:lineRule="exact"/>
        <w:ind w:left="0" w:firstLine="643" w:firstLineChars="200"/>
        <w:textAlignment w:val="auto"/>
        <w:outlineLvl w:val="0"/>
        <w:rPr>
          <w:rFonts w:ascii="仿宋" w:hAnsi="仿宋" w:eastAsia="仿宋"/>
          <w:b/>
          <w:bCs/>
          <w:color w:val="010101"/>
          <w:sz w:val="32"/>
          <w:szCs w:val="32"/>
        </w:rPr>
      </w:pPr>
      <w:r>
        <w:rPr>
          <w:rFonts w:hint="eastAsia" w:ascii="仿宋" w:hAnsi="仿宋" w:eastAsia="仿宋"/>
          <w:b/>
          <w:bCs/>
          <w:color w:val="010101"/>
          <w:sz w:val="32"/>
          <w:szCs w:val="32"/>
          <w:lang w:val="en-US" w:eastAsia="zh-CN"/>
        </w:rPr>
        <w:t>3.</w:t>
      </w:r>
      <w:r>
        <w:rPr>
          <w:rFonts w:ascii="仿宋" w:hAnsi="仿宋" w:eastAsia="仿宋"/>
          <w:b/>
          <w:bCs/>
          <w:color w:val="010101"/>
          <w:sz w:val="32"/>
          <w:szCs w:val="32"/>
        </w:rPr>
        <w:t>“三公”经费情况</w:t>
      </w:r>
    </w:p>
    <w:p w14:paraId="60972D3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700" w:firstLineChars="219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202</w:t>
      </w:r>
      <w:r>
        <w:rPr>
          <w:rFonts w:hint="eastAsia" w:eastAsia="仿宋_GB2312" w:cs="仿宋_GB2312"/>
          <w:color w:val="01010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决算支出“三公”经费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0.18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万元，其中公务接待费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0.18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 xml:space="preserve">          </w:t>
      </w:r>
    </w:p>
    <w:p w14:paraId="06934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三、部门整体预算绩效管理情况</w:t>
      </w:r>
    </w:p>
    <w:p w14:paraId="2D957DD2">
      <w:pPr>
        <w:spacing w:line="580" w:lineRule="exact"/>
        <w:ind w:firstLine="643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（一）部门预算管理​</w:t>
      </w:r>
    </w:p>
    <w:p w14:paraId="4D2F1B02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部门预算管理是整体预算绩效管理的基础，直接关系到全局各项工作的有序推进。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2024年</w:t>
      </w:r>
      <w:r>
        <w:rPr>
          <w:rFonts w:hint="eastAsia" w:ascii="仿宋_GB2312" w:hAnsi="黑体" w:eastAsia="仿宋_GB2312" w:cs="黑体"/>
          <w:sz w:val="32"/>
          <w:szCs w:val="32"/>
        </w:rPr>
        <w:t>我局从多个维度发力，不断提升部门预算管理水平，但也存在部分待改进之处。​</w:t>
      </w:r>
    </w:p>
    <w:p w14:paraId="356CC8B6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1.绩效目标制定​</w:t>
      </w:r>
    </w:p>
    <w:p w14:paraId="55325FC0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我局严格按照 “贴合职能、科学合理、可衡量、可实现” 的原则制定绩效目标。结合住房和城乡建设领域重点工作，如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市政</w:t>
      </w:r>
      <w:r>
        <w:rPr>
          <w:rFonts w:hint="eastAsia" w:ascii="仿宋_GB2312" w:hAnsi="黑体" w:eastAsia="仿宋_GB2312" w:cs="黑体"/>
          <w:sz w:val="32"/>
          <w:szCs w:val="32"/>
        </w:rPr>
        <w:t>基础设施建设、保障性住房供给、老旧小区改造等，明确每个预算项目的具体目标。</w:t>
      </w:r>
    </w:p>
    <w:p w14:paraId="7C72A11B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2.目标完成​</w:t>
      </w:r>
    </w:p>
    <w:p w14:paraId="2D999277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从整体来看，大部分绩效目标均按计划完成。</w:t>
      </w:r>
    </w:p>
    <w:p w14:paraId="435D5AA6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3.预算编制准确​</w:t>
      </w:r>
    </w:p>
    <w:p w14:paraId="1526B143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为提高预算编制准确性，我局建立了“上下联动、多方论证”的编制机制。在编制前，组织业务科室、财务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室</w:t>
      </w:r>
      <w:r>
        <w:rPr>
          <w:rFonts w:hint="eastAsia" w:ascii="仿宋_GB2312" w:hAnsi="黑体" w:eastAsia="仿宋_GB2312" w:cs="黑体"/>
          <w:sz w:val="32"/>
          <w:szCs w:val="32"/>
        </w:rPr>
        <w:t>与项目实施单位开展充分调研，结合往年项目执行情况、物价变动趋势以及本年度工作任务，细化预算编制内容。</w:t>
      </w:r>
    </w:p>
    <w:p w14:paraId="293B21CA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4.支出控制​</w:t>
      </w:r>
    </w:p>
    <w:p w14:paraId="69937CC2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我局严格执行预算支出控制制度，通过“事前审批、事中监控、事后审核” 三重管控措施，确保资金使用合规、高效。在支出审批环节，明确各层级审批权限，杜绝超预算、无预算支出；在事中监控方面，利用预算管理系统实时跟踪资金支出进度，对接近预算上限的项目及时预警；在事后审核中，对每一笔支出的票据、合同等资料进行严格核查，确保支出符合规定。</w:t>
      </w:r>
    </w:p>
    <w:p w14:paraId="206A71F0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5</w:t>
      </w:r>
      <w:r>
        <w:rPr>
          <w:rFonts w:hint="eastAsia" w:ascii="仿宋_GB2312" w:hAnsi="黑体" w:eastAsia="仿宋_GB2312" w:cs="黑体"/>
          <w:sz w:val="32"/>
          <w:szCs w:val="32"/>
        </w:rPr>
        <w:t>.执行进度​</w:t>
      </w:r>
    </w:p>
    <w:p w14:paraId="3E87EC93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为加快预算执行进度，每月对各项目预算执行进度进行统计分析，对进度滞后的项目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深入</w:t>
      </w:r>
      <w:r>
        <w:rPr>
          <w:rFonts w:hint="eastAsia" w:ascii="仿宋_GB2312" w:hAnsi="黑体" w:eastAsia="仿宋_GB2312" w:cs="黑体"/>
          <w:sz w:val="32"/>
          <w:szCs w:val="32"/>
        </w:rPr>
        <w:t xml:space="preserve">现场了解情况，协调解决执行过程中存在的问题。截至期末，部门整体预算执行进度达到 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达到了项目建设时序进度，</w:t>
      </w:r>
      <w:r>
        <w:rPr>
          <w:rFonts w:hint="eastAsia" w:ascii="仿宋_GB2312" w:hAnsi="黑体" w:eastAsia="仿宋_GB2312" w:cs="黑体"/>
          <w:sz w:val="32"/>
          <w:szCs w:val="32"/>
        </w:rPr>
        <w:t>有效保障了民生工作的及时落地。​</w:t>
      </w:r>
    </w:p>
    <w:p w14:paraId="427C002E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6</w:t>
      </w:r>
      <w:r>
        <w:rPr>
          <w:rFonts w:hint="eastAsia" w:ascii="仿宋_GB2312" w:hAnsi="黑体" w:eastAsia="仿宋_GB2312" w:cs="黑体"/>
          <w:sz w:val="32"/>
          <w:szCs w:val="32"/>
        </w:rPr>
        <w:t>.预算完成情况​</w:t>
      </w:r>
    </w:p>
    <w:p w14:paraId="0585DBC6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本年度部门预算总收入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330.39</w:t>
      </w:r>
      <w:r>
        <w:rPr>
          <w:rFonts w:hint="eastAsia" w:ascii="仿宋_GB2312" w:hAnsi="黑体" w:eastAsia="仿宋_GB2312" w:cs="黑体"/>
          <w:sz w:val="32"/>
          <w:szCs w:val="32"/>
        </w:rPr>
        <w:t xml:space="preserve">万元，总支出 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330.39</w:t>
      </w:r>
      <w:r>
        <w:rPr>
          <w:rFonts w:hint="eastAsia" w:ascii="仿宋_GB2312" w:hAnsi="黑体" w:eastAsia="仿宋_GB2312" w:cs="黑体"/>
          <w:sz w:val="32"/>
          <w:szCs w:val="32"/>
        </w:rPr>
        <w:t xml:space="preserve"> 万元，预算完成率为 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100</w:t>
      </w:r>
      <w:r>
        <w:rPr>
          <w:rFonts w:hint="eastAsia" w:ascii="仿宋_GB2312" w:hAnsi="黑体" w:eastAsia="仿宋_GB2312" w:cs="黑体"/>
          <w:sz w:val="32"/>
          <w:szCs w:val="32"/>
        </w:rPr>
        <w:t>%。其中，基本支出完成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330.39</w:t>
      </w:r>
      <w:r>
        <w:rPr>
          <w:rFonts w:hint="eastAsia" w:ascii="仿宋_GB2312" w:hAnsi="黑体" w:eastAsia="仿宋_GB2312" w:cs="黑体"/>
          <w:sz w:val="32"/>
          <w:szCs w:val="32"/>
        </w:rPr>
        <w:t xml:space="preserve">万元，完成预算的 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100</w:t>
      </w:r>
      <w:r>
        <w:rPr>
          <w:rFonts w:hint="eastAsia" w:ascii="仿宋_GB2312" w:hAnsi="黑体" w:eastAsia="仿宋_GB2312" w:cs="黑体"/>
          <w:sz w:val="32"/>
          <w:szCs w:val="32"/>
        </w:rPr>
        <w:t>%，主要用于人员工资、办公经费等日常开支，保障了部门正常运转</w:t>
      </w:r>
    </w:p>
    <w:p w14:paraId="7AB100F3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7.</w:t>
      </w:r>
      <w:r>
        <w:rPr>
          <w:rFonts w:hint="eastAsia" w:ascii="仿宋_GB2312" w:hAnsi="黑体" w:eastAsia="仿宋_GB2312" w:cs="黑体"/>
          <w:sz w:val="32"/>
          <w:szCs w:val="32"/>
        </w:rPr>
        <w:t>违规记录​</w:t>
      </w:r>
    </w:p>
    <w:p w14:paraId="326ED01D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在预算管理过程中，我局始终坚持依法依规办事，严格遵守财经纪律。通过加强制度建设、开展廉政教育、强化监督检查等措施，有效防范了违规行为的发生。本年度未出现任何预算管理方面的违规记录。​</w:t>
      </w:r>
    </w:p>
    <w:p w14:paraId="4E716B24">
      <w:pPr>
        <w:spacing w:line="58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（二）专项预算管理​</w:t>
      </w:r>
    </w:p>
    <w:p w14:paraId="571722C4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本年无专项预算项目。</w:t>
      </w:r>
      <w:r>
        <w:rPr>
          <w:rFonts w:hint="eastAsia" w:ascii="仿宋_GB2312" w:hAnsi="黑体" w:eastAsia="仿宋_GB2312" w:cs="黑体"/>
          <w:sz w:val="32"/>
          <w:szCs w:val="32"/>
        </w:rPr>
        <w:t>​</w:t>
      </w:r>
    </w:p>
    <w:p w14:paraId="2C0FEAE3">
      <w:pPr>
        <w:spacing w:line="580" w:lineRule="exact"/>
        <w:ind w:firstLine="643" w:firstLineChars="200"/>
        <w:rPr>
          <w:rFonts w:hint="eastAsia" w:ascii="仿宋_GB2312" w:hAnsi="黑体" w:eastAsia="仿宋_GB2312" w:cs="黑体"/>
          <w:b/>
          <w:bCs/>
          <w:sz w:val="32"/>
          <w:szCs w:val="32"/>
        </w:rPr>
      </w:pPr>
      <w:r>
        <w:rPr>
          <w:rFonts w:hint="eastAsia" w:ascii="仿宋_GB2312" w:hAnsi="黑体" w:eastAsia="仿宋_GB2312" w:cs="黑体"/>
          <w:b/>
          <w:bCs/>
          <w:sz w:val="32"/>
          <w:szCs w:val="32"/>
        </w:rPr>
        <w:t>（三）结果应用情况​</w:t>
      </w:r>
    </w:p>
    <w:p w14:paraId="221CCCFD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预算绩效管理结果应用是预算绩效管理的 “最后一公里”，直接关系到预算绩效管理的成效。我局高度重视结果应用工作，将评价结果与预算编制、项目管理、整改提升等相结合，充分发挥评价结果的导向作用。​</w:t>
      </w:r>
    </w:p>
    <w:p w14:paraId="2CF66806">
      <w:pPr>
        <w:spacing w:line="580" w:lineRule="exact"/>
        <w:ind w:firstLine="643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b/>
          <w:bCs/>
          <w:sz w:val="32"/>
          <w:szCs w:val="32"/>
        </w:rPr>
        <w:t>1.部门自评质量</w:t>
      </w:r>
      <w:r>
        <w:rPr>
          <w:rFonts w:hint="eastAsia" w:ascii="仿宋_GB2312" w:hAnsi="黑体" w:eastAsia="仿宋_GB2312" w:cs="黑体"/>
          <w:sz w:val="32"/>
          <w:szCs w:val="32"/>
        </w:rPr>
        <w:t>​</w:t>
      </w:r>
    </w:p>
    <w:p w14:paraId="27BB54F3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 xml:space="preserve">我局建立了规范的部门自评工作机制，明确自评主体、自评内容、自评方法和自评时限。在自评过程中，要求各科室、各项目实施单位严格按照绩效评价指标体系，对预算项目的实施过程、绩效目标完成情况、资金使用效率等进行全面、客观、真实的评价。同时，引入第三方机构对部门自评工作进行指导和审核，提高自评质量。本年度部门自评报告合格率达到 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100</w:t>
      </w:r>
      <w:r>
        <w:rPr>
          <w:rFonts w:hint="eastAsia" w:ascii="仿宋_GB2312" w:hAnsi="黑体" w:eastAsia="仿宋_GB2312" w:cs="黑体"/>
          <w:sz w:val="32"/>
          <w:szCs w:val="32"/>
        </w:rPr>
        <w:t>%</w:t>
      </w:r>
      <w:r>
        <w:rPr>
          <w:rFonts w:hint="eastAsia" w:ascii="仿宋_GB2312" w:hAnsi="黑体" w:eastAsia="仿宋_GB2312" w:cs="黑体"/>
          <w:sz w:val="32"/>
          <w:szCs w:val="32"/>
          <w:lang w:eastAsia="zh-CN"/>
        </w:rPr>
        <w:t>，</w:t>
      </w:r>
      <w:r>
        <w:rPr>
          <w:rFonts w:hint="eastAsia" w:ascii="仿宋_GB2312" w:hAnsi="黑体" w:eastAsia="仿宋_GB2312" w:cs="黑体"/>
          <w:sz w:val="32"/>
          <w:szCs w:val="32"/>
        </w:rPr>
        <w:t>自评结果真实反映了预算项目的实际情况，为后续结果应用奠定了坚实基础。​</w:t>
      </w:r>
    </w:p>
    <w:p w14:paraId="5BC916BD">
      <w:pPr>
        <w:spacing w:line="580" w:lineRule="exact"/>
        <w:ind w:firstLine="643" w:firstLineChars="200"/>
        <w:rPr>
          <w:rFonts w:hint="eastAsia" w:ascii="仿宋_GB2312" w:hAnsi="黑体" w:eastAsia="仿宋_GB2312" w:cs="黑体"/>
          <w:b/>
          <w:bCs/>
          <w:sz w:val="32"/>
          <w:szCs w:val="32"/>
        </w:rPr>
      </w:pPr>
      <w:r>
        <w:rPr>
          <w:rFonts w:hint="eastAsia" w:ascii="仿宋_GB2312" w:hAnsi="黑体" w:eastAsia="仿宋_GB2312" w:cs="黑体"/>
          <w:b/>
          <w:bCs/>
          <w:sz w:val="32"/>
          <w:szCs w:val="32"/>
        </w:rPr>
        <w:t>2.绩效目标公开和自评公开​</w:t>
      </w:r>
    </w:p>
    <w:p w14:paraId="7B65AEA1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 xml:space="preserve">为增强预算绩效管理的透明度，我局按照相关规定，及时公开绩效目标和自评结果。在预算编制阶段，将部门整体绩效目标和各项目绩效目标在政府门户网站进行公开，接受社会监督；在预算执行结束后，将部门自评报告和重点项目绩效评价报告在规定时间内公开，公开内容包括项目基本情况、绩效目标完成情况、存在的问题及整改措施等。本年度共公开绩效目标 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5</w:t>
      </w:r>
      <w:r>
        <w:rPr>
          <w:rFonts w:hint="eastAsia" w:ascii="仿宋_GB2312" w:hAnsi="黑体" w:eastAsia="仿宋_GB2312" w:cs="黑体"/>
          <w:sz w:val="32"/>
          <w:szCs w:val="32"/>
        </w:rPr>
        <w:t xml:space="preserve"> 项，自评报告 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1</w:t>
      </w:r>
      <w:r>
        <w:rPr>
          <w:rFonts w:hint="eastAsia" w:ascii="仿宋_GB2312" w:hAnsi="黑体" w:eastAsia="仿宋_GB2312" w:cs="黑体"/>
          <w:sz w:val="32"/>
          <w:szCs w:val="32"/>
        </w:rPr>
        <w:t xml:space="preserve"> 份，公开率达到 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100</w:t>
      </w:r>
      <w:r>
        <w:rPr>
          <w:rFonts w:hint="eastAsia" w:ascii="仿宋_GB2312" w:hAnsi="黑体" w:eastAsia="仿宋_GB2312" w:cs="黑体"/>
          <w:sz w:val="32"/>
          <w:szCs w:val="32"/>
        </w:rPr>
        <w:t>%，通过公开，广泛接受社会各界的监督，提高了部门预算绩效管理的公信力。​</w:t>
      </w:r>
    </w:p>
    <w:p w14:paraId="22F4EF8E">
      <w:pPr>
        <w:spacing w:line="580" w:lineRule="exact"/>
        <w:ind w:firstLine="643" w:firstLineChars="200"/>
        <w:rPr>
          <w:rFonts w:hint="eastAsia" w:ascii="仿宋_GB2312" w:hAnsi="黑体" w:eastAsia="仿宋_GB2312" w:cs="黑体"/>
          <w:b/>
          <w:bCs/>
          <w:sz w:val="32"/>
          <w:szCs w:val="32"/>
        </w:rPr>
      </w:pPr>
      <w:r>
        <w:rPr>
          <w:rFonts w:hint="eastAsia" w:ascii="仿宋_GB2312" w:hAnsi="黑体" w:eastAsia="仿宋_GB2312" w:cs="黑体"/>
          <w:b/>
          <w:bCs/>
          <w:sz w:val="32"/>
          <w:szCs w:val="32"/>
        </w:rPr>
        <w:t>3.评价结果整改​</w:t>
      </w:r>
    </w:p>
    <w:p w14:paraId="69260ACF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对于绩效评价中发现的问题，我局建立了 “问题清单 + 整改台账 + 销号管理” 的整改机制。针对评价报告中指出的问题，及时组织相关科室和项目实施单位制定整改方案，明确整改责任人、整改措施和整改时限；建立整改台账，对整改情况进行跟踪记录，确保问题整改到位。​</w:t>
      </w:r>
    </w:p>
    <w:p w14:paraId="2548FB61">
      <w:pPr>
        <w:spacing w:line="580" w:lineRule="exact"/>
        <w:ind w:firstLine="643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b/>
          <w:bCs/>
          <w:sz w:val="32"/>
          <w:szCs w:val="32"/>
        </w:rPr>
        <w:t>4.应用结果反馈</w:t>
      </w:r>
      <w:r>
        <w:rPr>
          <w:rFonts w:hint="eastAsia" w:ascii="仿宋_GB2312" w:hAnsi="黑体" w:eastAsia="仿宋_GB2312" w:cs="黑体"/>
          <w:sz w:val="32"/>
          <w:szCs w:val="32"/>
        </w:rPr>
        <w:t>​</w:t>
      </w:r>
    </w:p>
    <w:p w14:paraId="09325058"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我局建立了完善的应用结果反馈机制，将绩效评价结果及时反馈给相关科室、项目实施单位以及上级主管部门。反馈内容包括评价结果、存在的问题、整改要求以及改进建议等。同时，将绩效评价结果作为预算编制、项目立项的重要依据。在预算编制方面，对绩效评价优秀的项目，在后续预算安排中优先给予支持；对绩效评价较差的项目，减少预算额度。通过结果反馈和应用，有效提升了部门预算管理水平和工作效率。</w:t>
      </w:r>
    </w:p>
    <w:p w14:paraId="17B4CCC3">
      <w:pPr>
        <w:spacing w:line="58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四、评价结论及建议</w:t>
      </w:r>
    </w:p>
    <w:p w14:paraId="2D6C411D">
      <w:pPr>
        <w:spacing w:line="58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（一）评价结论</w:t>
      </w:r>
    </w:p>
    <w:p w14:paraId="1401FF48"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通过对住房和城乡建设局部门整体预算绩效的全面评估，本部门在预算执行规范性、项目实施成效及社会效益提升方面取得了显著成果。202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44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年度预算资金执行率达到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%，同时，预算管理制度不断完善，绩效监控机制逐步健全，为财政资金的高效使用提供了有力保障。但在预算编制精准度、跨部门协同效率及部分项目后期运维管理等方面仍存在优化空间。</w:t>
      </w:r>
    </w:p>
    <w:p w14:paraId="628C86C2">
      <w:pPr>
        <w:spacing w:line="58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（二）改进建议</w:t>
      </w:r>
    </w:p>
    <w:p w14:paraId="704F0FDF"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强化预算编制科学性：建立数据共享机制，结合历史执行数据与行业发展趋势，细化项目支出标准，提高预算编制的精准度和前瞻性。</w:t>
      </w:r>
    </w:p>
    <w:p w14:paraId="097E4F02"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优化项目管理流程：推行全周期绩效管理，在项目立项、实施、验收各环节设置量化考核指标，引入第三方评估机构开展动态监督，确保项目执行质量。</w:t>
      </w:r>
    </w:p>
    <w:p w14:paraId="1E8EF38D"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4YmFkMmRiOTVkZDYxZmUzNDY5YTNjNWEzNDk5ZDQifQ=="/>
  </w:docVars>
  <w:rsids>
    <w:rsidRoot w:val="00491B22"/>
    <w:rsid w:val="00291808"/>
    <w:rsid w:val="00491B22"/>
    <w:rsid w:val="0052390C"/>
    <w:rsid w:val="22A55721"/>
    <w:rsid w:val="34EB1F43"/>
    <w:rsid w:val="35366BF3"/>
    <w:rsid w:val="36435EC2"/>
    <w:rsid w:val="43EB7E23"/>
    <w:rsid w:val="4DD97D2F"/>
    <w:rsid w:val="60D032A5"/>
    <w:rsid w:val="62E5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left="0" w:firstLine="40"/>
    </w:pPr>
    <w:rPr>
      <w:rFonts w:ascii="仿宋_GB2312" w:hAnsi="仿宋_GB2312" w:eastAsia="仿宋" w:cs="仿宋_GB2312"/>
      <w:sz w:val="32"/>
      <w:szCs w:val="32"/>
    </w:rPr>
  </w:style>
  <w:style w:type="paragraph" w:styleId="3">
    <w:name w:val="Body Text Indent"/>
    <w:basedOn w:val="1"/>
    <w:next w:val="2"/>
    <w:qFormat/>
    <w:uiPriority w:val="0"/>
    <w:pPr>
      <w:spacing w:after="120"/>
      <w:ind w:left="420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Body Text First Indent"/>
    <w:basedOn w:val="5"/>
    <w:qFormat/>
    <w:uiPriority w:val="0"/>
    <w:pPr>
      <w:ind w:firstLine="664"/>
    </w:pPr>
    <w:rPr>
      <w:rFonts w:ascii="Calibri" w:hAnsi="Calibri" w:eastAsia="宋体" w:cs="Times New Roman"/>
    </w:rPr>
  </w:style>
  <w:style w:type="character" w:styleId="11">
    <w:name w:val="Strong"/>
    <w:basedOn w:val="10"/>
    <w:qFormat/>
    <w:uiPriority w:val="22"/>
    <w:rPr>
      <w:b/>
    </w:rPr>
  </w:style>
  <w:style w:type="character" w:customStyle="1" w:styleId="12">
    <w:name w:val="页眉 Char"/>
    <w:basedOn w:val="10"/>
    <w:link w:val="7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6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6</Pages>
  <Words>818</Words>
  <Characters>871</Characters>
  <Lines>2</Lines>
  <Paragraphs>1</Paragraphs>
  <TotalTime>146</TotalTime>
  <ScaleCrop>false</ScaleCrop>
  <LinksUpToDate>false</LinksUpToDate>
  <CharactersWithSpaces>883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lenovo</cp:lastModifiedBy>
  <dcterms:modified xsi:type="dcterms:W3CDTF">2025-08-25T10:44:33Z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3115989309D741DA945EE44A488D69E1</vt:lpwstr>
  </property>
  <property fmtid="{D5CDD505-2E9C-101B-9397-08002B2CF9AE}" pid="4" name="KSOTemplateDocerSaveRecord">
    <vt:lpwstr>eyJoZGlkIjoiNDZlMWZlYjYwYmJmMGExNDM1NjY1NjU5N2JlNTYxNjcifQ==</vt:lpwstr>
  </property>
</Properties>
</file>