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5E0F9">
      <w:pPr>
        <w:keepNext w:val="0"/>
        <w:keepLines w:val="0"/>
        <w:pageBreakBefore w:val="0"/>
        <w:widowControl/>
        <w:kinsoku/>
        <w:wordWrap/>
        <w:overflowPunct/>
        <w:topLinePunct w:val="0"/>
        <w:bidi w:val="0"/>
        <w:spacing w:line="550" w:lineRule="exact"/>
        <w:jc w:val="center"/>
        <w:rPr>
          <w:rFonts w:hint="eastAsia" w:ascii="方正小标宋简体" w:eastAsia="方正小标宋简体"/>
          <w:color w:val="auto"/>
          <w:sz w:val="44"/>
          <w:szCs w:val="44"/>
          <w:shd w:val="clear" w:color="auto" w:fill="FFFFFF"/>
          <w:lang w:val="en-US" w:eastAsia="zh-CN"/>
        </w:rPr>
      </w:pPr>
      <w:r>
        <w:rPr>
          <w:rFonts w:hint="eastAsia" w:ascii="方正小标宋简体" w:eastAsia="方正小标宋简体"/>
          <w:color w:val="auto"/>
          <w:sz w:val="44"/>
          <w:szCs w:val="44"/>
          <w:shd w:val="clear" w:color="auto" w:fill="FFFFFF"/>
          <w:lang w:val="en-US" w:eastAsia="zh-CN"/>
        </w:rPr>
        <w:t>黑水县住房和城乡建设局</w:t>
      </w:r>
    </w:p>
    <w:p w14:paraId="52ABF705">
      <w:pPr>
        <w:keepNext w:val="0"/>
        <w:keepLines w:val="0"/>
        <w:pageBreakBefore w:val="0"/>
        <w:widowControl/>
        <w:kinsoku/>
        <w:wordWrap/>
        <w:overflowPunct/>
        <w:topLinePunct w:val="0"/>
        <w:bidi w:val="0"/>
        <w:spacing w:line="550" w:lineRule="exact"/>
        <w:jc w:val="center"/>
        <w:rPr>
          <w:rFonts w:hint="eastAsia" w:ascii="方正小标宋简体" w:eastAsia="方正小标宋简体"/>
          <w:color w:val="auto"/>
          <w:sz w:val="44"/>
          <w:szCs w:val="44"/>
          <w:shd w:val="clear" w:color="auto" w:fill="FFFFFF"/>
        </w:rPr>
      </w:pPr>
      <w:r>
        <w:rPr>
          <w:rFonts w:hint="eastAsia" w:ascii="方正小标宋简体" w:eastAsia="方正小标宋简体"/>
          <w:color w:val="auto"/>
          <w:sz w:val="44"/>
          <w:szCs w:val="44"/>
          <w:shd w:val="clear" w:color="auto" w:fill="FFFFFF"/>
        </w:rPr>
        <w:t>202</w:t>
      </w:r>
      <w:r>
        <w:rPr>
          <w:rFonts w:hint="eastAsia" w:ascii="方正小标宋简体" w:eastAsia="方正小标宋简体"/>
          <w:color w:val="auto"/>
          <w:sz w:val="44"/>
          <w:szCs w:val="44"/>
          <w:shd w:val="clear" w:color="auto" w:fill="FFFFFF"/>
          <w:lang w:val="en-US" w:eastAsia="zh-CN"/>
        </w:rPr>
        <w:t>3</w:t>
      </w:r>
      <w:r>
        <w:rPr>
          <w:rFonts w:hint="eastAsia" w:ascii="方正小标宋简体" w:eastAsia="方正小标宋简体"/>
          <w:color w:val="auto"/>
          <w:sz w:val="44"/>
          <w:szCs w:val="44"/>
          <w:shd w:val="clear" w:color="auto" w:fill="FFFFFF"/>
        </w:rPr>
        <w:t>年</w:t>
      </w:r>
      <w:r>
        <w:rPr>
          <w:rFonts w:hint="eastAsia" w:ascii="方正小标宋简体" w:eastAsia="方正小标宋简体"/>
          <w:color w:val="auto"/>
          <w:sz w:val="44"/>
          <w:szCs w:val="44"/>
          <w:shd w:val="clear" w:color="auto" w:fill="FFFFFF"/>
          <w:lang w:val="en-US" w:eastAsia="zh-CN"/>
        </w:rPr>
        <w:t>度</w:t>
      </w:r>
      <w:r>
        <w:rPr>
          <w:rFonts w:hint="eastAsia" w:ascii="方正小标宋简体" w:eastAsia="方正小标宋简体"/>
          <w:color w:val="auto"/>
          <w:sz w:val="44"/>
          <w:szCs w:val="44"/>
          <w:shd w:val="clear" w:color="auto" w:fill="FFFFFF"/>
        </w:rPr>
        <w:t>部门整体支出绩效</w:t>
      </w:r>
      <w:r>
        <w:rPr>
          <w:rFonts w:hint="eastAsia" w:ascii="方正小标宋简体" w:eastAsia="方正小标宋简体"/>
          <w:color w:val="auto"/>
          <w:sz w:val="44"/>
          <w:szCs w:val="44"/>
          <w:shd w:val="clear" w:color="auto" w:fill="FFFFFF"/>
          <w:lang w:val="en-US" w:eastAsia="zh-CN"/>
        </w:rPr>
        <w:t>自评</w:t>
      </w:r>
      <w:r>
        <w:rPr>
          <w:rFonts w:hint="eastAsia" w:ascii="方正小标宋简体" w:eastAsia="方正小标宋简体"/>
          <w:color w:val="auto"/>
          <w:sz w:val="44"/>
          <w:szCs w:val="44"/>
          <w:shd w:val="clear" w:color="auto" w:fill="FFFFFF"/>
        </w:rPr>
        <w:t>报告</w:t>
      </w:r>
    </w:p>
    <w:p w14:paraId="32661153">
      <w:pPr>
        <w:spacing w:line="580" w:lineRule="exact"/>
        <w:ind w:firstLine="643" w:firstLineChars="200"/>
        <w:rPr>
          <w:rFonts w:ascii="仿宋_GB2312" w:hAnsi="黑体" w:eastAsia="仿宋_GB2312" w:cs="黑体"/>
          <w:b/>
          <w:sz w:val="32"/>
          <w:szCs w:val="32"/>
        </w:rPr>
      </w:pPr>
    </w:p>
    <w:p w14:paraId="3DDD89F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 w:val="32"/>
          <w:szCs w:val="32"/>
        </w:rPr>
      </w:pPr>
      <w:r>
        <w:rPr>
          <w:rFonts w:hint="eastAsia"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9D75DF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3" w:firstLineChars="200"/>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14:paraId="5A1EB9D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本部门独立编制机构1个，内设办公室、住房保障和房地产管理股、</w:t>
      </w:r>
      <w:r>
        <w:rPr>
          <w:rFonts w:hint="eastAsia" w:ascii="仿宋_GB2312" w:hAnsi="仿宋_GB2312" w:eastAsia="仿宋_GB2312" w:cs="仿宋_GB2312"/>
          <w:sz w:val="32"/>
          <w:szCs w:val="32"/>
          <w:lang w:eastAsia="zh-CN"/>
        </w:rPr>
        <w:t>建筑管理股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城市建设股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村镇建设股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市政公用设施管理股、</w:t>
      </w:r>
      <w:r>
        <w:rPr>
          <w:rFonts w:hint="eastAsia" w:ascii="仿宋_GB2312" w:hAnsi="仿宋_GB2312" w:eastAsia="仿宋_GB2312" w:cs="仿宋_GB2312"/>
          <w:sz w:val="32"/>
          <w:szCs w:val="32"/>
        </w:rPr>
        <w:t>建</w:t>
      </w:r>
      <w:r>
        <w:rPr>
          <w:rFonts w:hint="eastAsia" w:ascii="仿宋_GB2312" w:hAnsi="仿宋_GB2312" w:eastAsia="仿宋_GB2312" w:cs="仿宋_GB2312"/>
          <w:sz w:val="32"/>
          <w:szCs w:val="32"/>
          <w:lang w:eastAsia="zh-CN"/>
        </w:rPr>
        <w:t>设</w:t>
      </w:r>
      <w:r>
        <w:rPr>
          <w:rFonts w:hint="eastAsia" w:ascii="仿宋_GB2312" w:hAnsi="仿宋_GB2312" w:eastAsia="仿宋_GB2312" w:cs="仿宋_GB2312"/>
          <w:sz w:val="32"/>
          <w:szCs w:val="32"/>
        </w:rPr>
        <w:t>工程质量安全监督站、城乡环境综合</w:t>
      </w:r>
      <w:r>
        <w:rPr>
          <w:rFonts w:hint="eastAsia" w:ascii="仿宋_GB2312" w:hAnsi="仿宋_GB2312" w:eastAsia="仿宋_GB2312" w:cs="仿宋_GB2312"/>
          <w:sz w:val="32"/>
          <w:szCs w:val="32"/>
          <w:lang w:eastAsia="zh-CN"/>
        </w:rPr>
        <w:t>治理服务中心</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个股室。</w:t>
      </w:r>
    </w:p>
    <w:p w14:paraId="59B8839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本单位下属二级预算单位0个，其中行政单位0个，参照公务员管理事业单位0个，其他事业单位0个。</w:t>
      </w:r>
    </w:p>
    <w:p w14:paraId="0AB320A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eastAsia"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14:paraId="1AFA58B1">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住房和城乡建设局主要是负责本系统、本部门依法行政工作、推进住房制度改革、保障全县城镇低收入家庭住房、全县工程建设标准体系责任、规范全县房地产市场秩序、监督管理全县建筑市场、指导全县城镇建设管理、建筑工程质量安全监督、城乡环境综合治理等工作。</w:t>
      </w:r>
    </w:p>
    <w:p w14:paraId="6F8C8E3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6A32F4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年末，单位编制</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名，行政编制</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人，其中行政工勤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参公编制</w:t>
      </w:r>
      <w:r>
        <w:rPr>
          <w:rFonts w:hint="eastAsia" w:ascii="仿宋_GB2312" w:hAnsi="仿宋_GB2312" w:eastAsia="仿宋_GB2312" w:cs="仿宋_GB2312"/>
          <w:sz w:val="32"/>
          <w:szCs w:val="32"/>
          <w:lang w:val="en-US" w:eastAsia="zh-CN"/>
        </w:rPr>
        <w:t>12人，</w:t>
      </w:r>
      <w:r>
        <w:rPr>
          <w:rFonts w:hint="eastAsia" w:ascii="仿宋_GB2312" w:hAnsi="仿宋_GB2312" w:eastAsia="仿宋_GB2312" w:cs="仿宋_GB2312"/>
          <w:sz w:val="32"/>
          <w:szCs w:val="32"/>
        </w:rPr>
        <w:t>事业编制</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人，本单位本年年末</w:t>
      </w:r>
      <w:r>
        <w:rPr>
          <w:rFonts w:hint="eastAsia" w:ascii="仿宋_GB2312" w:hAnsi="仿宋_GB2312" w:eastAsia="仿宋_GB2312" w:cs="仿宋_GB2312"/>
          <w:sz w:val="32"/>
          <w:szCs w:val="32"/>
          <w:lang w:eastAsia="zh-CN"/>
        </w:rPr>
        <w:t>实有</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人，其中：行政编制人员</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参公编制</w:t>
      </w:r>
      <w:r>
        <w:rPr>
          <w:rFonts w:hint="eastAsia" w:ascii="仿宋_GB2312" w:hAnsi="仿宋_GB2312" w:eastAsia="仿宋_GB2312" w:cs="仿宋_GB2312"/>
          <w:sz w:val="32"/>
          <w:szCs w:val="32"/>
          <w:lang w:val="en-US" w:eastAsia="zh-CN"/>
        </w:rPr>
        <w:t>9人，</w:t>
      </w:r>
      <w:r>
        <w:rPr>
          <w:rFonts w:hint="eastAsia" w:ascii="仿宋_GB2312" w:hAnsi="仿宋_GB2312" w:eastAsia="仿宋_GB2312" w:cs="仿宋_GB2312"/>
          <w:sz w:val="32"/>
          <w:szCs w:val="32"/>
        </w:rPr>
        <w:t>事业编制人员</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人。</w:t>
      </w:r>
    </w:p>
    <w:p w14:paraId="6398900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二、部门财政资金收支情况</w:t>
      </w:r>
    </w:p>
    <w:p w14:paraId="76E0926F">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（一）部门财政资金收入情况。</w:t>
      </w:r>
    </w:p>
    <w:p w14:paraId="02C04E66">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outlineLvl w:val="1"/>
        <w:rPr>
          <w:rFonts w:hint="eastAsia" w:ascii="仿宋_GB2312" w:hAnsi="仿宋" w:eastAsia="仿宋_GB2312" w:cs="仿宋_GB2312"/>
          <w:sz w:val="32"/>
          <w:szCs w:val="32"/>
        </w:rPr>
      </w:pPr>
      <w:r>
        <w:rPr>
          <w:rFonts w:hint="eastAsia" w:ascii="仿宋_GB2312" w:hAnsi="仿宋_GB2312" w:eastAsia="仿宋_GB2312" w:cs="仿宋_GB2312"/>
          <w:color w:val="000000"/>
          <w:sz w:val="32"/>
          <w:szCs w:val="32"/>
          <w:lang w:val="en-US" w:eastAsia="zh-CN"/>
        </w:rPr>
        <w:t>2024</w:t>
      </w:r>
      <w:r>
        <w:rPr>
          <w:rFonts w:hint="eastAsia" w:ascii="仿宋_GB2312" w:hAnsi="仿宋_GB2312" w:eastAsia="仿宋_GB2312" w:cs="仿宋_GB2312"/>
          <w:color w:val="000000"/>
          <w:sz w:val="32"/>
          <w:szCs w:val="32"/>
        </w:rPr>
        <w:t>年本年收入合计</w:t>
      </w:r>
      <w:r>
        <w:rPr>
          <w:rFonts w:hint="eastAsia" w:ascii="仿宋_GB2312" w:hAnsi="仿宋_GB2312" w:eastAsia="仿宋_GB2312" w:cs="仿宋_GB2312"/>
          <w:color w:val="000000"/>
          <w:sz w:val="32"/>
          <w:szCs w:val="32"/>
          <w:lang w:val="en-US" w:eastAsia="zh-CN"/>
        </w:rPr>
        <w:t>8774.43</w:t>
      </w:r>
      <w:r>
        <w:rPr>
          <w:rFonts w:hint="eastAsia" w:ascii="仿宋_GB2312" w:hAnsi="仿宋_GB2312" w:eastAsia="仿宋_GB2312" w:cs="仿宋_GB2312"/>
          <w:color w:val="000000"/>
          <w:sz w:val="32"/>
          <w:szCs w:val="32"/>
        </w:rPr>
        <w:t>万元，其中：一般公共预算财政拨款收入</w:t>
      </w:r>
      <w:r>
        <w:rPr>
          <w:rFonts w:hint="eastAsia" w:ascii="仿宋_GB2312" w:hAnsi="仿宋_GB2312" w:eastAsia="仿宋_GB2312" w:cs="仿宋_GB2312"/>
          <w:color w:val="000000"/>
          <w:sz w:val="32"/>
          <w:szCs w:val="32"/>
          <w:lang w:val="en-US" w:eastAsia="zh-CN"/>
        </w:rPr>
        <w:t>8774.43</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eastAsia="zh-CN"/>
        </w:rPr>
        <w:t>比</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w:t>
      </w:r>
    </w:p>
    <w:p w14:paraId="25DF5F2F">
      <w:pPr>
        <w:numPr>
          <w:ilvl w:val="0"/>
          <w:numId w:val="1"/>
        </w:num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部门财政资金支出情况。</w:t>
      </w:r>
    </w:p>
    <w:p w14:paraId="2EB38830">
      <w:pPr>
        <w:pageBreakBefore w:val="0"/>
        <w:widowControl w:val="0"/>
        <w:kinsoku/>
        <w:wordWrap/>
        <w:overflowPunct/>
        <w:topLinePunct w:val="0"/>
        <w:autoSpaceDE/>
        <w:bidi w:val="0"/>
        <w:adjustRightInd/>
        <w:spacing w:beforeAutospacing="0" w:afterAutospacing="0" w:line="560" w:lineRule="exact"/>
        <w:ind w:left="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基本支出</w:t>
      </w:r>
    </w:p>
    <w:p w14:paraId="40EBCF41">
      <w:pPr>
        <w:pStyle w:val="7"/>
        <w:keepNext w:val="0"/>
        <w:keepLines w:val="0"/>
        <w:pageBreakBefore w:val="0"/>
        <w:widowControl w:val="0"/>
        <w:kinsoku/>
        <w:wordWrap/>
        <w:overflowPunct/>
        <w:topLinePunct w:val="0"/>
        <w:autoSpaceDE/>
        <w:bidi w:val="0"/>
        <w:adjustRightInd/>
        <w:snapToGrid/>
        <w:spacing w:beforeAutospacing="0" w:after="0" w:afterAutospacing="0" w:line="560" w:lineRule="exact"/>
        <w:ind w:left="0" w:leftChars="0" w:firstLine="646" w:firstLineChars="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基本支出用于为保障机构正常运转、完成日常工作任务而发生的支出，包括人员经费和公用经费。</w:t>
      </w:r>
    </w:p>
    <w:p w14:paraId="72D6D845">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textAlignment w:val="auto"/>
        <w:rPr>
          <w:rFonts w:hint="default"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rPr>
        <w:t>　　20</w:t>
      </w:r>
      <w:r>
        <w:rPr>
          <w:rFonts w:hint="eastAsia" w:ascii="仿宋_GB2312" w:hAnsi="仿宋_GB2312" w:eastAsia="仿宋_GB2312" w:cs="仿宋_GB2312"/>
          <w:color w:val="010101"/>
          <w:sz w:val="32"/>
          <w:szCs w:val="32"/>
          <w:lang w:val="en-US" w:eastAsia="zh-CN"/>
        </w:rPr>
        <w:t>24</w:t>
      </w:r>
      <w:r>
        <w:rPr>
          <w:rFonts w:hint="eastAsia" w:ascii="仿宋_GB2312" w:hAnsi="仿宋_GB2312" w:eastAsia="仿宋_GB2312" w:cs="仿宋_GB2312"/>
          <w:color w:val="010101"/>
          <w:sz w:val="32"/>
          <w:szCs w:val="32"/>
        </w:rPr>
        <w:t>年决算基本支出</w:t>
      </w:r>
      <w:r>
        <w:rPr>
          <w:rFonts w:hint="eastAsia" w:ascii="仿宋_GB2312" w:hAnsi="仿宋_GB2312" w:eastAsia="仿宋_GB2312" w:cs="仿宋_GB2312"/>
          <w:color w:val="010101"/>
          <w:sz w:val="32"/>
          <w:szCs w:val="32"/>
          <w:lang w:val="en-US" w:eastAsia="zh-CN"/>
        </w:rPr>
        <w:t>677.13</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人员经费</w:t>
      </w:r>
      <w:r>
        <w:rPr>
          <w:rFonts w:hint="eastAsia" w:ascii="仿宋_GB2312" w:hAnsi="仿宋_GB2312" w:eastAsia="仿宋_GB2312" w:cs="仿宋_GB2312"/>
          <w:color w:val="010101"/>
          <w:sz w:val="32"/>
          <w:szCs w:val="32"/>
          <w:lang w:val="en-US" w:eastAsia="zh-CN"/>
        </w:rPr>
        <w:t>619.08万元，公用经费58.04万元。</w:t>
      </w:r>
    </w:p>
    <w:p w14:paraId="7EA2E471">
      <w:pPr>
        <w:pageBreakBefore w:val="0"/>
        <w:widowControl w:val="0"/>
        <w:kinsoku/>
        <w:wordWrap/>
        <w:overflowPunct/>
        <w:topLinePunct w:val="0"/>
        <w:autoSpaceDE/>
        <w:bidi w:val="0"/>
        <w:adjustRightInd/>
        <w:snapToGrid w:val="0"/>
        <w:spacing w:beforeAutospacing="0" w:afterAutospacing="0" w:line="560" w:lineRule="exact"/>
        <w:ind w:left="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项目支出</w:t>
      </w:r>
    </w:p>
    <w:p w14:paraId="255C9725">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项目支出是在基本支出之外为完成其特定的行政工作任务而发生的支出，主要用于一般行政管理事务、</w:t>
      </w:r>
      <w:r>
        <w:rPr>
          <w:rFonts w:hint="eastAsia" w:ascii="仿宋_GB2312" w:hAnsi="仿宋_GB2312" w:eastAsia="仿宋_GB2312" w:cs="仿宋_GB2312"/>
          <w:color w:val="010101"/>
          <w:sz w:val="32"/>
          <w:szCs w:val="32"/>
          <w:lang w:val="en-US" w:eastAsia="zh-CN"/>
        </w:rPr>
        <w:t>城乡社区支出</w:t>
      </w:r>
      <w:r>
        <w:rPr>
          <w:rFonts w:hint="eastAsia" w:ascii="仿宋_GB2312" w:hAnsi="仿宋_GB2312" w:eastAsia="仿宋_GB2312" w:cs="仿宋_GB2312"/>
          <w:color w:val="010101"/>
          <w:sz w:val="32"/>
          <w:szCs w:val="32"/>
        </w:rPr>
        <w:t>等其他行政管理事务支出。</w:t>
      </w:r>
    </w:p>
    <w:p w14:paraId="3BAD1BFE">
      <w:pPr>
        <w:pStyle w:val="2"/>
        <w:keepNext w:val="0"/>
        <w:keepLines w:val="0"/>
        <w:pageBreakBefore w:val="0"/>
        <w:widowControl w:val="0"/>
        <w:kinsoku/>
        <w:wordWrap/>
        <w:overflowPunct/>
        <w:topLinePunct w:val="0"/>
        <w:autoSpaceDE/>
        <w:bidi w:val="0"/>
        <w:adjustRightInd/>
        <w:snapToGrid/>
        <w:spacing w:beforeAutospacing="0" w:after="0" w:afterAutospacing="0" w:line="560" w:lineRule="exact"/>
        <w:ind w:left="0" w:firstLine="700" w:firstLineChars="219"/>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202</w:t>
      </w:r>
      <w:r>
        <w:rPr>
          <w:rFonts w:hint="eastAsia" w:eastAsia="仿宋_GB2312" w:cs="仿宋_GB2312"/>
          <w:color w:val="010101"/>
          <w:sz w:val="32"/>
          <w:szCs w:val="32"/>
          <w:lang w:val="en-US" w:eastAsia="zh-CN"/>
        </w:rPr>
        <w:t>4</w:t>
      </w:r>
      <w:r>
        <w:rPr>
          <w:rFonts w:hint="eastAsia" w:ascii="仿宋_GB2312" w:hAnsi="仿宋_GB2312" w:eastAsia="仿宋_GB2312" w:cs="仿宋_GB2312"/>
          <w:color w:val="010101"/>
          <w:sz w:val="32"/>
          <w:szCs w:val="32"/>
        </w:rPr>
        <w:t>年</w:t>
      </w:r>
      <w:r>
        <w:rPr>
          <w:rFonts w:hint="eastAsia" w:ascii="仿宋_GB2312" w:hAnsi="仿宋_GB2312" w:eastAsia="仿宋_GB2312" w:cs="仿宋_GB2312"/>
          <w:color w:val="010101"/>
          <w:sz w:val="32"/>
          <w:szCs w:val="32"/>
          <w:lang w:eastAsia="zh-CN"/>
        </w:rPr>
        <w:t>决算项目</w:t>
      </w:r>
      <w:r>
        <w:rPr>
          <w:rFonts w:hint="eastAsia" w:ascii="仿宋_GB2312" w:hAnsi="仿宋_GB2312" w:eastAsia="仿宋_GB2312" w:cs="仿宋_GB2312"/>
          <w:color w:val="010101"/>
          <w:sz w:val="32"/>
          <w:szCs w:val="32"/>
        </w:rPr>
        <w:t>支出为</w:t>
      </w:r>
      <w:r>
        <w:rPr>
          <w:rFonts w:hint="eastAsia" w:eastAsia="仿宋_GB2312" w:cs="仿宋_GB2312"/>
          <w:color w:val="010101"/>
          <w:sz w:val="32"/>
          <w:szCs w:val="32"/>
          <w:lang w:val="en-US" w:eastAsia="zh-CN"/>
        </w:rPr>
        <w:t>8097.31</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节能环保支出</w:t>
      </w:r>
      <w:r>
        <w:rPr>
          <w:rFonts w:hint="eastAsia" w:eastAsia="仿宋_GB2312" w:cs="仿宋_GB2312"/>
          <w:color w:val="010101"/>
          <w:sz w:val="32"/>
          <w:szCs w:val="32"/>
          <w:lang w:val="en-US" w:eastAsia="zh-CN"/>
        </w:rPr>
        <w:t>1011.71</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城乡社区支出</w:t>
      </w:r>
      <w:r>
        <w:rPr>
          <w:rFonts w:hint="eastAsia" w:eastAsia="仿宋_GB2312" w:cs="仿宋_GB2312"/>
          <w:color w:val="010101"/>
          <w:sz w:val="32"/>
          <w:szCs w:val="32"/>
          <w:lang w:val="en-US" w:eastAsia="zh-CN"/>
        </w:rPr>
        <w:t>5944.49</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、农林水支出</w:t>
      </w:r>
      <w:r>
        <w:rPr>
          <w:rFonts w:hint="eastAsia" w:eastAsia="仿宋_GB2312" w:cs="仿宋_GB2312"/>
          <w:color w:val="010101"/>
          <w:sz w:val="32"/>
          <w:szCs w:val="32"/>
          <w:lang w:val="en-US" w:eastAsia="zh-CN"/>
        </w:rPr>
        <w:t>1068.73</w:t>
      </w:r>
      <w:r>
        <w:rPr>
          <w:rFonts w:hint="eastAsia" w:ascii="仿宋_GB2312" w:hAnsi="仿宋_GB2312" w:eastAsia="仿宋_GB2312" w:cs="仿宋_GB2312"/>
          <w:color w:val="010101"/>
          <w:sz w:val="32"/>
          <w:szCs w:val="32"/>
          <w:lang w:val="en-US" w:eastAsia="zh-CN"/>
        </w:rPr>
        <w:t>万元、住房保障支出</w:t>
      </w:r>
      <w:r>
        <w:rPr>
          <w:rFonts w:hint="eastAsia" w:eastAsia="仿宋_GB2312" w:cs="仿宋_GB2312"/>
          <w:color w:val="010101"/>
          <w:sz w:val="32"/>
          <w:szCs w:val="32"/>
          <w:lang w:val="en-US" w:eastAsia="zh-CN"/>
        </w:rPr>
        <w:t>72.37</w:t>
      </w:r>
      <w:r>
        <w:rPr>
          <w:rFonts w:hint="eastAsia" w:ascii="仿宋_GB2312" w:hAnsi="仿宋_GB2312" w:eastAsia="仿宋_GB2312" w:cs="仿宋_GB2312"/>
          <w:color w:val="010101"/>
          <w:sz w:val="32"/>
          <w:szCs w:val="32"/>
          <w:lang w:val="en-US" w:eastAsia="zh-CN"/>
        </w:rPr>
        <w:t>万元</w:t>
      </w:r>
      <w:r>
        <w:rPr>
          <w:rFonts w:hint="eastAsia" w:ascii="仿宋_GB2312" w:hAnsi="仿宋_GB2312" w:eastAsia="仿宋_GB2312" w:cs="仿宋_GB2312"/>
          <w:color w:val="010101"/>
          <w:sz w:val="32"/>
          <w:szCs w:val="32"/>
        </w:rPr>
        <w:t>。</w:t>
      </w:r>
    </w:p>
    <w:p w14:paraId="2F0EFAC8">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3" w:firstLineChars="200"/>
        <w:textAlignment w:val="auto"/>
        <w:outlineLvl w:val="0"/>
        <w:rPr>
          <w:rFonts w:ascii="仿宋" w:hAnsi="仿宋" w:eastAsia="仿宋"/>
          <w:b/>
          <w:bCs/>
          <w:color w:val="010101"/>
          <w:sz w:val="32"/>
          <w:szCs w:val="32"/>
        </w:rPr>
      </w:pPr>
      <w:r>
        <w:rPr>
          <w:rFonts w:hint="eastAsia" w:ascii="仿宋" w:hAnsi="仿宋" w:eastAsia="仿宋"/>
          <w:b/>
          <w:bCs/>
          <w:color w:val="010101"/>
          <w:sz w:val="32"/>
          <w:szCs w:val="32"/>
          <w:lang w:val="en-US" w:eastAsia="zh-CN"/>
        </w:rPr>
        <w:t>3.</w:t>
      </w:r>
      <w:r>
        <w:rPr>
          <w:rFonts w:ascii="仿宋" w:hAnsi="仿宋" w:eastAsia="仿宋"/>
          <w:b/>
          <w:bCs/>
          <w:color w:val="010101"/>
          <w:sz w:val="32"/>
          <w:szCs w:val="32"/>
        </w:rPr>
        <w:t>“三公”经费情况</w:t>
      </w:r>
    </w:p>
    <w:p w14:paraId="06DA4D89">
      <w:pPr>
        <w:spacing w:line="580" w:lineRule="exact"/>
        <w:ind w:firstLine="640" w:firstLineChars="200"/>
        <w:rPr>
          <w:rFonts w:hint="eastAsia"/>
        </w:rPr>
      </w:pPr>
      <w:r>
        <w:rPr>
          <w:rFonts w:hint="eastAsia" w:ascii="仿宋_GB2312" w:hAnsi="仿宋_GB2312" w:eastAsia="仿宋_GB2312" w:cs="仿宋_GB2312"/>
          <w:color w:val="010101"/>
          <w:sz w:val="32"/>
          <w:szCs w:val="32"/>
          <w:lang w:val="en-US" w:eastAsia="zh-CN"/>
        </w:rPr>
        <w:t>2024年</w:t>
      </w:r>
      <w:r>
        <w:rPr>
          <w:rFonts w:hint="eastAsia" w:ascii="仿宋_GB2312" w:hAnsi="仿宋_GB2312" w:eastAsia="仿宋_GB2312" w:cs="仿宋_GB2312"/>
          <w:color w:val="010101"/>
          <w:sz w:val="32"/>
          <w:szCs w:val="32"/>
        </w:rPr>
        <w:t>决算支出“三公”经费</w:t>
      </w:r>
      <w:r>
        <w:rPr>
          <w:rFonts w:hint="eastAsia" w:ascii="仿宋_GB2312" w:hAnsi="仿宋_GB2312" w:eastAsia="仿宋_GB2312" w:cs="仿宋_GB2312"/>
          <w:color w:val="010101"/>
          <w:sz w:val="32"/>
          <w:szCs w:val="32"/>
          <w:lang w:val="en-US" w:eastAsia="zh-CN"/>
        </w:rPr>
        <w:t>0.38</w:t>
      </w:r>
      <w:r>
        <w:rPr>
          <w:rFonts w:hint="eastAsia" w:ascii="仿宋_GB2312" w:hAnsi="仿宋_GB2312" w:eastAsia="仿宋_GB2312" w:cs="仿宋_GB2312"/>
          <w:color w:val="010101"/>
          <w:sz w:val="32"/>
          <w:szCs w:val="32"/>
        </w:rPr>
        <w:t>万元，其中公务接待费</w:t>
      </w:r>
      <w:r>
        <w:rPr>
          <w:rFonts w:hint="eastAsia" w:ascii="仿宋_GB2312" w:hAnsi="仿宋_GB2312" w:eastAsia="仿宋_GB2312" w:cs="仿宋_GB2312"/>
          <w:color w:val="010101"/>
          <w:sz w:val="32"/>
          <w:szCs w:val="32"/>
          <w:lang w:val="en-US" w:eastAsia="zh-CN"/>
        </w:rPr>
        <w:t>0.38</w:t>
      </w:r>
      <w:r>
        <w:rPr>
          <w:rFonts w:hint="eastAsia" w:ascii="仿宋_GB2312" w:hAnsi="仿宋_GB2312" w:eastAsia="仿宋_GB2312" w:cs="仿宋_GB2312"/>
          <w:color w:val="010101"/>
          <w:sz w:val="32"/>
          <w:szCs w:val="32"/>
        </w:rPr>
        <w:t>万元较上年</w:t>
      </w:r>
      <w:r>
        <w:rPr>
          <w:rFonts w:hint="eastAsia" w:ascii="仿宋_GB2312" w:hAnsi="仿宋_GB2312" w:eastAsia="仿宋_GB2312" w:cs="仿宋_GB2312"/>
          <w:color w:val="010101"/>
          <w:sz w:val="32"/>
          <w:szCs w:val="32"/>
          <w:lang w:eastAsia="zh-CN"/>
        </w:rPr>
        <w:t>持平</w:t>
      </w:r>
      <w:r>
        <w:rPr>
          <w:rFonts w:hint="eastAsia" w:ascii="仿宋_GB2312" w:hAnsi="仿宋_GB2312" w:eastAsia="仿宋_GB2312" w:cs="仿宋_GB2312"/>
          <w:color w:val="010101"/>
          <w:sz w:val="32"/>
          <w:szCs w:val="32"/>
          <w:lang w:val="en-US" w:eastAsia="zh-CN"/>
        </w:rPr>
        <w:t>。</w:t>
      </w:r>
    </w:p>
    <w:p w14:paraId="27E8D36B">
      <w:pPr>
        <w:numPr>
          <w:ilvl w:val="0"/>
          <w:numId w:val="2"/>
        </w:num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部门整体预算绩效管理情况</w:t>
      </w:r>
    </w:p>
    <w:p w14:paraId="63C33217">
      <w:pPr>
        <w:numPr>
          <w:ilvl w:val="0"/>
          <w:numId w:val="0"/>
        </w:num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（一）部门预算管理。</w:t>
      </w:r>
    </w:p>
    <w:p w14:paraId="21B4D23B">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部门预算管理是整体预算绩效管理的基础，直接关系到全</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各项工作的有序推进。</w:t>
      </w:r>
      <w:r>
        <w:rPr>
          <w:rFonts w:hint="eastAsia" w:ascii="仿宋_GB2312" w:hAnsi="黑体" w:eastAsia="仿宋_GB2312" w:cs="黑体"/>
          <w:sz w:val="32"/>
          <w:szCs w:val="32"/>
          <w:lang w:val="en-US" w:eastAsia="zh-CN"/>
        </w:rPr>
        <w:t>2024年</w:t>
      </w: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从多个维度发力，不断提升部门预算管理水平，但也存在部分待改进之处。​</w:t>
      </w:r>
    </w:p>
    <w:p w14:paraId="79E9BE60">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1.绩效目标制定</w:t>
      </w:r>
      <w:r>
        <w:rPr>
          <w:rFonts w:hint="eastAsia" w:ascii="仿宋_GB2312" w:hAnsi="黑体" w:eastAsia="仿宋_GB2312" w:cs="黑体"/>
          <w:sz w:val="32"/>
          <w:szCs w:val="32"/>
        </w:rPr>
        <w:t>​</w:t>
      </w:r>
    </w:p>
    <w:p w14:paraId="1EA783DE">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严格按照 “贴合职能、科学合理、可衡量、可实现” 的原则制定绩效目标。结合住房和城乡建设领域重点工作，如</w:t>
      </w:r>
      <w:r>
        <w:rPr>
          <w:rFonts w:hint="eastAsia" w:ascii="仿宋_GB2312" w:hAnsi="黑体" w:eastAsia="仿宋_GB2312" w:cs="黑体"/>
          <w:sz w:val="32"/>
          <w:szCs w:val="32"/>
          <w:lang w:val="en-US" w:eastAsia="zh-CN"/>
        </w:rPr>
        <w:t>市政</w:t>
      </w:r>
      <w:r>
        <w:rPr>
          <w:rFonts w:hint="eastAsia" w:ascii="仿宋_GB2312" w:hAnsi="黑体" w:eastAsia="仿宋_GB2312" w:cs="黑体"/>
          <w:sz w:val="32"/>
          <w:szCs w:val="32"/>
        </w:rPr>
        <w:t>基础设施建设、保障性住房供给、老旧小区改造等，明确每个预算项目的具体目标。</w:t>
      </w:r>
    </w:p>
    <w:p w14:paraId="4AEAC261">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2.目标完成</w:t>
      </w:r>
      <w:r>
        <w:rPr>
          <w:rFonts w:hint="eastAsia" w:ascii="仿宋_GB2312" w:hAnsi="黑体" w:eastAsia="仿宋_GB2312" w:cs="黑体"/>
          <w:sz w:val="32"/>
          <w:szCs w:val="32"/>
        </w:rPr>
        <w:t>​</w:t>
      </w:r>
    </w:p>
    <w:p w14:paraId="628FE9D0">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从整体来看，大部分绩效目标均按计划完成。</w:t>
      </w:r>
    </w:p>
    <w:p w14:paraId="308289E4">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3.预算编制准确</w:t>
      </w:r>
      <w:r>
        <w:rPr>
          <w:rFonts w:hint="eastAsia" w:ascii="仿宋_GB2312" w:hAnsi="黑体" w:eastAsia="仿宋_GB2312" w:cs="黑体"/>
          <w:sz w:val="32"/>
          <w:szCs w:val="32"/>
        </w:rPr>
        <w:t>​</w:t>
      </w:r>
    </w:p>
    <w:p w14:paraId="699A5EFF">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为提高预算编制准确性，我局建立了“上下联动、多方论证”的编制机制。在编制前，组织业务科室、财务</w:t>
      </w:r>
      <w:r>
        <w:rPr>
          <w:rFonts w:hint="eastAsia" w:ascii="仿宋_GB2312" w:hAnsi="黑体" w:eastAsia="仿宋_GB2312" w:cs="黑体"/>
          <w:sz w:val="32"/>
          <w:szCs w:val="32"/>
          <w:lang w:val="en-US" w:eastAsia="zh-CN"/>
        </w:rPr>
        <w:t>室</w:t>
      </w:r>
      <w:r>
        <w:rPr>
          <w:rFonts w:hint="eastAsia" w:ascii="仿宋_GB2312" w:hAnsi="黑体" w:eastAsia="仿宋_GB2312" w:cs="黑体"/>
          <w:sz w:val="32"/>
          <w:szCs w:val="32"/>
        </w:rPr>
        <w:t>与项目实施单位开展充分调研，结合往年项目执行情况、物价变动趋势以及本年度工作任务，细化预算编制内容。</w:t>
      </w:r>
    </w:p>
    <w:p w14:paraId="59F78095">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4.支出控制</w:t>
      </w:r>
      <w:r>
        <w:rPr>
          <w:rFonts w:hint="eastAsia" w:ascii="仿宋_GB2312" w:hAnsi="黑体" w:eastAsia="仿宋_GB2312" w:cs="黑体"/>
          <w:sz w:val="32"/>
          <w:szCs w:val="32"/>
        </w:rPr>
        <w:t>​</w:t>
      </w:r>
    </w:p>
    <w:p w14:paraId="47B9C313">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我局严格执行预算支出控制制度，通过“事前审批、事中监控、事后审核” 三重管控措施，确保资金使用合规、高效。在支出审批环节，明确各层级审批权限，杜绝超预算、无预算支出；在事中监控方面，利用预算管理系统实时跟踪资金支出进度，对接近预算上限的项目及时预警；在事后审核中，对每一笔支出的票据、合同等资料进行严格核查，确保支出符合规定。</w:t>
      </w:r>
    </w:p>
    <w:p w14:paraId="4CFBDDF7">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lang w:val="en-US" w:eastAsia="zh-CN"/>
        </w:rPr>
        <w:t>5</w:t>
      </w:r>
      <w:r>
        <w:rPr>
          <w:rFonts w:hint="eastAsia" w:ascii="仿宋_GB2312" w:hAnsi="黑体" w:eastAsia="仿宋_GB2312" w:cs="黑体"/>
          <w:b/>
          <w:bCs/>
          <w:sz w:val="32"/>
          <w:szCs w:val="32"/>
        </w:rPr>
        <w:t>.执行进度</w:t>
      </w:r>
      <w:r>
        <w:rPr>
          <w:rFonts w:hint="eastAsia" w:ascii="仿宋_GB2312" w:hAnsi="黑体" w:eastAsia="仿宋_GB2312" w:cs="黑体"/>
          <w:sz w:val="32"/>
          <w:szCs w:val="32"/>
        </w:rPr>
        <w:t>​</w:t>
      </w:r>
    </w:p>
    <w:p w14:paraId="43C19FBD">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为加快预算执行进度，每月对各项目预算执行进度进行统计分析，对进度滞后的项目</w:t>
      </w:r>
      <w:r>
        <w:rPr>
          <w:rFonts w:hint="eastAsia" w:ascii="仿宋_GB2312" w:hAnsi="黑体" w:eastAsia="仿宋_GB2312" w:cs="黑体"/>
          <w:sz w:val="32"/>
          <w:szCs w:val="32"/>
          <w:lang w:val="en-US" w:eastAsia="zh-CN"/>
        </w:rPr>
        <w:t>深入</w:t>
      </w:r>
      <w:r>
        <w:rPr>
          <w:rFonts w:hint="eastAsia" w:ascii="仿宋_GB2312" w:hAnsi="黑体" w:eastAsia="仿宋_GB2312" w:cs="黑体"/>
          <w:sz w:val="32"/>
          <w:szCs w:val="32"/>
        </w:rPr>
        <w:t>现场了解情况，协调解决执行过程中存在的问题。截至期末，部门整体预算执行进度</w:t>
      </w:r>
      <w:r>
        <w:rPr>
          <w:rFonts w:hint="eastAsia" w:ascii="仿宋_GB2312" w:hAnsi="黑体" w:eastAsia="仿宋_GB2312" w:cs="黑体"/>
          <w:sz w:val="32"/>
          <w:szCs w:val="32"/>
          <w:lang w:val="en-US" w:eastAsia="zh-CN"/>
        </w:rPr>
        <w:t>达到了项目建设时序进度，</w:t>
      </w:r>
      <w:r>
        <w:rPr>
          <w:rFonts w:hint="eastAsia" w:ascii="仿宋_GB2312" w:hAnsi="黑体" w:eastAsia="仿宋_GB2312" w:cs="黑体"/>
          <w:sz w:val="32"/>
          <w:szCs w:val="32"/>
        </w:rPr>
        <w:t>有效保障了民生工作的及时落地。​</w:t>
      </w:r>
      <w:r>
        <w:rPr>
          <w:rFonts w:hint="eastAsia" w:ascii="仿宋_GB2312" w:hAnsi="黑体" w:eastAsia="仿宋_GB2312" w:cs="黑体"/>
          <w:sz w:val="32"/>
          <w:szCs w:val="32"/>
          <w:lang w:val="en-US" w:eastAsia="zh-CN"/>
        </w:rPr>
        <w:t xml:space="preserve">  </w:t>
      </w:r>
      <w:r>
        <w:rPr>
          <w:rFonts w:hint="eastAsia" w:ascii="仿宋_GB2312" w:hAnsi="黑体" w:eastAsia="仿宋_GB2312" w:cs="黑体"/>
          <w:b/>
          <w:bCs/>
          <w:sz w:val="32"/>
          <w:szCs w:val="32"/>
          <w:lang w:val="en-US" w:eastAsia="zh-CN"/>
        </w:rPr>
        <w:t>6</w:t>
      </w:r>
      <w:r>
        <w:rPr>
          <w:rFonts w:hint="eastAsia" w:ascii="仿宋_GB2312" w:hAnsi="黑体" w:eastAsia="仿宋_GB2312" w:cs="黑体"/>
          <w:b/>
          <w:bCs/>
          <w:sz w:val="32"/>
          <w:szCs w:val="32"/>
        </w:rPr>
        <w:t>.预算完成情况</w:t>
      </w:r>
      <w:r>
        <w:rPr>
          <w:rFonts w:hint="eastAsia" w:ascii="仿宋_GB2312" w:hAnsi="黑体" w:eastAsia="仿宋_GB2312" w:cs="黑体"/>
          <w:sz w:val="32"/>
          <w:szCs w:val="32"/>
        </w:rPr>
        <w:t>​</w:t>
      </w:r>
    </w:p>
    <w:p w14:paraId="649110FD">
      <w:pPr>
        <w:spacing w:line="580" w:lineRule="exact"/>
        <w:ind w:firstLine="640" w:firstLineChars="200"/>
        <w:rPr>
          <w:rFonts w:hint="default" w:ascii="仿宋_GB2312" w:hAnsi="黑体" w:eastAsia="仿宋_GB2312" w:cs="黑体"/>
          <w:sz w:val="32"/>
          <w:szCs w:val="32"/>
          <w:lang w:val="en-US" w:eastAsia="zh-CN"/>
        </w:rPr>
      </w:pPr>
      <w:r>
        <w:rPr>
          <w:rFonts w:hint="eastAsia" w:ascii="仿宋_GB2312" w:hAnsi="黑体" w:eastAsia="仿宋_GB2312" w:cs="黑体"/>
          <w:sz w:val="32"/>
          <w:szCs w:val="32"/>
        </w:rPr>
        <w:t>本年度部门预算总收入</w:t>
      </w:r>
      <w:r>
        <w:rPr>
          <w:rFonts w:hint="eastAsia" w:ascii="仿宋_GB2312" w:hAnsi="黑体" w:eastAsia="仿宋_GB2312" w:cs="黑体"/>
          <w:sz w:val="32"/>
          <w:szCs w:val="32"/>
          <w:lang w:val="en-US" w:eastAsia="zh-CN"/>
        </w:rPr>
        <w:t>8774.43</w:t>
      </w:r>
      <w:r>
        <w:rPr>
          <w:rFonts w:hint="eastAsia" w:ascii="仿宋_GB2312" w:hAnsi="黑体" w:eastAsia="仿宋_GB2312" w:cs="黑体"/>
          <w:sz w:val="32"/>
          <w:szCs w:val="32"/>
        </w:rPr>
        <w:t xml:space="preserve">万元，总支出 </w:t>
      </w:r>
      <w:r>
        <w:rPr>
          <w:rFonts w:hint="eastAsia" w:ascii="仿宋_GB2312" w:hAnsi="黑体" w:eastAsia="仿宋_GB2312" w:cs="黑体"/>
          <w:sz w:val="32"/>
          <w:szCs w:val="32"/>
          <w:lang w:val="en-US" w:eastAsia="zh-CN"/>
        </w:rPr>
        <w:t>8774.43</w:t>
      </w:r>
      <w:r>
        <w:rPr>
          <w:rFonts w:hint="eastAsia" w:ascii="仿宋_GB2312" w:hAnsi="黑体" w:eastAsia="仿宋_GB2312" w:cs="黑体"/>
          <w:sz w:val="32"/>
          <w:szCs w:val="32"/>
        </w:rPr>
        <w:t>万元，预算完成率为</w:t>
      </w:r>
      <w:r>
        <w:rPr>
          <w:rFonts w:hint="eastAsia" w:ascii="仿宋_GB2312" w:hAnsi="黑体" w:eastAsia="仿宋_GB2312" w:cs="黑体"/>
          <w:sz w:val="32"/>
          <w:szCs w:val="32"/>
          <w:lang w:val="en-US" w:eastAsia="zh-CN"/>
        </w:rPr>
        <w:t>100</w:t>
      </w:r>
      <w:r>
        <w:rPr>
          <w:rFonts w:hint="eastAsia" w:ascii="仿宋_GB2312" w:hAnsi="黑体" w:eastAsia="仿宋_GB2312" w:cs="黑体"/>
          <w:sz w:val="32"/>
          <w:szCs w:val="32"/>
        </w:rPr>
        <w:t>%。其中，基本支出完成</w:t>
      </w:r>
      <w:r>
        <w:rPr>
          <w:rFonts w:hint="eastAsia" w:ascii="仿宋_GB2312" w:hAnsi="黑体" w:eastAsia="仿宋_GB2312" w:cs="黑体"/>
          <w:sz w:val="32"/>
          <w:szCs w:val="32"/>
          <w:lang w:val="en-US" w:eastAsia="zh-CN"/>
        </w:rPr>
        <w:t>677.13</w:t>
      </w:r>
      <w:r>
        <w:rPr>
          <w:rFonts w:hint="eastAsia" w:ascii="仿宋_GB2312" w:hAnsi="黑体" w:eastAsia="仿宋_GB2312" w:cs="黑体"/>
          <w:sz w:val="32"/>
          <w:szCs w:val="32"/>
        </w:rPr>
        <w:t>万元，完成</w:t>
      </w:r>
      <w:r>
        <w:rPr>
          <w:rFonts w:hint="eastAsia" w:ascii="仿宋_GB2312" w:hAnsi="黑体" w:eastAsia="仿宋_GB2312" w:cs="黑体"/>
          <w:sz w:val="32"/>
          <w:szCs w:val="32"/>
          <w:lang w:eastAsia="zh-CN"/>
        </w:rPr>
        <w:t>总支出</w:t>
      </w:r>
      <w:r>
        <w:rPr>
          <w:rFonts w:hint="eastAsia" w:ascii="仿宋_GB2312" w:hAnsi="黑体" w:eastAsia="仿宋_GB2312" w:cs="黑体"/>
          <w:sz w:val="32"/>
          <w:szCs w:val="32"/>
        </w:rPr>
        <w:t xml:space="preserve">的 </w:t>
      </w:r>
      <w:r>
        <w:rPr>
          <w:rFonts w:hint="eastAsia" w:ascii="仿宋_GB2312" w:hAnsi="黑体" w:eastAsia="仿宋_GB2312" w:cs="黑体"/>
          <w:sz w:val="32"/>
          <w:szCs w:val="32"/>
          <w:lang w:val="en-US" w:eastAsia="zh-CN"/>
        </w:rPr>
        <w:t>7.72</w:t>
      </w:r>
      <w:r>
        <w:rPr>
          <w:rFonts w:hint="eastAsia" w:ascii="仿宋_GB2312" w:hAnsi="黑体" w:eastAsia="仿宋_GB2312" w:cs="黑体"/>
          <w:sz w:val="32"/>
          <w:szCs w:val="32"/>
        </w:rPr>
        <w:t>%，主要用于人员工资、办公经费等日常开支，保障了部门正常运转</w:t>
      </w:r>
      <w:r>
        <w:rPr>
          <w:rFonts w:hint="eastAsia" w:ascii="仿宋_GB2312" w:hAnsi="黑体" w:eastAsia="仿宋_GB2312" w:cs="黑体"/>
          <w:sz w:val="32"/>
          <w:szCs w:val="32"/>
          <w:lang w:eastAsia="zh-CN"/>
        </w:rPr>
        <w:t>，项目支出</w:t>
      </w:r>
      <w:r>
        <w:rPr>
          <w:rFonts w:hint="eastAsia" w:ascii="仿宋_GB2312" w:hAnsi="黑体" w:eastAsia="仿宋_GB2312" w:cs="黑体"/>
          <w:sz w:val="32"/>
          <w:szCs w:val="32"/>
          <w:lang w:val="en-US" w:eastAsia="zh-CN"/>
        </w:rPr>
        <w:t>8097.31万元，完成总支出的92.28%。</w:t>
      </w:r>
    </w:p>
    <w:p w14:paraId="0BBEA59D">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lang w:val="en-US" w:eastAsia="zh-CN"/>
        </w:rPr>
        <w:t>7.</w:t>
      </w:r>
      <w:r>
        <w:rPr>
          <w:rFonts w:hint="eastAsia" w:ascii="仿宋_GB2312" w:hAnsi="黑体" w:eastAsia="仿宋_GB2312" w:cs="黑体"/>
          <w:b/>
          <w:bCs/>
          <w:sz w:val="32"/>
          <w:szCs w:val="32"/>
        </w:rPr>
        <w:t>违规记录</w:t>
      </w:r>
      <w:r>
        <w:rPr>
          <w:rFonts w:hint="eastAsia" w:ascii="仿宋_GB2312" w:hAnsi="黑体" w:eastAsia="仿宋_GB2312" w:cs="黑体"/>
          <w:sz w:val="32"/>
          <w:szCs w:val="32"/>
        </w:rPr>
        <w:t>​</w:t>
      </w:r>
    </w:p>
    <w:p w14:paraId="75127EEF">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在预算管理过程中，我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始终坚持依法依规办事，严格遵守财经纪律。通过加强制度建设、开展廉政教育、强化监督检查等措施，有效防范了违规行为的发生。本年度未出现任何预算管理方面的违规记录。​</w:t>
      </w:r>
    </w:p>
    <w:p w14:paraId="5229947B">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14:paraId="60AD8128">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专项预算是保障住房和城乡建设领域重点工作、重大项目实施的重要资金来源。我局高度重视专项预算管理，从项目程序、规划、结果、分配、绩效</w:t>
      </w:r>
      <w:bookmarkStart w:id="0" w:name="_GoBack"/>
      <w:bookmarkEnd w:id="0"/>
      <w:r>
        <w:rPr>
          <w:rFonts w:hint="eastAsia" w:ascii="仿宋_GB2312" w:hAnsi="仿宋_GB2312" w:eastAsia="仿宋_GB2312" w:cs="仿宋_GB2312"/>
          <w:b w:val="0"/>
          <w:bCs w:val="0"/>
          <w:sz w:val="32"/>
          <w:szCs w:val="32"/>
        </w:rPr>
        <w:t>等多个方面入手，确保专项预算资金发挥最大效益。​</w:t>
      </w:r>
    </w:p>
    <w:p w14:paraId="07E96A34">
      <w:pPr>
        <w:spacing w:line="580" w:lineRule="exact"/>
        <w:ind w:firstLine="643"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sz w:val="32"/>
          <w:szCs w:val="32"/>
        </w:rPr>
        <w:t>1.专项预算项目程序严密</w:t>
      </w:r>
      <w:r>
        <w:rPr>
          <w:rFonts w:hint="eastAsia" w:ascii="仿宋_GB2312" w:hAnsi="仿宋_GB2312" w:eastAsia="仿宋_GB2312" w:cs="仿宋_GB2312"/>
          <w:b w:val="0"/>
          <w:bCs w:val="0"/>
          <w:sz w:val="32"/>
          <w:szCs w:val="32"/>
        </w:rPr>
        <w:t>​</w:t>
      </w:r>
    </w:p>
    <w:p w14:paraId="55CBDDFD">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局建立了严格的专项预算项目申报、评审、立项、实施、验收流程。在项目申报阶段，明确申报条件和要求，对申报项目的可行性、必要性、预算合理性进行全面评审；立项阶段，根据评审结果，结合年度工作重点，确定立项项目并公示；实施过程中，加强对项目进度、质量和资金使用的监督；项目完成后，组织专业人员进行验收，验收合格后方可办理资金结算。通过严密的程序，有效避免了 “人情项目”“关系项目” 的出现，确保专项预算项目立项科学、实施规范。从专项预算项目实施结果来看，大部分项目均达到了预期效果，结果与规划目标高度一致。例如，老旧小区改造专项项目，按照规划目标完成了</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 xml:space="preserve">个老旧小区的改造，改造内容包括道路修缮、管网更新、绿化提升、停车位增设等，改造后小区环境明显改善，居民满意度达到 </w:t>
      </w:r>
      <w:r>
        <w:rPr>
          <w:rFonts w:hint="eastAsia" w:ascii="仿宋_GB2312" w:hAnsi="仿宋_GB2312" w:eastAsia="仿宋_GB2312" w:cs="仿宋_GB2312"/>
          <w:b w:val="0"/>
          <w:bCs w:val="0"/>
          <w:sz w:val="32"/>
          <w:szCs w:val="32"/>
          <w:lang w:val="en-US" w:eastAsia="zh-CN"/>
        </w:rPr>
        <w:t>98</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符合 “改善民生、提升城市形象” 的规划目标。</w:t>
      </w:r>
    </w:p>
    <w:p w14:paraId="36468E33">
      <w:pPr>
        <w:spacing w:line="580" w:lineRule="exact"/>
        <w:ind w:firstLine="643" w:firstLineChars="200"/>
        <w:rPr>
          <w:rFonts w:hint="eastAsia" w:ascii="仿宋_GB2312" w:hAnsi="仿宋_GB2312" w:eastAsia="仿宋_GB2312" w:cs="仿宋_GB2312"/>
          <w:b w:val="0"/>
          <w:bCs w:val="0"/>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分配科学</w:t>
      </w:r>
      <w:r>
        <w:rPr>
          <w:rFonts w:hint="eastAsia" w:ascii="仿宋_GB2312" w:hAnsi="仿宋_GB2312" w:eastAsia="仿宋_GB2312" w:cs="仿宋_GB2312"/>
          <w:b w:val="0"/>
          <w:bCs w:val="0"/>
          <w:sz w:val="32"/>
          <w:szCs w:val="32"/>
        </w:rPr>
        <w:t>​</w:t>
      </w:r>
    </w:p>
    <w:p w14:paraId="1BCD6FB3">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为确保专项预算资金分配科学合理，我局建立了 “因素法 + 项目法” 相结合的分配机制。在资金分配过程中，综合考虑区域经济发展水平、项目需求迫切程度、前期工作准备情况、绩效评价结果等因素。例如，在农村危房改造专项资金分配中，重点向危房数量较多的地区倾斜，同时参考上一年度该地区危房改造项目的绩效评价结果，绩效评价优秀的地区适当增加资金分配额度；在城市基础设施建设专项资金分配中，根据项目的重要性、紧迫性和可行性，采用项目法进行分配，确保资金向重点项目、急需项目倾斜。本年度专项预算资金分配过程中，未出现 “平均分配”“盲目分配” 的情况，资金分配的科学性和公平性得到了各相关单位的认可。​</w:t>
      </w:r>
    </w:p>
    <w:p w14:paraId="294419C2">
      <w:pPr>
        <w:spacing w:line="580" w:lineRule="exact"/>
        <w:ind w:firstLine="643" w:firstLineChars="200"/>
        <w:rPr>
          <w:rFonts w:hint="eastAsia" w:ascii="仿宋_GB2312" w:hAnsi="仿宋_GB2312" w:eastAsia="仿宋_GB2312" w:cs="仿宋_GB2312"/>
          <w:b w:val="0"/>
          <w:bCs w:val="0"/>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专项预算绩效目标完成</w:t>
      </w:r>
      <w:r>
        <w:rPr>
          <w:rFonts w:hint="eastAsia" w:ascii="仿宋_GB2312" w:hAnsi="仿宋_GB2312" w:eastAsia="仿宋_GB2312" w:cs="仿宋_GB2312"/>
          <w:b w:val="0"/>
          <w:bCs w:val="0"/>
          <w:sz w:val="32"/>
          <w:szCs w:val="32"/>
        </w:rPr>
        <w:t>​</w:t>
      </w:r>
    </w:p>
    <w:p w14:paraId="6B218D59">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专项预算绩效目标完成情况总体良好。截至期末，</w:t>
      </w:r>
      <w:r>
        <w:rPr>
          <w:rFonts w:hint="eastAsia" w:ascii="仿宋_GB2312" w:hAnsi="仿宋_GB2312" w:eastAsia="仿宋_GB2312" w:cs="仿宋_GB2312"/>
          <w:b w:val="0"/>
          <w:bCs w:val="0"/>
          <w:sz w:val="32"/>
          <w:szCs w:val="32"/>
          <w:lang w:val="en-US" w:eastAsia="zh-CN"/>
        </w:rPr>
        <w:t>16</w:t>
      </w:r>
      <w:r>
        <w:rPr>
          <w:rFonts w:hint="eastAsia" w:ascii="仿宋_GB2312" w:hAnsi="仿宋_GB2312" w:eastAsia="仿宋_GB2312" w:cs="仿宋_GB2312"/>
          <w:b w:val="0"/>
          <w:bCs w:val="0"/>
          <w:sz w:val="32"/>
          <w:szCs w:val="32"/>
        </w:rPr>
        <w:t xml:space="preserve"> 个专项预算项目中，有 </w:t>
      </w:r>
      <w:r>
        <w:rPr>
          <w:rFonts w:hint="eastAsia" w:ascii="仿宋_GB2312" w:hAnsi="仿宋_GB2312" w:eastAsia="仿宋_GB2312" w:cs="仿宋_GB2312"/>
          <w:b w:val="0"/>
          <w:bCs w:val="0"/>
          <w:sz w:val="32"/>
          <w:szCs w:val="32"/>
          <w:lang w:val="en-US" w:eastAsia="zh-CN"/>
        </w:rPr>
        <w:t>16</w:t>
      </w:r>
      <w:r>
        <w:rPr>
          <w:rFonts w:hint="eastAsia" w:ascii="仿宋_GB2312" w:hAnsi="仿宋_GB2312" w:eastAsia="仿宋_GB2312" w:cs="仿宋_GB2312"/>
          <w:b w:val="0"/>
          <w:bCs w:val="0"/>
          <w:sz w:val="32"/>
          <w:szCs w:val="32"/>
        </w:rPr>
        <w:t xml:space="preserve"> 个项目完成了绩效目标，完成率达到 </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w:t>
      </w:r>
    </w:p>
    <w:p w14:paraId="32849C1C">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.实施绩效​</w:t>
      </w:r>
    </w:p>
    <w:p w14:paraId="71F9DEE7">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专项预算项目实施绩效显著，在推动住房和城乡建设事业发展、改善民生、促进经济增长等方面发挥了重要作用。在民生改善方面，通过老旧小区改造等专项项目，改善了居民的居住条件；在城市功能提升方面，城市道路、桥梁、污水处理厂等基础设施专项项目的实施，提高了城市承载能力和运行效率。​</w:t>
      </w:r>
    </w:p>
    <w:p w14:paraId="5036A18E">
      <w:pPr>
        <w:spacing w:line="580" w:lineRule="exact"/>
        <w:ind w:firstLine="643" w:firstLineChars="200"/>
        <w:rPr>
          <w:rFonts w:hint="eastAsia" w:ascii="仿宋_GB2312" w:hAnsi="仿宋_GB2312" w:eastAsia="仿宋_GB2312" w:cs="仿宋_GB2312"/>
          <w:b w:val="0"/>
          <w:bCs w:val="0"/>
          <w:sz w:val="32"/>
          <w:szCs w:val="32"/>
        </w:rPr>
      </w:pP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.违规记录</w:t>
      </w:r>
      <w:r>
        <w:rPr>
          <w:rFonts w:hint="eastAsia" w:ascii="仿宋_GB2312" w:hAnsi="仿宋_GB2312" w:eastAsia="仿宋_GB2312" w:cs="仿宋_GB2312"/>
          <w:b w:val="0"/>
          <w:bCs w:val="0"/>
          <w:sz w:val="32"/>
          <w:szCs w:val="32"/>
        </w:rPr>
        <w:t>​</w:t>
      </w:r>
    </w:p>
    <w:p w14:paraId="08B9797A">
      <w:pPr>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加强专项预算资金管理，防范违规行为，我局建立了全方位的监督检查机制。定期组织专项预算资金使用情况检查，联合财政、审计等部门开展专项督查，对发现的问题及时督促整改。同时，加强对项目实施单位的廉政教育，提高工作人员的合规意识。本年度未发现专项预算管理方面的违规行为，如虚报冒领、截留挪用专项资金等情况，专项预算资金使用规范、安全。</w:t>
      </w:r>
    </w:p>
    <w:p w14:paraId="38F77A6E">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（三）结果应用情况。</w:t>
      </w:r>
    </w:p>
    <w:p w14:paraId="250B08FD">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预算绩效管理结果应用是预算绩效管理的 “最后一公里”，直接关系到预算绩效管理的成效。我局高度重视结果应用工作，将评价结果与预算编制、项目管理、整改提升等相结合，充分发挥评价结果的导向作用。​</w:t>
      </w:r>
    </w:p>
    <w:p w14:paraId="6EDCCEFC">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1.部门自评质量</w:t>
      </w:r>
      <w:r>
        <w:rPr>
          <w:rFonts w:hint="eastAsia" w:ascii="仿宋_GB2312" w:hAnsi="黑体" w:eastAsia="仿宋_GB2312" w:cs="黑体"/>
          <w:sz w:val="32"/>
          <w:szCs w:val="32"/>
        </w:rPr>
        <w:t>​</w:t>
      </w:r>
    </w:p>
    <w:p w14:paraId="475614E7">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 xml:space="preserve">建立了规范的部门自评工作机制，明确自评主体、自评内容、自评方法和自评时限。在自评过程中，要求各科室、各项目实施单位严格按照绩效评价指标体系，对预算项目的实施过程、绩效目标完成情况、资金使用效率等进行全面、客观、真实的评价。同时，引入第三方机构对部门自评工作进行指导和审核，提高自评质量。本年度部门自评报告合格率达到 </w:t>
      </w:r>
      <w:r>
        <w:rPr>
          <w:rFonts w:hint="eastAsia" w:ascii="仿宋_GB2312" w:hAnsi="黑体" w:eastAsia="仿宋_GB2312" w:cs="黑体"/>
          <w:sz w:val="32"/>
          <w:szCs w:val="32"/>
          <w:lang w:val="en-US" w:eastAsia="zh-CN"/>
        </w:rPr>
        <w:t>100</w:t>
      </w:r>
      <w:r>
        <w:rPr>
          <w:rFonts w:hint="eastAsia" w:ascii="仿宋_GB2312" w:hAnsi="黑体" w:eastAsia="仿宋_GB2312" w:cs="黑体"/>
          <w:sz w:val="32"/>
          <w:szCs w:val="32"/>
        </w:rPr>
        <w:t>%</w:t>
      </w:r>
      <w:r>
        <w:rPr>
          <w:rFonts w:hint="eastAsia" w:ascii="仿宋_GB2312" w:hAnsi="黑体" w:eastAsia="仿宋_GB2312" w:cs="黑体"/>
          <w:sz w:val="32"/>
          <w:szCs w:val="32"/>
          <w:lang w:eastAsia="zh-CN"/>
        </w:rPr>
        <w:t>，自评得分</w:t>
      </w:r>
      <w:r>
        <w:rPr>
          <w:rFonts w:hint="eastAsia" w:ascii="仿宋_GB2312" w:hAnsi="黑体" w:eastAsia="仿宋_GB2312" w:cs="黑体"/>
          <w:sz w:val="32"/>
          <w:szCs w:val="32"/>
          <w:lang w:val="en-US" w:eastAsia="zh-CN"/>
        </w:rPr>
        <w:t>93.61分。</w:t>
      </w:r>
      <w:r>
        <w:rPr>
          <w:rFonts w:hint="eastAsia" w:ascii="仿宋_GB2312" w:hAnsi="黑体" w:eastAsia="仿宋_GB2312" w:cs="黑体"/>
          <w:sz w:val="32"/>
          <w:szCs w:val="32"/>
        </w:rPr>
        <w:t>自评结果真实反映了预算项目的实际情况，为后续结果应用奠定了坚实基础。</w:t>
      </w:r>
    </w:p>
    <w:p w14:paraId="4EE85254">
      <w:pPr>
        <w:spacing w:line="580" w:lineRule="exact"/>
        <w:ind w:firstLine="643" w:firstLineChars="200"/>
        <w:rPr>
          <w:rFonts w:hint="eastAsia" w:ascii="仿宋_GB2312" w:hAnsi="黑体" w:eastAsia="仿宋_GB2312" w:cs="黑体"/>
          <w:b/>
          <w:bCs/>
          <w:sz w:val="32"/>
          <w:szCs w:val="32"/>
        </w:rPr>
      </w:pPr>
      <w:r>
        <w:rPr>
          <w:rFonts w:hint="eastAsia" w:ascii="仿宋_GB2312" w:hAnsi="黑体" w:eastAsia="仿宋_GB2312" w:cs="黑体"/>
          <w:b/>
          <w:bCs/>
          <w:sz w:val="32"/>
          <w:szCs w:val="32"/>
        </w:rPr>
        <w:t>2.绩效目标公开和自评公开​</w:t>
      </w:r>
    </w:p>
    <w:p w14:paraId="78045C6D">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为增强预算绩效管理的透明度，我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按照相关规定，及时公开绩效目标和自评结果。在预算编制阶段，将部门整体绩效目标和各项目绩效目标在政府门户网站进行公开，接受社会监督；在预算执行结束后，将部门自评报告和重点项目绩效评价报告在规定时间内公开，公开内容包括项目基本情况、绩效目标完成情况、存在的问题及整改措施等。通过公开，广泛接受社会各界的监督，提高了部门预算绩效管理的公信力。​</w:t>
      </w:r>
    </w:p>
    <w:p w14:paraId="07D6719D">
      <w:pPr>
        <w:spacing w:line="580" w:lineRule="exact"/>
        <w:ind w:firstLine="643" w:firstLineChars="200"/>
        <w:rPr>
          <w:rFonts w:hint="eastAsia" w:ascii="仿宋_GB2312" w:hAnsi="黑体" w:eastAsia="仿宋_GB2312" w:cs="黑体"/>
          <w:b/>
          <w:bCs/>
          <w:sz w:val="32"/>
          <w:szCs w:val="32"/>
        </w:rPr>
      </w:pPr>
      <w:r>
        <w:rPr>
          <w:rFonts w:hint="eastAsia" w:ascii="仿宋_GB2312" w:hAnsi="黑体" w:eastAsia="仿宋_GB2312" w:cs="黑体"/>
          <w:b/>
          <w:bCs/>
          <w:sz w:val="32"/>
          <w:szCs w:val="32"/>
        </w:rPr>
        <w:t>3.评价结果整改​</w:t>
      </w:r>
    </w:p>
    <w:p w14:paraId="03F149D0">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对于绩效评价中发现的问题，我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建立了 “问题清单 + 整改台账 + 销号管理” 的整改机制。针对评价报告中指出的问题，及时组织相关科室和项目实施单位制定整改方案，明确整改责任人、整改措施和整改时限；建立整改台账，对整改情况进行跟踪记录，确保问题整改到位。​</w:t>
      </w:r>
    </w:p>
    <w:p w14:paraId="573682D3">
      <w:pPr>
        <w:spacing w:line="580" w:lineRule="exact"/>
        <w:ind w:firstLine="643" w:firstLineChars="200"/>
        <w:rPr>
          <w:rFonts w:hint="eastAsia" w:ascii="仿宋_GB2312" w:hAnsi="黑体" w:eastAsia="仿宋_GB2312" w:cs="黑体"/>
          <w:sz w:val="32"/>
          <w:szCs w:val="32"/>
        </w:rPr>
      </w:pPr>
      <w:r>
        <w:rPr>
          <w:rFonts w:hint="eastAsia" w:ascii="仿宋_GB2312" w:hAnsi="黑体" w:eastAsia="仿宋_GB2312" w:cs="黑体"/>
          <w:b/>
          <w:bCs/>
          <w:sz w:val="32"/>
          <w:szCs w:val="32"/>
        </w:rPr>
        <w:t>4.应用结果反馈</w:t>
      </w:r>
      <w:r>
        <w:rPr>
          <w:rFonts w:hint="eastAsia" w:ascii="仿宋_GB2312" w:hAnsi="黑体" w:eastAsia="仿宋_GB2312" w:cs="黑体"/>
          <w:sz w:val="32"/>
          <w:szCs w:val="32"/>
        </w:rPr>
        <w:t>​</w:t>
      </w:r>
    </w:p>
    <w:p w14:paraId="2B5EAE13">
      <w:p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我</w:t>
      </w:r>
      <w:r>
        <w:rPr>
          <w:rFonts w:hint="eastAsia" w:ascii="仿宋_GB2312" w:hAnsi="黑体" w:eastAsia="仿宋_GB2312" w:cs="黑体"/>
          <w:sz w:val="32"/>
          <w:szCs w:val="32"/>
          <w:lang w:eastAsia="zh-CN"/>
        </w:rPr>
        <w:t>单位</w:t>
      </w:r>
      <w:r>
        <w:rPr>
          <w:rFonts w:hint="eastAsia" w:ascii="仿宋_GB2312" w:hAnsi="黑体" w:eastAsia="仿宋_GB2312" w:cs="黑体"/>
          <w:sz w:val="32"/>
          <w:szCs w:val="32"/>
        </w:rPr>
        <w:t>建立了完善的应用结果反馈机制，将绩效评价结果及时反馈给相关科室、项目实施单位以及上级主管部门。反馈内容包括评价结果、存在的问题、整改要求以及改进建议等。同时，将绩效评价结果作为预算编制、项目立项的重要依据。在预算编制方面，对绩效评价优秀的项目，在后续预算安排中优先给予支持；对绩效评价较差的项目，减少预算额度。通过结果反馈和应用，有效提升了部门预算管理水平和工作效率。</w:t>
      </w:r>
    </w:p>
    <w:p w14:paraId="7598C70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四、评价结论及建议</w:t>
      </w:r>
    </w:p>
    <w:p w14:paraId="28626ABE">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14:paraId="11DE9E8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w:t>
      </w:r>
      <w:r>
        <w:rPr>
          <w:rFonts w:hint="eastAsia" w:ascii="仿宋_GB2312" w:hAnsi="仿宋_GB2312" w:eastAsia="仿宋_GB2312" w:cs="仿宋_GB2312"/>
          <w:sz w:val="32"/>
          <w:szCs w:val="32"/>
          <w:lang w:eastAsia="zh-CN"/>
        </w:rPr>
        <w:t>过对黑水县建筑工程质量安全监督站</w:t>
      </w:r>
      <w:r>
        <w:rPr>
          <w:rFonts w:hint="eastAsia" w:ascii="仿宋_GB2312" w:hAnsi="仿宋_GB2312" w:eastAsia="仿宋_GB2312" w:cs="仿宋_GB2312"/>
          <w:sz w:val="32"/>
          <w:szCs w:val="32"/>
        </w:rPr>
        <w:t>部门整体预算绩效的全面评估，本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在预算执行规范性、项目实施成效及社会效益提升方面取得了显著成果。202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年度预算资金执行率达到 </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%，同时，预算管理制度不断完善，绩效监控机制逐步健全，为财政资金的高效使用提供了有力保障。但在预算编制精准度、跨部门协同效率及部分项目后期运维管理等方面仍存在优化空间。</w:t>
      </w:r>
    </w:p>
    <w:p w14:paraId="33F9F449">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（二）改进建议</w:t>
      </w:r>
    </w:p>
    <w:p w14:paraId="36533F0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强化预算编制科学性：建立数据共享机制，结合历史执行数据与行业发展趋势，细化项目支出标准，提高预算编制的精准度和前瞻性。</w:t>
      </w:r>
    </w:p>
    <w:p w14:paraId="144DB18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优化项目管理流程：推行全周期绩效管理，在项目立项、实施、验收各环节设置量化考核指标，引入第三方评估机构开展动态监督，确保项目执行质量。</w:t>
      </w:r>
    </w:p>
    <w:p w14:paraId="2CD64DDC">
      <w:pPr>
        <w:spacing w:line="580" w:lineRule="exact"/>
        <w:ind w:firstLine="640" w:firstLineChars="200"/>
        <w:rPr>
          <w:rFonts w:ascii="仿宋_GB2312" w:hAnsi="仿宋_GB2312" w:eastAsia="仿宋_GB2312" w:cs="仿宋_GB2312"/>
          <w:sz w:val="32"/>
          <w:szCs w:val="32"/>
        </w:rPr>
      </w:pPr>
    </w:p>
    <w:p w14:paraId="17D7E78B">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AAAA3"/>
    <w:multiLevelType w:val="singleLevel"/>
    <w:tmpl w:val="98AAAAA3"/>
    <w:lvl w:ilvl="0" w:tentative="0">
      <w:start w:val="2"/>
      <w:numFmt w:val="chineseCounting"/>
      <w:suff w:val="nothing"/>
      <w:lvlText w:val="（%1）"/>
      <w:lvlJc w:val="left"/>
      <w:rPr>
        <w:rFonts w:hint="eastAsia"/>
      </w:rPr>
    </w:lvl>
  </w:abstractNum>
  <w:abstractNum w:abstractNumId="1">
    <w:nsid w:val="EA4D58C6"/>
    <w:multiLevelType w:val="singleLevel"/>
    <w:tmpl w:val="EA4D58C6"/>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91B22"/>
    <w:rsid w:val="00291808"/>
    <w:rsid w:val="00491B22"/>
    <w:rsid w:val="0052390C"/>
    <w:rsid w:val="00FA64D8"/>
    <w:rsid w:val="34EB1F43"/>
    <w:rsid w:val="36435EC2"/>
    <w:rsid w:val="43EB7E23"/>
    <w:rsid w:val="4DD97D2F"/>
    <w:rsid w:val="4EA82603"/>
    <w:rsid w:val="60D032A5"/>
    <w:rsid w:val="68823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Body Text"/>
    <w:basedOn w:val="1"/>
    <w:qFormat/>
    <w:uiPriority w:val="0"/>
    <w:pPr>
      <w:spacing w:after="120"/>
    </w:p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Body Text First Indent"/>
    <w:basedOn w:val="4"/>
    <w:qFormat/>
    <w:uiPriority w:val="0"/>
    <w:pPr>
      <w:ind w:firstLine="664"/>
    </w:pPr>
    <w:rPr>
      <w:rFonts w:ascii="Calibri" w:hAnsi="Calibri" w:eastAsia="宋体" w:cs="Times New Roman"/>
    </w:r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8</Pages>
  <Words>3805</Words>
  <Characters>3970</Characters>
  <Lines>2</Lines>
  <Paragraphs>1</Paragraphs>
  <TotalTime>27</TotalTime>
  <ScaleCrop>false</ScaleCrop>
  <LinksUpToDate>false</LinksUpToDate>
  <CharactersWithSpaces>4003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顺近思</cp:lastModifiedBy>
  <dcterms:modified xsi:type="dcterms:W3CDTF">2025-08-29T04:37:59Z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3115989309D741DA945EE44A488D69E1</vt:lpwstr>
  </property>
  <property fmtid="{D5CDD505-2E9C-101B-9397-08002B2CF9AE}" pid="4" name="KSOTemplateDocerSaveRecord">
    <vt:lpwstr>eyJoZGlkIjoiYmE0NGJhNTNkY2M3NjQzYjllOGRmZTQ1Mjc0ZjllODAiLCJ1c2VySWQiOiI1NjcwNTYxOTMifQ==</vt:lpwstr>
  </property>
</Properties>
</file>