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5E992">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rPr>
        <w:t>2024年</w:t>
      </w:r>
      <w:r>
        <w:rPr>
          <w:rFonts w:hint="eastAsia" w:asciiTheme="majorEastAsia" w:hAnsiTheme="majorEastAsia" w:eastAsiaTheme="majorEastAsia" w:cstheme="majorEastAsia"/>
          <w:b/>
          <w:bCs/>
          <w:sz w:val="44"/>
          <w:szCs w:val="44"/>
          <w:lang w:val="en-US" w:eastAsia="zh-CN"/>
        </w:rPr>
        <w:t>5个老旧小区改造项目</w:t>
      </w:r>
    </w:p>
    <w:p w14:paraId="5011B1BE">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支出绩效评价报告​</w:t>
      </w:r>
    </w:p>
    <w:p w14:paraId="526F851C">
      <w:pPr>
        <w:rPr>
          <w:rFonts w:hint="eastAsia" w:ascii="仿宋_GB2312" w:hAnsi="仿宋_GB2312" w:eastAsia="仿宋_GB2312" w:cs="仿宋_GB2312"/>
          <w:sz w:val="32"/>
          <w:szCs w:val="32"/>
        </w:rPr>
      </w:pPr>
    </w:p>
    <w:p w14:paraId="0C948ECC">
      <w:pPr>
        <w:rPr>
          <w:rFonts w:hint="eastAsia" w:ascii="黑体" w:hAnsi="黑体" w:eastAsia="黑体" w:cs="黑体"/>
          <w:sz w:val="32"/>
          <w:szCs w:val="32"/>
        </w:rPr>
      </w:pPr>
      <w:r>
        <w:rPr>
          <w:rFonts w:hint="eastAsia" w:ascii="黑体" w:hAnsi="黑体" w:eastAsia="黑体" w:cs="黑体"/>
          <w:sz w:val="32"/>
          <w:szCs w:val="32"/>
        </w:rPr>
        <w:t>一、评价工作开展及项目情况​</w:t>
      </w:r>
    </w:p>
    <w:p w14:paraId="1E2859BF">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0941947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050E452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color w:val="auto"/>
          <w:sz w:val="32"/>
          <w:szCs w:val="32"/>
          <w:lang w:val="zh-CN" w:eastAsia="zh-CN"/>
        </w:rPr>
        <w:t>资金来源为中央财政城镇保障性安居工程补助资金及省级民生实事项目资金，</w:t>
      </w:r>
      <w:r>
        <w:rPr>
          <w:rFonts w:hint="eastAsia" w:ascii="仿宋_GB2312" w:hAnsi="仿宋_GB2312" w:eastAsia="仿宋_GB2312" w:cs="仿宋_GB2312"/>
          <w:color w:val="auto"/>
          <w:sz w:val="32"/>
          <w:szCs w:val="32"/>
          <w:lang w:val="en-US" w:eastAsia="zh-CN"/>
        </w:rPr>
        <w:t xml:space="preserve">城镇老旧小区改造是一项重大民生工程，对满足人民群众美好生活需要，改善居住环境，加快城镇化进程，提升城市形象为目的建设项目。 </w:t>
      </w:r>
      <w:r>
        <w:rPr>
          <w:rFonts w:hint="eastAsia" w:ascii="仿宋_GB2312" w:hAnsi="仿宋_GB2312" w:eastAsia="仿宋_GB2312" w:cs="仿宋_GB2312"/>
          <w:kern w:val="0"/>
          <w:sz w:val="32"/>
          <w:szCs w:val="32"/>
          <w:lang w:val="en-US" w:eastAsia="zh-CN"/>
        </w:rPr>
        <w:t xml:space="preserve">      </w:t>
      </w:r>
    </w:p>
    <w:p w14:paraId="10BCFA8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2035FEBC">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color w:val="auto"/>
          <w:sz w:val="32"/>
          <w:szCs w:val="32"/>
          <w:lang w:val="zh-CN" w:eastAsia="zh-CN"/>
        </w:rPr>
        <w:t>项目的完成有利于满足居民生活需要，提升了城市形象，提高城市功能等。</w:t>
      </w:r>
      <w:r>
        <w:rPr>
          <w:rFonts w:hint="eastAsia" w:ascii="仿宋_GB2312" w:hAnsi="仿宋_GB2312" w:eastAsia="仿宋_GB2312" w:cs="仿宋_GB2312"/>
          <w:color w:val="auto"/>
          <w:sz w:val="32"/>
          <w:szCs w:val="32"/>
          <w:lang w:val="en-US" w:eastAsia="zh-CN"/>
        </w:rPr>
        <w:t xml:space="preserve"> </w:t>
      </w:r>
    </w:p>
    <w:p w14:paraId="5098AE7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535F607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项目改造了黑水县市场监督管理局住宿楼、电力公司住宿楼、五金社及周边等3个老旧小区、改造72户，建筑面积0.578万平方米。</w:t>
      </w:r>
    </w:p>
    <w:p w14:paraId="2B0127C4">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658F6FE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10B9F4CC">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2A509946">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35AB31C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4FB055F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3586123C">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项目实施主要是为了</w:t>
      </w:r>
      <w:r>
        <w:rPr>
          <w:rFonts w:hint="eastAsia" w:ascii="仿宋_GB2312" w:hAnsi="仿宋_GB2312" w:eastAsia="仿宋_GB2312" w:cs="仿宋_GB2312"/>
          <w:color w:val="auto"/>
          <w:sz w:val="32"/>
          <w:szCs w:val="32"/>
          <w:lang w:val="zh-CN" w:eastAsia="zh-CN"/>
        </w:rPr>
        <w:t>项目的完成有利于满足居民生活需要，提升了城市形象，提高城市功能等。</w:t>
      </w:r>
      <w:r>
        <w:rPr>
          <w:rFonts w:hint="eastAsia" w:ascii="仿宋_GB2312" w:hAnsi="仿宋_GB2312" w:eastAsia="仿宋_GB2312" w:cs="仿宋_GB2312"/>
          <w:kern w:val="0"/>
          <w:sz w:val="32"/>
          <w:szCs w:val="32"/>
          <w:lang w:val="en-US" w:eastAsia="zh-CN"/>
        </w:rPr>
        <w:t>本次项目的主要任务就是</w:t>
      </w:r>
      <w:r>
        <w:rPr>
          <w:rFonts w:hint="eastAsia" w:ascii="仿宋_GB2312" w:hAnsi="仿宋_GB2312" w:eastAsia="仿宋_GB2312" w:cs="仿宋_GB2312"/>
          <w:color w:val="auto"/>
          <w:sz w:val="32"/>
          <w:szCs w:val="32"/>
          <w:lang w:val="zh-CN" w:eastAsia="zh-CN"/>
        </w:rPr>
        <w:t>改造了黑水县市场监督管理局住宿楼、电力公司住宿楼、五金社及周边等3个老旧小区、改造72户，建筑面积0.578万平方米。</w:t>
      </w:r>
    </w:p>
    <w:p w14:paraId="1DDEDEC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0DA4F6D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该项目资金主要用于黑水县2024年5个老旧小区改造项目支出费用。</w:t>
      </w:r>
    </w:p>
    <w:p w14:paraId="70D749C4">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5CF4CF04">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128518C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sz w:val="32"/>
          <w:szCs w:val="32"/>
          <w:lang w:val="zh-CN" w:eastAsia="zh-CN"/>
        </w:rPr>
        <w:t>该项目预算总投资</w:t>
      </w:r>
      <w:r>
        <w:rPr>
          <w:rFonts w:hint="eastAsia" w:ascii="仿宋_GB2312" w:hAnsi="仿宋_GB2312" w:eastAsia="仿宋_GB2312" w:cs="仿宋_GB2312"/>
          <w:color w:val="auto"/>
          <w:sz w:val="32"/>
          <w:szCs w:val="32"/>
          <w:lang w:val="en-US" w:eastAsia="zh-CN"/>
        </w:rPr>
        <w:t>55万元，其中，建设工程费用49.44万元，工程建设其他费用5.56万元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66B6015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40F36A7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138493A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5D2D35A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auto"/>
          <w:sz w:val="32"/>
          <w:szCs w:val="32"/>
          <w:lang w:val="zh-CN" w:eastAsia="zh-CN"/>
        </w:rPr>
        <w:t>该项目预算总投资</w:t>
      </w:r>
      <w:r>
        <w:rPr>
          <w:rFonts w:hint="eastAsia" w:ascii="仿宋_GB2312" w:hAnsi="仿宋_GB2312" w:eastAsia="仿宋_GB2312" w:cs="仿宋_GB2312"/>
          <w:color w:val="auto"/>
          <w:sz w:val="32"/>
          <w:szCs w:val="32"/>
          <w:lang w:val="en-US" w:eastAsia="zh-CN"/>
        </w:rPr>
        <w:t>55万元，其中，建设工程费用49.44万元，工程建设其他费用5.56万元</w:t>
      </w:r>
      <w:r>
        <w:rPr>
          <w:rFonts w:hint="eastAsia" w:ascii="仿宋_GB2312" w:hAnsi="仿宋_GB2312" w:eastAsia="仿宋_GB2312" w:cs="仿宋_GB2312"/>
          <w:kern w:val="0"/>
          <w:sz w:val="32"/>
          <w:szCs w:val="32"/>
        </w:rPr>
        <w:t>，来源为</w:t>
      </w:r>
      <w:r>
        <w:rPr>
          <w:rFonts w:hint="eastAsia" w:ascii="仿宋_GB2312" w:hAnsi="仿宋_GB2312" w:eastAsia="仿宋_GB2312" w:cs="仿宋_GB2312"/>
          <w:color w:val="auto"/>
          <w:sz w:val="32"/>
          <w:szCs w:val="32"/>
          <w:lang w:val="zh-CN" w:eastAsia="zh-CN"/>
        </w:rPr>
        <w:t>中央财政城镇保障性安居工程补助资金及省级民生实事项目资金</w:t>
      </w:r>
      <w:r>
        <w:rPr>
          <w:rFonts w:hint="eastAsia" w:ascii="仿宋_GB2312" w:hAnsi="仿宋_GB2312" w:eastAsia="仿宋_GB2312" w:cs="仿宋_GB2312"/>
          <w:kern w:val="0"/>
          <w:sz w:val="32"/>
          <w:szCs w:val="32"/>
        </w:rPr>
        <w:t>，资金分配额度合理，与项目单位实际相适应。</w:t>
      </w:r>
      <w:r>
        <w:rPr>
          <w:rFonts w:hint="eastAsia" w:ascii="仿宋_GB2312" w:hAnsi="仿宋_GB2312" w:eastAsia="仿宋_GB2312" w:cs="仿宋_GB2312"/>
          <w:kern w:val="0"/>
          <w:sz w:val="32"/>
          <w:szCs w:val="32"/>
          <w:lang w:val="en-US" w:eastAsia="zh-CN"/>
        </w:rPr>
        <w:t>目前项目资金按照项目进度正常拨付，支付范围为项目工程建设费用，支付依据合规合法，与预算相符。</w:t>
      </w:r>
    </w:p>
    <w:p w14:paraId="617B11FE">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40E86AB4">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项目实施主要是为了</w:t>
      </w:r>
      <w:r>
        <w:rPr>
          <w:rFonts w:hint="eastAsia" w:ascii="仿宋_GB2312" w:hAnsi="仿宋_GB2312" w:eastAsia="仿宋_GB2312" w:cs="仿宋_GB2312"/>
          <w:color w:val="auto"/>
          <w:sz w:val="32"/>
          <w:szCs w:val="32"/>
          <w:lang w:val="zh-CN" w:eastAsia="zh-CN"/>
        </w:rPr>
        <w:t>项目的完成有利于满足居民生活需要，提升了城市形象，提高城市功能等。</w:t>
      </w:r>
      <w:r>
        <w:rPr>
          <w:rFonts w:hint="eastAsia" w:ascii="仿宋_GB2312" w:hAnsi="仿宋_GB2312" w:eastAsia="仿宋_GB2312" w:cs="仿宋_GB2312"/>
          <w:kern w:val="0"/>
          <w:sz w:val="32"/>
          <w:szCs w:val="32"/>
          <w:lang w:val="en-US" w:eastAsia="zh-CN"/>
        </w:rPr>
        <w:t>本次项目的主要任务就是</w:t>
      </w:r>
      <w:r>
        <w:rPr>
          <w:rFonts w:hint="eastAsia" w:ascii="仿宋_GB2312" w:hAnsi="仿宋_GB2312" w:eastAsia="仿宋_GB2312" w:cs="仿宋_GB2312"/>
          <w:color w:val="auto"/>
          <w:sz w:val="32"/>
          <w:szCs w:val="32"/>
          <w:lang w:val="zh-CN" w:eastAsia="zh-CN"/>
        </w:rPr>
        <w:t>改造了黑水县市场监督管理局住宿楼、电力公司住宿楼、五金社及周边等3个老旧小区、改造72户，建筑面积0.578万平方米。</w:t>
      </w:r>
    </w:p>
    <w:p w14:paraId="36B181B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14:paraId="76F29B3A">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1756F7C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eastAsia="zh-CN"/>
        </w:rPr>
        <w:t>根据黑财（</w:t>
      </w: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30号文件</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各部门（单位）开展项目绩效评价工作</w:t>
      </w:r>
      <w:r>
        <w:rPr>
          <w:rFonts w:hint="eastAsia" w:ascii="仿宋_GB2312" w:hAnsi="仿宋_GB2312" w:eastAsia="仿宋_GB2312" w:cs="仿宋_GB2312"/>
          <w:kern w:val="0"/>
          <w:sz w:val="32"/>
          <w:szCs w:val="32"/>
        </w:rPr>
        <w:t>。通过本次评价总结经验，发现问题，提出改进建议，进一步提升加强项目支出绩效管理水平、提升预算管理水平、提升项目管理水平。</w:t>
      </w:r>
    </w:p>
    <w:p w14:paraId="37C85904">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702074C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05616648">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0A98405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eastAsia="zh-CN"/>
        </w:rPr>
        <w:t>黑水县财政局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5986314A">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3623959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2EAED93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1C2CE35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1D73A77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59B95AA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35E11AC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1465F28E">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13B0E40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7226970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6F09091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690A849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0492730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30D4C7C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4AB7F1B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603BC16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6B1A4FF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18E3011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7C1DBD6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137B60D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34D8EF3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42FD8AA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14:paraId="2C745B05">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62223E9C">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1E7EA5C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682765F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0247225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04DAF26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lang w:eastAsia="zh-CN"/>
        </w:rPr>
        <w:t>但部门绩效存在设置不规范的情况，扣</w:t>
      </w:r>
      <w:r>
        <w:rPr>
          <w:rFonts w:hint="eastAsia" w:ascii="仿宋_GB2312" w:hAnsi="仿宋_GB2312" w:eastAsia="仿宋_GB2312" w:cs="仿宋_GB2312"/>
          <w:kern w:val="0"/>
          <w:sz w:val="32"/>
          <w:szCs w:val="32"/>
          <w:lang w:val="en-US" w:eastAsia="zh-CN"/>
        </w:rPr>
        <w:t>2分，</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分。</w:t>
      </w:r>
    </w:p>
    <w:p w14:paraId="217E4A6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526F866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5176681D">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5E9C29E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5BACE48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175632D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2A54058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29E1B0E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0DA09B0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6D1E6FD8">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51CA9D7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165E2AD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w:t>
      </w:r>
      <w:r>
        <w:rPr>
          <w:rFonts w:hint="eastAsia" w:ascii="仿宋_GB2312" w:hAnsi="仿宋_GB2312" w:eastAsia="仿宋_GB2312" w:cs="仿宋_GB2312"/>
          <w:kern w:val="0"/>
          <w:sz w:val="32"/>
          <w:szCs w:val="32"/>
          <w:lang w:eastAsia="zh-CN"/>
        </w:rPr>
        <w:t>拨付</w:t>
      </w:r>
      <w:r>
        <w:rPr>
          <w:rFonts w:hint="eastAsia" w:ascii="仿宋_GB2312" w:hAnsi="仿宋_GB2312" w:eastAsia="仿宋_GB2312" w:cs="仿宋_GB2312"/>
          <w:kern w:val="0"/>
          <w:sz w:val="32"/>
          <w:szCs w:val="32"/>
          <w:lang w:val="en-US" w:eastAsia="zh-CN"/>
        </w:rPr>
        <w:t>12.972万元</w:t>
      </w:r>
      <w:r>
        <w:rPr>
          <w:rFonts w:hint="eastAsia" w:ascii="仿宋_GB2312" w:hAnsi="仿宋_GB2312" w:eastAsia="仿宋_GB2312" w:cs="仿宋_GB2312"/>
          <w:kern w:val="0"/>
          <w:sz w:val="32"/>
          <w:szCs w:val="32"/>
        </w:rPr>
        <w:t>，拨付率</w:t>
      </w:r>
      <w:r>
        <w:rPr>
          <w:rFonts w:hint="eastAsia" w:ascii="仿宋_GB2312" w:hAnsi="仿宋_GB2312" w:eastAsia="仿宋_GB2312" w:cs="仿宋_GB2312"/>
          <w:kern w:val="0"/>
          <w:sz w:val="32"/>
          <w:szCs w:val="32"/>
          <w:lang w:val="en-US" w:eastAsia="zh-CN"/>
        </w:rPr>
        <w:t>30</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分。</w:t>
      </w:r>
    </w:p>
    <w:p w14:paraId="480BE02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13F5C0F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09ADD3BE">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41D9985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4AD4B6A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4E146EB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3EFFE46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4303A616">
      <w:pPr>
        <w:keepNext w:val="0"/>
        <w:keepLines w:val="0"/>
        <w:pageBreakBefore w:val="0"/>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321AE99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0"/>
          <w:sz w:val="32"/>
          <w:szCs w:val="32"/>
          <w:highlight w:val="none"/>
          <w:lang w:val="en-US"/>
        </w:rPr>
      </w:pPr>
      <w:r>
        <w:rPr>
          <w:rFonts w:hint="eastAsia" w:ascii="仿宋_GB2312" w:hAnsi="仿宋_GB2312" w:eastAsia="仿宋_GB2312" w:cs="仿宋_GB2312"/>
          <w:kern w:val="0"/>
          <w:sz w:val="32"/>
          <w:szCs w:val="32"/>
          <w:lang w:val="en-US" w:eastAsia="zh-CN"/>
        </w:rPr>
        <w:t>基础设施类-在建项目。项目建设已达到计划工程进度，得15分，项目资金已拨付</w:t>
      </w:r>
      <w:r>
        <w:rPr>
          <w:rFonts w:hint="eastAsia" w:ascii="仿宋_GB2312" w:hAnsi="仿宋_GB2312" w:eastAsia="仿宋_GB2312" w:cs="仿宋_GB2312"/>
          <w:color w:val="auto"/>
          <w:sz w:val="32"/>
          <w:szCs w:val="32"/>
          <w:highlight w:val="none"/>
          <w:lang w:val="en-US" w:eastAsia="zh-CN"/>
        </w:rPr>
        <w:t>12.972万元，</w:t>
      </w:r>
      <w:r>
        <w:rPr>
          <w:rFonts w:hint="eastAsia" w:ascii="仿宋_GB2312" w:hAnsi="仿宋_GB2312" w:eastAsia="仿宋_GB2312" w:cs="仿宋_GB2312"/>
          <w:kern w:val="0"/>
          <w:sz w:val="32"/>
          <w:szCs w:val="32"/>
          <w:lang w:val="en-US" w:eastAsia="zh-CN"/>
        </w:rPr>
        <w:t>已达到预先确定的资金拨付进度得15分</w:t>
      </w:r>
      <w:r>
        <w:rPr>
          <w:rFonts w:hint="eastAsia" w:ascii="仿宋_GB2312" w:hAnsi="仿宋_GB2312" w:eastAsia="仿宋_GB2312" w:cs="仿宋_GB2312"/>
          <w:color w:val="auto"/>
          <w:sz w:val="32"/>
          <w:szCs w:val="32"/>
          <w:highlight w:val="none"/>
          <w:lang w:eastAsia="zh-CN"/>
        </w:rPr>
        <w:t>。该项指标合计得</w:t>
      </w:r>
      <w:r>
        <w:rPr>
          <w:rFonts w:hint="eastAsia" w:ascii="仿宋_GB2312" w:hAnsi="仿宋_GB2312" w:eastAsia="仿宋_GB2312" w:cs="仿宋_GB2312"/>
          <w:color w:val="auto"/>
          <w:sz w:val="32"/>
          <w:szCs w:val="32"/>
          <w:highlight w:val="none"/>
          <w:lang w:val="en-US" w:eastAsia="zh-CN"/>
        </w:rPr>
        <w:t>30分。</w:t>
      </w:r>
    </w:p>
    <w:p w14:paraId="6C598B03">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2BF24A7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w:t>
      </w:r>
      <w:r>
        <w:rPr>
          <w:rFonts w:hint="eastAsia" w:ascii="仿宋_GB2312" w:hAnsi="仿宋_GB2312" w:eastAsia="仿宋_GB2312" w:cs="仿宋_GB2312"/>
          <w:kern w:val="0"/>
          <w:sz w:val="32"/>
          <w:szCs w:val="32"/>
          <w:lang w:eastAsia="zh-CN"/>
        </w:rPr>
        <w:t>开工</w:t>
      </w:r>
      <w:r>
        <w:rPr>
          <w:rFonts w:hint="eastAsia" w:ascii="仿宋_GB2312" w:hAnsi="仿宋_GB2312" w:eastAsia="仿宋_GB2312" w:cs="仿宋_GB2312"/>
          <w:kern w:val="0"/>
          <w:sz w:val="32"/>
          <w:szCs w:val="32"/>
        </w:rPr>
        <w:t>，资金已按期拨付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7B2DBB9C">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14:paraId="03A1030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支出绩效自评工作，经对各类指标进行评分和汇总分析，</w:t>
      </w: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支出绩效评价综合得分</w:t>
      </w:r>
      <w:r>
        <w:rPr>
          <w:rFonts w:hint="eastAsia" w:ascii="仿宋_GB2312" w:hAnsi="仿宋_GB2312" w:eastAsia="仿宋_GB2312" w:cs="仿宋_GB2312"/>
          <w:kern w:val="0"/>
          <w:sz w:val="32"/>
          <w:szCs w:val="32"/>
          <w:lang w:val="en-US" w:eastAsia="zh-CN"/>
        </w:rPr>
        <w:t>97</w:t>
      </w:r>
      <w:r>
        <w:rPr>
          <w:rFonts w:hint="eastAsia" w:ascii="仿宋_GB2312" w:hAnsi="仿宋_GB2312" w:eastAsia="仿宋_GB2312" w:cs="仿宋_GB2312"/>
          <w:kern w:val="0"/>
          <w:sz w:val="32"/>
          <w:szCs w:val="32"/>
        </w:rPr>
        <w:t>分。评价结果显示，</w:t>
      </w: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按照相关规定进行使用和管理，程序较为规范，项目支出使用效益达到预期。</w:t>
      </w:r>
    </w:p>
    <w:p w14:paraId="70310B52">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五、存在主要问题</w:t>
      </w:r>
    </w:p>
    <w:p w14:paraId="25837081">
      <w:pPr>
        <w:pStyle w:val="5"/>
        <w:keepNext w:val="0"/>
        <w:keepLines w:val="0"/>
        <w:pageBreakBefore w:val="0"/>
        <w:kinsoku/>
        <w:wordWrap/>
        <w:overflowPunct/>
        <w:topLinePunct w:val="0"/>
        <w:autoSpaceDE/>
        <w:autoSpaceDN/>
        <w:bidi w:val="0"/>
        <w:spacing w:line="560" w:lineRule="exact"/>
        <w:ind w:left="0" w:leftChars="0" w:firstLine="960" w:firstLineChars="3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无。</w:t>
      </w:r>
    </w:p>
    <w:p w14:paraId="7B985C5D">
      <w:pPr>
        <w:pStyle w:val="5"/>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lang w:val="zh-CN" w:eastAsia="zh-CN"/>
        </w:rPr>
      </w:pPr>
      <w:r>
        <w:rPr>
          <w:rFonts w:hint="eastAsia" w:ascii="黑体" w:hAnsi="黑体" w:eastAsia="黑体" w:cs="黑体"/>
          <w:b w:val="0"/>
          <w:bCs w:val="0"/>
          <w:sz w:val="32"/>
          <w:szCs w:val="32"/>
          <w:lang w:val="zh-CN" w:eastAsia="zh-CN"/>
        </w:rPr>
        <w:t>六、改进建议</w:t>
      </w:r>
    </w:p>
    <w:p w14:paraId="4740F33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无。</w:t>
      </w:r>
    </w:p>
    <w:p w14:paraId="0FCE6643">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仿宋_GB2312"/>
          <w:sz w:val="32"/>
          <w:szCs w:val="32"/>
        </w:rPr>
      </w:pPr>
    </w:p>
    <w:p w14:paraId="44929B20">
      <w:pPr>
        <w:pStyle w:val="8"/>
        <w:rPr>
          <w:rFonts w:hint="eastAsia" w:ascii="仿宋_GB2312" w:hAnsi="仿宋_GB2312" w:eastAsia="仿宋_GB2312" w:cs="仿宋_GB2312"/>
          <w:sz w:val="32"/>
          <w:szCs w:val="32"/>
        </w:rPr>
      </w:pPr>
    </w:p>
    <w:p w14:paraId="5034EBD0">
      <w:pPr>
        <w:rPr>
          <w:rFonts w:hint="eastAsia" w:ascii="仿宋_GB2312" w:hAnsi="仿宋_GB2312" w:eastAsia="仿宋_GB2312" w:cs="仿宋_GB2312"/>
          <w:sz w:val="32"/>
          <w:szCs w:val="32"/>
        </w:rPr>
      </w:pPr>
    </w:p>
    <w:p w14:paraId="567B9195">
      <w:pPr>
        <w:pStyle w:val="8"/>
        <w:rPr>
          <w:rFonts w:hint="eastAsia" w:ascii="仿宋_GB2312" w:hAnsi="仿宋_GB2312" w:eastAsia="仿宋_GB2312" w:cs="仿宋_GB2312"/>
          <w:sz w:val="32"/>
          <w:szCs w:val="32"/>
        </w:rPr>
      </w:pPr>
    </w:p>
    <w:p w14:paraId="7D96192A">
      <w:pPr>
        <w:jc w:val="center"/>
        <w:rPr>
          <w:rFonts w:hint="eastAsia" w:ascii="宋体" w:hAnsi="宋体" w:eastAsia="宋体" w:cs="宋体"/>
          <w:b/>
          <w:bCs/>
          <w:sz w:val="44"/>
          <w:szCs w:val="44"/>
        </w:rPr>
      </w:pPr>
      <w:r>
        <w:rPr>
          <w:rFonts w:hint="eastAsia" w:ascii="宋体" w:hAnsi="宋体" w:eastAsia="宋体" w:cs="宋体"/>
          <w:b/>
          <w:bCs/>
          <w:sz w:val="44"/>
          <w:szCs w:val="44"/>
        </w:rPr>
        <w:t>农村生活垃圾收转运处置体系建设项目</w:t>
      </w:r>
    </w:p>
    <w:p w14:paraId="0AD2C5A6">
      <w:pPr>
        <w:jc w:val="center"/>
        <w:rPr>
          <w:rFonts w:hint="eastAsia" w:ascii="宋体" w:hAnsi="宋体" w:eastAsia="宋体" w:cs="宋体"/>
          <w:b/>
          <w:bCs/>
          <w:sz w:val="44"/>
          <w:szCs w:val="44"/>
        </w:rPr>
      </w:pPr>
      <w:r>
        <w:rPr>
          <w:rFonts w:hint="eastAsia" w:ascii="宋体" w:hAnsi="宋体" w:eastAsia="宋体" w:cs="宋体"/>
          <w:b/>
          <w:bCs/>
          <w:sz w:val="44"/>
          <w:szCs w:val="44"/>
          <w:lang w:eastAsia="zh-CN"/>
        </w:rPr>
        <w:t>支出</w:t>
      </w:r>
      <w:r>
        <w:rPr>
          <w:rFonts w:hint="eastAsia" w:ascii="宋体" w:hAnsi="宋体" w:eastAsia="宋体" w:cs="宋体"/>
          <w:b/>
          <w:bCs/>
          <w:sz w:val="44"/>
          <w:szCs w:val="44"/>
        </w:rPr>
        <w:t>绩效</w:t>
      </w:r>
      <w:r>
        <w:rPr>
          <w:rFonts w:hint="eastAsia" w:ascii="宋体" w:hAnsi="宋体" w:eastAsia="宋体" w:cs="宋体"/>
          <w:b/>
          <w:bCs/>
          <w:sz w:val="44"/>
          <w:szCs w:val="44"/>
          <w:lang w:eastAsia="zh-CN"/>
        </w:rPr>
        <w:t>评价</w:t>
      </w:r>
      <w:r>
        <w:rPr>
          <w:rFonts w:hint="eastAsia" w:ascii="宋体" w:hAnsi="宋体" w:eastAsia="宋体" w:cs="宋体"/>
          <w:b/>
          <w:bCs/>
          <w:sz w:val="44"/>
          <w:szCs w:val="44"/>
        </w:rPr>
        <w:t>报告</w:t>
      </w:r>
    </w:p>
    <w:p w14:paraId="2CA300DC">
      <w:pPr>
        <w:rPr>
          <w:rFonts w:hint="eastAsia" w:ascii="仿宋_GB2312" w:hAnsi="仿宋_GB2312" w:eastAsia="仿宋_GB2312" w:cs="仿宋_GB2312"/>
          <w:sz w:val="32"/>
          <w:szCs w:val="32"/>
        </w:rPr>
      </w:pPr>
    </w:p>
    <w:p w14:paraId="5A29795B">
      <w:pPr>
        <w:ind w:firstLine="640" w:firstLineChars="20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0D5CA3AD">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（一）设立背景及基本情况。</w:t>
      </w:r>
      <w:r>
        <w:rPr>
          <w:rFonts w:hint="eastAsia" w:ascii="仿宋_GB2312" w:hAnsi="仿宋_GB2312" w:eastAsia="仿宋_GB2312" w:cs="仿宋_GB2312"/>
          <w:sz w:val="32"/>
          <w:szCs w:val="32"/>
        </w:rPr>
        <w:t>我县采用“村组收集、乡镇转运、片区处理”的城乡生活垃圾处理模式，知木林片区2乡3镇生活垃圾在知木林焚烧厂集中处置，知木林焚烧站不能消化处理的生活垃圾通过再分拣再运输到县城焚烧站集中处理；剩余5乡5镇生活垃圾也集中运输芦花镇垃圾焚烧厂集中处置。充分利用5个垃圾中转站和3个移动垃圾压缩站共建共享。为贯彻落实乡村振兴战略，进一步提升城乡生活垃圾处置能力，需要进一步建立健全农村生活收转运体系。本项目的主要内容：一是采购汽油后双轮钩臂车（车厢可卸式垃圾车），二是采购3立方垃圾箱；三是城镇垃圾无害化处理焚烧厂设施补短改造。</w:t>
      </w:r>
      <w:r>
        <w:rPr>
          <w:rFonts w:hint="eastAsia" w:ascii="仿宋_GB2312" w:hAnsi="仿宋_GB2312" w:eastAsia="仿宋_GB2312" w:cs="仿宋_GB2312"/>
          <w:sz w:val="32"/>
          <w:szCs w:val="32"/>
          <w:lang w:val="zh-CN"/>
        </w:rPr>
        <w:t>。</w:t>
      </w:r>
    </w:p>
    <w:p w14:paraId="77B91E8A">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w:t>
      </w:r>
      <w:r>
        <w:rPr>
          <w:rFonts w:hint="eastAsia" w:ascii="仿宋_GB2312" w:hAnsi="仿宋_GB2312" w:eastAsia="仿宋_GB2312" w:cs="仿宋_GB2312"/>
          <w:sz w:val="32"/>
          <w:szCs w:val="32"/>
        </w:rPr>
        <w:t>实施目的及支持方向。黑水县农村生活垃圾收转运体系项目有利于进一步提升城乡生活垃圾处置能力。保障乡村地区市政公用设施的正常运行，充分发挥乡村的市政公用设施功能，改善乡村居民生产生活环境，促进乡村经济社会发展。</w:t>
      </w:r>
    </w:p>
    <w:p w14:paraId="212D295C">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w:t>
      </w:r>
      <w:r>
        <w:rPr>
          <w:rFonts w:hint="eastAsia" w:ascii="仿宋_GB2312" w:hAnsi="仿宋_GB2312" w:eastAsia="仿宋_GB2312" w:cs="仿宋_GB2312"/>
          <w:sz w:val="32"/>
          <w:szCs w:val="32"/>
        </w:rPr>
        <w:t>预算安排及分配管理</w:t>
      </w:r>
      <w:r>
        <w:rPr>
          <w:rFonts w:hint="eastAsia" w:ascii="仿宋_GB2312" w:hAnsi="仿宋_GB2312" w:eastAsia="仿宋_GB2312" w:cs="仿宋_GB2312"/>
          <w:sz w:val="32"/>
          <w:szCs w:val="32"/>
          <w:lang w:val="zh-CN"/>
        </w:rPr>
        <w:t>。为确保项目资金正确使用，严格按照资金管理办法执行，做到资金专款专用和财政国库集中支付。依据项目施工单位拨款报告，按照项目实施进度和合同规定进行资金拨付。项目的财务管理制度健全有效，严格执行财务管理制度，账务处理及时，会计核算规范。黑水县农村生活垃圾收转运体系项目是全面改善城乡生产生活条件，优化城乡发展环境，提升现代化水平、促进城乡经济社会统筹协调发展的一项重要举措，也是构</w:t>
      </w:r>
      <w:r>
        <w:rPr>
          <w:rFonts w:hint="eastAsia" w:ascii="仿宋_GB2312" w:hAnsi="仿宋_GB2312" w:eastAsia="仿宋_GB2312" w:cs="仿宋_GB2312"/>
          <w:sz w:val="32"/>
          <w:szCs w:val="32"/>
          <w:lang w:val="en-US" w:eastAsia="zh-CN"/>
        </w:rPr>
        <w:t>建</w:t>
      </w:r>
      <w:r>
        <w:rPr>
          <w:rFonts w:hint="eastAsia" w:ascii="仿宋_GB2312" w:hAnsi="仿宋_GB2312" w:eastAsia="仿宋_GB2312" w:cs="仿宋_GB2312"/>
          <w:sz w:val="32"/>
          <w:szCs w:val="32"/>
          <w:lang w:val="zh-CN"/>
        </w:rPr>
        <w:t>社会主义和谐社会、加快社会主义新农村建设和践行科学发展观的必然要求，具有重要而深远的意义。该项目中标价为216.68万元，中标单位成都广年商贸有限公司。截止评价时到位资金为216.68万元，拨付资金216.68万元。</w:t>
      </w:r>
    </w:p>
    <w:p w14:paraId="61580A1E">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（四）项目绩效目标设置。为进一步完善我县农村生活</w:t>
      </w:r>
      <w:r>
        <w:rPr>
          <w:rFonts w:hint="eastAsia" w:ascii="仿宋_GB2312" w:hAnsi="仿宋_GB2312" w:eastAsia="仿宋_GB2312" w:cs="仿宋_GB2312"/>
          <w:sz w:val="32"/>
          <w:szCs w:val="32"/>
          <w:lang w:val="en-US" w:eastAsia="zh-CN"/>
        </w:rPr>
        <w:t>垃圾</w:t>
      </w:r>
      <w:r>
        <w:rPr>
          <w:rFonts w:hint="eastAsia" w:ascii="仿宋_GB2312" w:hAnsi="仿宋_GB2312" w:eastAsia="仿宋_GB2312" w:cs="仿宋_GB2312"/>
          <w:sz w:val="32"/>
          <w:szCs w:val="32"/>
          <w:lang w:val="zh-CN"/>
        </w:rPr>
        <w:t>收转运处置体系建设，提升垃圾清运效率、以优美环境、完善收运设施、健全机制，迎接主题教育和乡村振兴战略实绩考核验收。</w:t>
      </w:r>
    </w:p>
    <w:p w14:paraId="25731245">
      <w:pPr>
        <w:ind w:firstLine="640" w:firstLineChars="200"/>
        <w:rPr>
          <w:rFonts w:hint="eastAsia" w:ascii="黑体" w:hAnsi="黑体" w:eastAsia="黑体" w:cs="黑体"/>
          <w:sz w:val="32"/>
          <w:szCs w:val="32"/>
        </w:rPr>
      </w:pPr>
      <w:r>
        <w:rPr>
          <w:rFonts w:hint="eastAsia" w:ascii="黑体" w:hAnsi="黑体" w:eastAsia="黑体" w:cs="黑体"/>
          <w:sz w:val="32"/>
          <w:szCs w:val="32"/>
        </w:rPr>
        <w:t>二、评价实施</w:t>
      </w:r>
    </w:p>
    <w:p w14:paraId="56CBF2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（一）评价目的。</w:t>
      </w:r>
      <w:r>
        <w:rPr>
          <w:rFonts w:hint="eastAsia" w:ascii="仿宋_GB2312" w:hAnsi="仿宋_GB2312" w:eastAsia="仿宋_GB2312" w:cs="仿宋_GB2312"/>
          <w:sz w:val="32"/>
          <w:szCs w:val="32"/>
        </w:rPr>
        <w:t>为规范我县农村生活垃圾收转运体系的维护管理工作，保障设施正常运行，充分发挥乡村的市政公用设施功能，改善乡村居民生产生活环境，促进乡村经济社会发展，县人民政府印发《黑水县乡村市政公用设施运行维护管理暂行办法》，对乡镇基础设施运营管理（包括：农村生活</w:t>
      </w:r>
      <w:r>
        <w:rPr>
          <w:rFonts w:hint="eastAsia" w:ascii="仿宋_GB2312" w:hAnsi="仿宋_GB2312" w:eastAsia="仿宋_GB2312" w:cs="仿宋_GB2312"/>
          <w:sz w:val="32"/>
          <w:szCs w:val="32"/>
          <w:lang w:val="en-US" w:eastAsia="zh-CN"/>
        </w:rPr>
        <w:t>垃圾</w:t>
      </w:r>
      <w:r>
        <w:rPr>
          <w:rFonts w:hint="eastAsia" w:ascii="仿宋_GB2312" w:hAnsi="仿宋_GB2312" w:eastAsia="仿宋_GB2312" w:cs="仿宋_GB2312"/>
          <w:sz w:val="32"/>
          <w:szCs w:val="32"/>
        </w:rPr>
        <w:t>收转运体系）提出具体要求，起到积极的规范促进作用。</w:t>
      </w:r>
    </w:p>
    <w:p w14:paraId="24EB94C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（二）预设问题及评价重点。</w:t>
      </w:r>
      <w:r>
        <w:rPr>
          <w:rFonts w:hint="eastAsia" w:ascii="仿宋_GB2312" w:hAnsi="仿宋_GB2312" w:eastAsia="仿宋_GB2312" w:cs="仿宋_GB2312"/>
          <w:sz w:val="32"/>
          <w:szCs w:val="32"/>
        </w:rPr>
        <w:t>项目概算投资216.68万元，资金来源为州财下局和州住建局农村生活垃圾收运处置体系建设补助资金，（阿州财建〔2023〕118号）文件。符合政策规定性，我局将严格按照该资金专项使用管理办法，做到专款专用，制定项目资金管理办法，严格按照项目资金管理办法去拨付项目资金。。</w:t>
      </w:r>
    </w:p>
    <w:p w14:paraId="387237F0">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评价选点。项目内容包括：采购汽油后双轮钩臂车（车厢可卸式垃圾车）、3立方垃圾箱、240L垃圾桶及城乡生活垃圾收转运中转站补短等设施采购。项目建设地点为黑水县，有利于进一步提升城乡生活垃圾处置能力。</w:t>
      </w:r>
    </w:p>
    <w:p w14:paraId="64A884C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（四）评价方法。</w:t>
      </w:r>
      <w:r>
        <w:rPr>
          <w:rFonts w:hint="eastAsia" w:ascii="仿宋_GB2312" w:hAnsi="仿宋_GB2312" w:eastAsia="仿宋_GB2312" w:cs="仿宋_GB2312"/>
          <w:sz w:val="32"/>
          <w:szCs w:val="32"/>
        </w:rPr>
        <w:t>根据项目情况和评价重点，针对部分乡镇及群众询问和访谈，如项目实施情况的必要性、可行性和满意度等进行随机访谈。</w:t>
      </w:r>
    </w:p>
    <w:p w14:paraId="34F0706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（五）评价组织。</w:t>
      </w:r>
      <w:bookmarkStart w:id="0" w:name="OLE_LINK1"/>
      <w:r>
        <w:rPr>
          <w:rFonts w:hint="eastAsia" w:ascii="仿宋_GB2312" w:hAnsi="仿宋_GB2312" w:eastAsia="仿宋_GB2312" w:cs="仿宋_GB2312"/>
          <w:sz w:val="32"/>
          <w:szCs w:val="32"/>
        </w:rPr>
        <w:t>根据项目推进、成果、资金使用管理、目标完成等情况，综合开展县级自评。</w:t>
      </w:r>
    </w:p>
    <w:bookmarkEnd w:id="0"/>
    <w:p w14:paraId="36427F72">
      <w:pPr>
        <w:ind w:firstLine="640" w:firstLineChars="200"/>
        <w:rPr>
          <w:rFonts w:hint="eastAsia" w:ascii="仿宋_GB2312" w:hAnsi="仿宋_GB2312" w:eastAsia="仿宋_GB2312" w:cs="仿宋_GB2312"/>
          <w:sz w:val="32"/>
          <w:szCs w:val="32"/>
          <w:lang w:val="zh-CN"/>
        </w:rPr>
      </w:pPr>
      <w:r>
        <w:rPr>
          <w:rFonts w:hint="eastAsia" w:ascii="黑体" w:hAnsi="黑体" w:eastAsia="黑体" w:cs="黑体"/>
          <w:sz w:val="32"/>
          <w:szCs w:val="32"/>
        </w:rPr>
        <w:t>三、绩效分析</w:t>
      </w:r>
      <w:r>
        <w:rPr>
          <w:rFonts w:hint="eastAsia" w:ascii="仿宋_GB2312" w:hAnsi="仿宋_GB2312" w:eastAsia="仿宋_GB2312" w:cs="仿宋_GB2312"/>
          <w:sz w:val="32"/>
          <w:szCs w:val="32"/>
          <w:lang w:val="zh-CN"/>
        </w:rPr>
        <w:tab/>
      </w:r>
    </w:p>
    <w:p w14:paraId="495E46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14:paraId="4B4F34B7">
      <w:pPr>
        <w:ind w:firstLine="640" w:firstLineChars="200"/>
        <w:rPr>
          <w:rFonts w:hint="eastAsia" w:ascii="黑体" w:hAnsi="黑体" w:eastAsia="黑体" w:cs="黑体"/>
          <w:sz w:val="32"/>
          <w:szCs w:val="32"/>
        </w:rPr>
      </w:pPr>
      <w:r>
        <w:rPr>
          <w:rFonts w:hint="eastAsia" w:ascii="黑体" w:hAnsi="黑体" w:eastAsia="黑体" w:cs="黑体"/>
          <w:sz w:val="32"/>
          <w:szCs w:val="32"/>
          <w:lang w:val="zh-CN"/>
        </w:rPr>
        <w:t>（一）</w:t>
      </w:r>
      <w:r>
        <w:rPr>
          <w:rFonts w:hint="eastAsia" w:ascii="黑体" w:hAnsi="黑体" w:eastAsia="黑体" w:cs="黑体"/>
          <w:sz w:val="32"/>
          <w:szCs w:val="32"/>
        </w:rPr>
        <w:t>通用指标</w:t>
      </w:r>
      <w:r>
        <w:rPr>
          <w:rFonts w:hint="eastAsia" w:ascii="黑体" w:hAnsi="黑体" w:eastAsia="黑体" w:cs="黑体"/>
          <w:sz w:val="32"/>
          <w:szCs w:val="32"/>
          <w:lang w:val="zh-CN"/>
        </w:rPr>
        <w:t>绩效分析。</w:t>
      </w:r>
    </w:p>
    <w:p w14:paraId="4A8ADF9E">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1.项目决策。</w:t>
      </w:r>
      <w:bookmarkStart w:id="1" w:name="_Hlk196490587"/>
      <w:r>
        <w:rPr>
          <w:rFonts w:hint="eastAsia" w:ascii="仿宋_GB2312" w:hAnsi="仿宋_GB2312" w:eastAsia="仿宋_GB2312" w:cs="仿宋_GB2312"/>
          <w:sz w:val="32"/>
          <w:szCs w:val="32"/>
          <w:lang w:val="zh-CN"/>
        </w:rPr>
        <w:t>项目决策程序严密，项目设立、调整延续等方面符合资金管理基本规范和决策程序要求；项目规划符合中央、省委省政府有关决策部署安排，充分评估论证项目立项必要性、前瞻性、合理性和可行性。项目绩效目标设置科学合理；资金投向合理，账务处理及时，会计核算规范，管理制度机健全完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该项指标得分</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zh-CN"/>
        </w:rPr>
        <w:t>。</w:t>
      </w:r>
    </w:p>
    <w:bookmarkEnd w:id="1"/>
    <w:p w14:paraId="22022984">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2.项目管理。</w:t>
      </w:r>
      <w:r>
        <w:rPr>
          <w:rFonts w:hint="eastAsia" w:ascii="仿宋_GB2312" w:hAnsi="仿宋_GB2312" w:eastAsia="仿宋_GB2312" w:cs="仿宋_GB2312"/>
          <w:sz w:val="32"/>
          <w:szCs w:val="32"/>
          <w:lang w:val="zh-CN"/>
        </w:rPr>
        <w:t>制定了《黑水县乡村市政公用设施运行维护管理暂行办法》、《黑水县乡村市政公用设施运行维护管理方案》保障了乡村地区市政公用设施的正常运行。资金管理办法等管理制度体系健全完善，不存在管理制度缺失、管理办法过期情况；资金分配依据充分合理，资金分配严格按管理办法执行，决策程序符合管理要求，及时高效；项目按中省要求全面完成绩效目标（含事前评估）、绩效评价等预算绩效管理工作</w:t>
      </w:r>
      <w:r>
        <w:rPr>
          <w:rFonts w:hint="eastAsia" w:ascii="仿宋_GB2312" w:hAnsi="仿宋_GB2312" w:eastAsia="仿宋_GB2312" w:cs="仿宋_GB2312"/>
          <w:sz w:val="32"/>
          <w:szCs w:val="32"/>
          <w:lang w:val="en-US" w:eastAsia="zh-CN"/>
        </w:rPr>
        <w:t>,该项指标得18分。</w:t>
      </w:r>
    </w:p>
    <w:p w14:paraId="1B19C6FC">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3.项目实施。</w:t>
      </w:r>
      <w:r>
        <w:rPr>
          <w:rFonts w:hint="eastAsia" w:ascii="仿宋_GB2312" w:hAnsi="仿宋_GB2312" w:eastAsia="仿宋_GB2312" w:cs="仿宋_GB2312"/>
          <w:sz w:val="32"/>
          <w:szCs w:val="32"/>
          <w:lang w:val="zh-CN"/>
        </w:rPr>
        <w:t>项目资金使用、拨付符合国家财经法规、财务管理制度及有关专项资金管理制度办法规定和审批程序，不存在超范围、超标准、超进度使用专项资金，不存在存在资金损失浪费、长期沉淀、截留、挤占、挪用、虚列支出等情况，项目实施遵守相关法律法规，项目于2024年7月签订合同，中标价为216.68万元，中标公司为：成都广年商贸有限公司。到位补助资金216.68万，已全部拨付。该项指标得</w:t>
      </w:r>
      <w:r>
        <w:rPr>
          <w:rFonts w:hint="eastAsia" w:ascii="仿宋_GB2312" w:hAnsi="仿宋_GB2312" w:eastAsia="仿宋_GB2312" w:cs="仿宋_GB2312"/>
          <w:sz w:val="32"/>
          <w:szCs w:val="32"/>
          <w:lang w:val="en-US" w:eastAsia="zh-CN"/>
        </w:rPr>
        <w:t>9分。</w:t>
      </w:r>
    </w:p>
    <w:p w14:paraId="29AFE946">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4.项目结果。</w:t>
      </w:r>
      <w:r>
        <w:rPr>
          <w:rFonts w:hint="eastAsia" w:ascii="仿宋_GB2312" w:hAnsi="仿宋_GB2312" w:eastAsia="仿宋_GB2312" w:cs="仿宋_GB2312"/>
          <w:sz w:val="32"/>
          <w:szCs w:val="32"/>
          <w:lang w:val="zh-CN"/>
        </w:rPr>
        <w:t>本项目进一步完善我县农村生活收转运处置体系建设，提升垃圾清运效率、以优美环境、完善收运设施、村容整洁，该项指标得</w:t>
      </w:r>
      <w:r>
        <w:rPr>
          <w:rFonts w:hint="eastAsia" w:ascii="仿宋_GB2312" w:hAnsi="仿宋_GB2312" w:eastAsia="仿宋_GB2312" w:cs="仿宋_GB2312"/>
          <w:sz w:val="32"/>
          <w:szCs w:val="32"/>
          <w:lang w:val="en-US" w:eastAsia="zh-CN"/>
        </w:rPr>
        <w:t>9分</w:t>
      </w:r>
      <w:r>
        <w:rPr>
          <w:rFonts w:hint="eastAsia" w:ascii="仿宋_GB2312" w:hAnsi="仿宋_GB2312" w:eastAsia="仿宋_GB2312" w:cs="仿宋_GB2312"/>
          <w:sz w:val="32"/>
          <w:szCs w:val="32"/>
          <w:lang w:val="zh-CN"/>
        </w:rPr>
        <w:t>。</w:t>
      </w:r>
    </w:p>
    <w:p w14:paraId="22A861E9">
      <w:pPr>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（二）</w:t>
      </w:r>
      <w:r>
        <w:rPr>
          <w:rFonts w:hint="eastAsia" w:ascii="仿宋_GB2312" w:hAnsi="仿宋_GB2312" w:eastAsia="仿宋_GB2312" w:cs="仿宋_GB2312"/>
          <w:b/>
          <w:bCs/>
          <w:sz w:val="32"/>
          <w:szCs w:val="32"/>
        </w:rPr>
        <w:t>专用指标</w:t>
      </w:r>
      <w:r>
        <w:rPr>
          <w:rFonts w:hint="eastAsia" w:ascii="仿宋_GB2312" w:hAnsi="仿宋_GB2312" w:eastAsia="仿宋_GB2312" w:cs="仿宋_GB2312"/>
          <w:b/>
          <w:bCs/>
          <w:sz w:val="32"/>
          <w:szCs w:val="32"/>
          <w:lang w:val="zh-CN"/>
        </w:rPr>
        <w:t>绩效分析。</w:t>
      </w: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p>
    <w:p w14:paraId="0DCF5C29">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1.产业发展。</w:t>
      </w:r>
      <w:r>
        <w:rPr>
          <w:rFonts w:hint="eastAsia" w:ascii="仿宋_GB2312" w:hAnsi="仿宋_GB2312" w:eastAsia="仿宋_GB2312" w:cs="仿宋_GB2312"/>
          <w:sz w:val="32"/>
          <w:szCs w:val="32"/>
          <w:lang w:val="zh-CN"/>
        </w:rPr>
        <w:t>全面改善城乡生产生活条件，优化城乡发展环境，提升现代化水平、促进城乡经济社会统筹协调发展。     2.民生保障。改善乡村居民生产生活环境，促进乡村经济社会发展，人民群众对此次风险普查的满意度达100%。</w:t>
      </w:r>
    </w:p>
    <w:p w14:paraId="12888D00">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3.基础设施。</w:t>
      </w:r>
      <w:r>
        <w:rPr>
          <w:rFonts w:hint="eastAsia" w:ascii="仿宋_GB2312" w:hAnsi="仿宋_GB2312" w:eastAsia="仿宋_GB2312" w:cs="仿宋_GB2312"/>
          <w:sz w:val="32"/>
          <w:szCs w:val="32"/>
          <w:lang w:val="zh-CN"/>
        </w:rPr>
        <w:t>随着改造工程的逐步实施，结合城乡环境综合治理，美化了乡村、亮化了村庄、改善了乡村面貌，提升了村容村貌。</w:t>
      </w:r>
    </w:p>
    <w:p w14:paraId="7D4736E4">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4.行政运转。</w:t>
      </w:r>
      <w:r>
        <w:rPr>
          <w:rFonts w:hint="eastAsia" w:ascii="仿宋_GB2312" w:hAnsi="仿宋_GB2312" w:eastAsia="仿宋_GB2312" w:cs="仿宋_GB2312"/>
          <w:sz w:val="32"/>
          <w:szCs w:val="32"/>
          <w:lang w:val="zh-CN"/>
        </w:rPr>
        <w:t>项目按规定用途、适用范围进行本地区专项资金分配，符合用途合规性；资金管理程序符合专项资金管理要求；资金分配标准符合专项资金管理要求。以上指标合计得</w:t>
      </w:r>
      <w:r>
        <w:rPr>
          <w:rFonts w:hint="eastAsia" w:ascii="仿宋_GB2312" w:hAnsi="仿宋_GB2312" w:eastAsia="仿宋_GB2312" w:cs="仿宋_GB2312"/>
          <w:sz w:val="32"/>
          <w:szCs w:val="32"/>
          <w:lang w:val="en-US" w:eastAsia="zh-CN"/>
        </w:rPr>
        <w:t>30分。</w:t>
      </w:r>
    </w:p>
    <w:p w14:paraId="0F46D708">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zh-CN"/>
        </w:rPr>
        <w:t>（三）</w:t>
      </w:r>
      <w:r>
        <w:rPr>
          <w:rFonts w:hint="eastAsia" w:ascii="仿宋_GB2312" w:hAnsi="仿宋_GB2312" w:eastAsia="仿宋_GB2312" w:cs="仿宋_GB2312"/>
          <w:b/>
          <w:bCs/>
          <w:sz w:val="32"/>
          <w:szCs w:val="32"/>
        </w:rPr>
        <w:t>个性指标</w:t>
      </w:r>
      <w:r>
        <w:rPr>
          <w:rFonts w:hint="eastAsia" w:ascii="仿宋_GB2312" w:hAnsi="仿宋_GB2312" w:eastAsia="仿宋_GB2312" w:cs="仿宋_GB2312"/>
          <w:b/>
          <w:bCs/>
          <w:sz w:val="32"/>
          <w:szCs w:val="32"/>
          <w:lang w:val="zh-CN"/>
        </w:rPr>
        <w:t>绩效分析。</w:t>
      </w:r>
      <w:r>
        <w:rPr>
          <w:rFonts w:hint="eastAsia" w:ascii="仿宋_GB2312" w:hAnsi="仿宋_GB2312" w:eastAsia="仿宋_GB2312" w:cs="仿宋_GB2312"/>
          <w:sz w:val="32"/>
          <w:szCs w:val="32"/>
          <w:lang w:val="zh-CN"/>
        </w:rPr>
        <w:t>黑水县农村生活垃圾收转运体系项目有利于进一步提升城乡生活垃圾处置能力。保障乡村地区市政公用设施的正常运行，充分发挥乡村的市政公用设施功能，改善乡村居民生产生活环境，促进乡村经济社会发展，该项指标得</w:t>
      </w:r>
      <w:r>
        <w:rPr>
          <w:rFonts w:hint="eastAsia" w:ascii="仿宋_GB2312" w:hAnsi="仿宋_GB2312" w:eastAsia="仿宋_GB2312" w:cs="仿宋_GB2312"/>
          <w:sz w:val="32"/>
          <w:szCs w:val="32"/>
          <w:lang w:val="en-US" w:eastAsia="zh-CN"/>
        </w:rPr>
        <w:t>15分。</w:t>
      </w:r>
    </w:p>
    <w:p w14:paraId="0AE1BF13">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14:paraId="0B40CA98">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黑水县农村生活垃圾收转运体系项目2024年7月11签订合同，2024年10月24日竣工验收合格，于2024年12月18日全额拨付资金。评价结果</w:t>
      </w:r>
      <w:r>
        <w:rPr>
          <w:rFonts w:hint="eastAsia" w:ascii="仿宋_GB2312" w:hAnsi="仿宋_GB2312" w:eastAsia="仿宋_GB2312" w:cs="仿宋_GB2312"/>
          <w:sz w:val="32"/>
          <w:szCs w:val="32"/>
          <w:lang w:val="en-US" w:eastAsia="zh-CN"/>
        </w:rPr>
        <w:t>98分。</w:t>
      </w:r>
    </w:p>
    <w:p w14:paraId="3C9AFE8C">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612A1B2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14:paraId="56A29A83">
      <w:pPr>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14:paraId="3D104F17">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无。</w:t>
      </w:r>
    </w:p>
    <w:p w14:paraId="0FC5D942">
      <w:pPr>
        <w:pStyle w:val="8"/>
        <w:rPr>
          <w:rFonts w:hint="eastAsia"/>
        </w:rPr>
      </w:pPr>
    </w:p>
    <w:p w14:paraId="6107EC8B">
      <w:pPr>
        <w:rPr>
          <w:rFonts w:hint="eastAsia"/>
        </w:rPr>
      </w:pPr>
    </w:p>
    <w:p w14:paraId="2D384335">
      <w:pPr>
        <w:pStyle w:val="2"/>
        <w:rPr>
          <w:rFonts w:hint="eastAsia"/>
        </w:rPr>
      </w:pPr>
    </w:p>
    <w:p w14:paraId="255B4A26">
      <w:pPr>
        <w:rPr>
          <w:rFonts w:hint="eastAsia"/>
        </w:rPr>
      </w:pPr>
    </w:p>
    <w:p w14:paraId="711FCE37">
      <w:pPr>
        <w:pStyle w:val="2"/>
        <w:rPr>
          <w:rFonts w:hint="eastAsia"/>
        </w:rPr>
      </w:pPr>
    </w:p>
    <w:p w14:paraId="19B02DA3">
      <w:pPr>
        <w:rPr>
          <w:rFonts w:hint="eastAsia"/>
        </w:rPr>
      </w:pPr>
    </w:p>
    <w:p w14:paraId="6ABE40A2">
      <w:pPr>
        <w:pStyle w:val="2"/>
        <w:rPr>
          <w:rFonts w:hint="eastAsia"/>
        </w:rPr>
      </w:pPr>
    </w:p>
    <w:p w14:paraId="47404E4E">
      <w:pPr>
        <w:rPr>
          <w:rFonts w:hint="eastAsia"/>
        </w:rPr>
      </w:pPr>
    </w:p>
    <w:p w14:paraId="41C7756D">
      <w:pPr>
        <w:pStyle w:val="2"/>
        <w:rPr>
          <w:rFonts w:hint="eastAsia"/>
        </w:rPr>
      </w:pPr>
    </w:p>
    <w:p w14:paraId="6DD80F73">
      <w:pPr>
        <w:rPr>
          <w:rFonts w:hint="eastAsia"/>
        </w:rPr>
      </w:pPr>
    </w:p>
    <w:p w14:paraId="3AB6F6DF">
      <w:pPr>
        <w:pStyle w:val="2"/>
        <w:rPr>
          <w:rFonts w:hint="eastAsia"/>
        </w:rPr>
      </w:pPr>
    </w:p>
    <w:p w14:paraId="6669FD8D">
      <w:pPr>
        <w:rPr>
          <w:rFonts w:hint="eastAsia"/>
        </w:rPr>
      </w:pPr>
    </w:p>
    <w:p w14:paraId="132FAFED">
      <w:pPr>
        <w:pStyle w:val="2"/>
        <w:rPr>
          <w:rFonts w:hint="eastAsia"/>
        </w:rPr>
      </w:pPr>
    </w:p>
    <w:p w14:paraId="0DAE348C">
      <w:pPr>
        <w:rPr>
          <w:rFonts w:hint="eastAsia"/>
        </w:rPr>
      </w:pPr>
    </w:p>
    <w:p w14:paraId="7F652B0B">
      <w:pPr>
        <w:pStyle w:val="2"/>
        <w:rPr>
          <w:rFonts w:hint="eastAsia"/>
        </w:rPr>
      </w:pPr>
    </w:p>
    <w:p w14:paraId="6261F069">
      <w:pPr>
        <w:rPr>
          <w:rFonts w:hint="eastAsia"/>
        </w:rPr>
      </w:pPr>
    </w:p>
    <w:p w14:paraId="302E78EA">
      <w:pPr>
        <w:pStyle w:val="2"/>
        <w:rPr>
          <w:rFonts w:hint="eastAsia"/>
        </w:rPr>
      </w:pPr>
    </w:p>
    <w:p w14:paraId="2AF1C462">
      <w:pPr>
        <w:rPr>
          <w:rFonts w:hint="eastAsia"/>
        </w:rPr>
      </w:pPr>
    </w:p>
    <w:p w14:paraId="38DFDD3A">
      <w:pPr>
        <w:pStyle w:val="2"/>
        <w:rPr>
          <w:rFonts w:hint="eastAsia"/>
        </w:rPr>
      </w:pPr>
    </w:p>
    <w:p w14:paraId="0C833175">
      <w:pPr>
        <w:rPr>
          <w:rFonts w:hint="eastAsia"/>
        </w:rPr>
      </w:pPr>
    </w:p>
    <w:p w14:paraId="1C70C551">
      <w:pPr>
        <w:pStyle w:val="2"/>
        <w:rPr>
          <w:rFonts w:hint="eastAsia"/>
        </w:rPr>
      </w:pPr>
    </w:p>
    <w:p w14:paraId="66C16067">
      <w:pPr>
        <w:rPr>
          <w:rFonts w:hint="eastAsia"/>
        </w:rPr>
      </w:pPr>
    </w:p>
    <w:p w14:paraId="773A5AAD">
      <w:pPr>
        <w:pStyle w:val="2"/>
        <w:rPr>
          <w:rFonts w:hint="eastAsia"/>
        </w:rPr>
      </w:pPr>
    </w:p>
    <w:p w14:paraId="269DA8AE">
      <w:pPr>
        <w:rPr>
          <w:rFonts w:hint="eastAsia"/>
        </w:rPr>
      </w:pPr>
    </w:p>
    <w:p w14:paraId="024943F4">
      <w:pPr>
        <w:pStyle w:val="2"/>
        <w:rPr>
          <w:rFonts w:hint="eastAsia"/>
        </w:rPr>
      </w:pPr>
    </w:p>
    <w:p w14:paraId="2C61E294">
      <w:pPr>
        <w:rPr>
          <w:rFonts w:hint="eastAsia"/>
        </w:rPr>
      </w:pPr>
    </w:p>
    <w:p w14:paraId="1CAAC9FC">
      <w:pPr>
        <w:pStyle w:val="2"/>
        <w:rPr>
          <w:rFonts w:hint="eastAsia"/>
        </w:rPr>
      </w:pPr>
    </w:p>
    <w:p w14:paraId="11FB92F0">
      <w:pPr>
        <w:jc w:val="center"/>
        <w:rPr>
          <w:rFonts w:hint="eastAsia" w:ascii="宋体" w:hAnsi="宋体" w:eastAsia="宋体" w:cs="宋体"/>
          <w:b/>
          <w:bCs w:val="0"/>
          <w:sz w:val="44"/>
          <w:szCs w:val="44"/>
        </w:rPr>
      </w:pPr>
      <w:r>
        <w:rPr>
          <w:rFonts w:hint="eastAsia" w:ascii="宋体" w:hAnsi="宋体" w:eastAsia="宋体" w:cs="宋体"/>
          <w:b/>
          <w:bCs w:val="0"/>
          <w:sz w:val="44"/>
          <w:szCs w:val="44"/>
        </w:rPr>
        <w:t>20</w:t>
      </w:r>
      <w:r>
        <w:rPr>
          <w:rFonts w:hint="eastAsia" w:ascii="宋体" w:hAnsi="宋体" w:eastAsia="宋体" w:cs="宋体"/>
          <w:b/>
          <w:bCs w:val="0"/>
          <w:sz w:val="44"/>
          <w:szCs w:val="44"/>
          <w:lang w:val="en-US" w:eastAsia="zh-CN"/>
        </w:rPr>
        <w:t>24</w:t>
      </w:r>
      <w:r>
        <w:rPr>
          <w:rFonts w:hint="eastAsia" w:ascii="宋体" w:hAnsi="宋体" w:eastAsia="宋体" w:cs="宋体"/>
          <w:b/>
          <w:bCs w:val="0"/>
          <w:sz w:val="44"/>
          <w:szCs w:val="44"/>
        </w:rPr>
        <w:t>年农村危房改造项目</w:t>
      </w:r>
    </w:p>
    <w:p w14:paraId="609B7CB4">
      <w:pPr>
        <w:jc w:val="center"/>
        <w:rPr>
          <w:rFonts w:hint="eastAsia" w:ascii="宋体" w:hAnsi="宋体" w:eastAsia="宋体" w:cs="宋体"/>
          <w:b/>
          <w:bCs w:val="0"/>
          <w:sz w:val="44"/>
          <w:szCs w:val="44"/>
        </w:rPr>
      </w:pPr>
      <w:r>
        <w:rPr>
          <w:rFonts w:hint="eastAsia" w:ascii="宋体" w:hAnsi="宋体" w:eastAsia="宋体" w:cs="宋体"/>
          <w:b/>
          <w:bCs w:val="0"/>
          <w:sz w:val="44"/>
          <w:szCs w:val="44"/>
        </w:rPr>
        <w:t>支出绩效评价报告</w:t>
      </w:r>
    </w:p>
    <w:p w14:paraId="75657945">
      <w:pPr>
        <w:adjustRightInd w:val="0"/>
        <w:snapToGrid w:val="0"/>
        <w:spacing w:line="578" w:lineRule="exact"/>
        <w:ind w:firstLine="640" w:firstLineChars="20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73EF6795">
      <w:pPr>
        <w:widowControl/>
        <w:adjustRightInd w:val="0"/>
        <w:snapToGrid w:val="0"/>
        <w:spacing w:line="578" w:lineRule="exact"/>
        <w:ind w:firstLine="643" w:firstLineChars="200"/>
        <w:contextualSpacing/>
        <w:jc w:val="lef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（一）设立背景及基本情况</w:t>
      </w:r>
    </w:p>
    <w:p w14:paraId="3AC14023">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为深入贯彻落实党中央、国务院关于巩固拓展脱贫攻坚成果同乡村振兴有效衔接的决策部署，按照《住房和城乡建设部 财政部 国家乡村振兴局关于做好 2023 年农村低收入群体等重点对象住房安全保障工作的通知》（建村〔2023〕11 号）要求，黑水县聚焦农村低收入群体住房安全问题，针对农村低保户、分散供养特困人员、易返贫致贫户、低保边缘家庭及其他脱贫户中唯一住房存在 C 级（局部危房）、D 级（整栋危房）安全隐患的农户，启动农村危房改造项目。项目旨在通过政府补助引导，帮助农户解决住房安全问题，建立健全住房安全保障长效机制，助力乡村振兴战略实施。</w:t>
      </w:r>
    </w:p>
    <w:p w14:paraId="724A0570">
      <w:pPr>
        <w:widowControl/>
        <w:adjustRightInd w:val="0"/>
        <w:snapToGrid w:val="0"/>
        <w:spacing w:line="578" w:lineRule="exact"/>
        <w:ind w:firstLine="643" w:firstLineChars="200"/>
        <w:contextualSpacing/>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33A4E7B8">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Cs/>
          <w:sz w:val="32"/>
          <w:szCs w:val="32"/>
        </w:rPr>
        <w:t>实施目的：</w:t>
      </w:r>
      <w:r>
        <w:rPr>
          <w:rFonts w:hint="eastAsia" w:ascii="仿宋_GB2312" w:hAnsi="仿宋_GB2312" w:eastAsia="仿宋_GB2312" w:cs="仿宋_GB2312"/>
          <w:kern w:val="0"/>
          <w:sz w:val="32"/>
          <w:szCs w:val="32"/>
          <w:shd w:val="clear" w:color="auto" w:fill="FFFFFF"/>
        </w:rPr>
        <w:t>确保我县农村低收入群体等重点对象住房安全有保障，实现 “住有所居、居有所安”，提升农村居民生活质量，巩固脱贫攻坚成果，促进乡村宜居宜业。</w:t>
      </w:r>
    </w:p>
    <w:p w14:paraId="15599E8E">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支持的方向包括：农村低保边缘家庭和未享受过农村住房保障政策支持且依靠自身力量无法解决住房安全问题的其他脱贫户给予支持。农村易返贫致贫户、农村低保户、农村分散供养特困人员、因病因灾因意外事故等刚性支出较大或收入大</w:t>
      </w:r>
      <w:r>
        <w:rPr>
          <w:rFonts w:hint="eastAsia" w:ascii="仿宋_GB2312" w:hAnsi="仿宋_GB2312" w:eastAsia="仿宋_GB2312" w:cs="仿宋_GB2312"/>
          <w:kern w:val="0"/>
          <w:sz w:val="32"/>
          <w:szCs w:val="32"/>
          <w:shd w:val="clear" w:color="auto" w:fill="FFFFFF"/>
          <w:lang w:val="en-US" w:eastAsia="zh-CN"/>
        </w:rPr>
        <w:t>幅</w:t>
      </w:r>
      <w:bookmarkStart w:id="3" w:name="_GoBack"/>
      <w:bookmarkEnd w:id="3"/>
      <w:r>
        <w:rPr>
          <w:rFonts w:hint="eastAsia" w:ascii="仿宋_GB2312" w:hAnsi="仿宋_GB2312" w:eastAsia="仿宋_GB2312" w:cs="仿宋_GB2312"/>
          <w:kern w:val="0"/>
          <w:sz w:val="32"/>
          <w:szCs w:val="32"/>
          <w:shd w:val="clear" w:color="auto" w:fill="FFFFFF"/>
        </w:rPr>
        <w:t>缩减导致基本生活出现严重困难家庭等唯一住房出现C、D级安全隐患户。</w:t>
      </w:r>
    </w:p>
    <w:p w14:paraId="636E460A">
      <w:pPr>
        <w:widowControl/>
        <w:adjustRightInd w:val="0"/>
        <w:snapToGrid w:val="0"/>
        <w:spacing w:line="578" w:lineRule="exact"/>
        <w:ind w:firstLine="643" w:firstLineChars="200"/>
        <w:contextualSpacing/>
        <w:jc w:val="lef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p>
    <w:p w14:paraId="2A450B1D">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严格执行《四川省农村危房改造补助资金管理办法》，实行专款专用、国库集中支付制度。根据施工进度和验收结果拨付资金，农村房屋竣工验收后，由乡镇提交拨款申请后，县级住建部门按照重建3万元/户，维修5000元/1户的标准拨付。截至评价时，已拨付资金 56.4 万元</w:t>
      </w:r>
      <w:r>
        <w:rPr>
          <w:rFonts w:hint="eastAsia" w:ascii="仿宋_GB2312" w:hAnsi="仿宋_GB2312" w:eastAsia="仿宋_GB2312" w:cs="仿宋_GB2312"/>
          <w:kern w:val="0"/>
          <w:sz w:val="32"/>
          <w:szCs w:val="32"/>
          <w:shd w:val="clear" w:color="auto" w:fill="FFFFFF"/>
          <w:lang w:val="zh-CN"/>
        </w:rPr>
        <w:t>。资金来源为：</w:t>
      </w:r>
      <w:bookmarkStart w:id="2" w:name="_Hlk196400776"/>
      <w:r>
        <w:rPr>
          <w:rFonts w:hint="eastAsia" w:ascii="仿宋_GB2312" w:hAnsi="仿宋_GB2312" w:eastAsia="仿宋_GB2312" w:cs="仿宋_GB2312"/>
          <w:kern w:val="0"/>
          <w:sz w:val="32"/>
          <w:szCs w:val="32"/>
          <w:shd w:val="clear" w:color="auto" w:fill="FFFFFF"/>
          <w:lang w:val="zh-CN"/>
        </w:rPr>
        <w:t>阿州财建〔2023〕120号</w:t>
      </w:r>
      <w:bookmarkEnd w:id="2"/>
      <w:r>
        <w:rPr>
          <w:rFonts w:hint="eastAsia" w:ascii="仿宋_GB2312" w:hAnsi="仿宋_GB2312" w:eastAsia="仿宋_GB2312" w:cs="仿宋_GB2312"/>
          <w:kern w:val="0"/>
          <w:sz w:val="32"/>
          <w:szCs w:val="32"/>
          <w:shd w:val="clear" w:color="auto" w:fill="FFFFFF"/>
          <w:lang w:val="zh-CN"/>
        </w:rPr>
        <w:t>、阿州财建〔2022〕87号、阿州财建〔2024〕16号、阿州财建〔2024〕65号。补助资金预算数63.6万元，拨付56.4万元。</w:t>
      </w:r>
    </w:p>
    <w:p w14:paraId="65322992">
      <w:pPr>
        <w:adjustRightInd w:val="0"/>
        <w:snapToGrid w:val="0"/>
        <w:spacing w:line="578" w:lineRule="exact"/>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（四）项目绩效目标设置</w:t>
      </w:r>
    </w:p>
    <w:p w14:paraId="19C42FD5">
      <w:pPr>
        <w:adjustRightInd w:val="0"/>
        <w:snapToGrid w:val="0"/>
        <w:spacing w:line="560"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shd w:val="clear" w:color="auto" w:fill="FFFFFF"/>
          <w:lang w:val="zh-CN"/>
        </w:rPr>
        <w:t>本项目具有密切了党群关系，保障了贫困户住房问题，确保农村困难群众真正享受到政策实惠。改善了人居适宜、民居漂亮、功能完善、村容整洁。完成C/D级危房改造，改造后住房湖北卫生厕所、人畜分离等基本功能，收益群众满意度达98%以上。</w:t>
      </w:r>
    </w:p>
    <w:p w14:paraId="6ED859CA">
      <w:pPr>
        <w:adjustRightInd w:val="0"/>
        <w:snapToGrid w:val="0"/>
        <w:spacing w:line="560" w:lineRule="exact"/>
        <w:ind w:firstLine="640" w:firstLineChars="200"/>
        <w:rPr>
          <w:rFonts w:hint="eastAsia" w:ascii="黑体" w:hAnsi="黑体" w:eastAsia="黑体" w:cs="黑体"/>
          <w:bCs/>
          <w:sz w:val="32"/>
          <w:szCs w:val="32"/>
          <w:lang w:val="zh-CN"/>
        </w:rPr>
      </w:pPr>
      <w:r>
        <w:rPr>
          <w:rFonts w:hint="eastAsia" w:ascii="黑体" w:hAnsi="黑体" w:eastAsia="黑体" w:cs="黑体"/>
          <w:bCs/>
          <w:sz w:val="32"/>
          <w:szCs w:val="32"/>
          <w:lang w:val="zh-CN"/>
        </w:rPr>
        <w:t>二、评价实施</w:t>
      </w:r>
    </w:p>
    <w:p w14:paraId="3DB2479F">
      <w:pPr>
        <w:adjustRightInd w:val="0"/>
        <w:snapToGrid w:val="0"/>
        <w:spacing w:line="560"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（一）评价目的</w:t>
      </w:r>
    </w:p>
    <w:p w14:paraId="4FE3EC03">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通过对农村危房改造项目的资金使用、工程质量、实施效果等方面进行全面评价，检验政策落实成效，总结经验做法，发现存在问题，为优化农村住房保障政策、提高资金使用效率提供参考，确保农村困难群众真正享受政策实惠。  </w:t>
      </w:r>
    </w:p>
    <w:p w14:paraId="25F47162">
      <w:pPr>
        <w:numPr>
          <w:ilvl w:val="0"/>
          <w:numId w:val="1"/>
        </w:numPr>
        <w:spacing w:line="578" w:lineRule="exac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预设问题及评价重点</w:t>
      </w:r>
    </w:p>
    <w:p w14:paraId="63477E84">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预设问题：补助对象是否精准识别，是否存在 “应纳未纳” 或 “违规纳入” 情况；资金拨付是否及时，剩余资金未拨付的具体原因是什么；改造后住房质量是否达标，是否存在安全隐患。</w:t>
      </w:r>
    </w:p>
    <w:p w14:paraId="3318105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评价重点：补助对象审核程序合规性；资金使用规范性及预算执行率；工程质量验收情况及群众满意度</w:t>
      </w:r>
    </w:p>
    <w:p w14:paraId="7F3EAA6B">
      <w:pPr>
        <w:numPr>
          <w:ilvl w:val="0"/>
          <w:numId w:val="1"/>
        </w:numPr>
        <w:spacing w:line="578" w:lineRule="exac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评价选点</w:t>
      </w:r>
    </w:p>
    <w:p w14:paraId="5F590506">
      <w:pPr>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项目建设地点为黑水县，做到了“应纳尽纳，应改尽改”。选取当年1户重建，1户维修进行实地核查。</w:t>
      </w:r>
    </w:p>
    <w:p w14:paraId="33634332">
      <w:pPr>
        <w:numPr>
          <w:ilvl w:val="0"/>
          <w:numId w:val="1"/>
        </w:numPr>
        <w:spacing w:line="578" w:lineRule="exac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评价方法</w:t>
      </w:r>
    </w:p>
    <w:p w14:paraId="09C92FD3">
      <w:pPr>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1.资料审核法：查阅项目申报资料、资金拨付凭证、验收报告等，核实补助对象资格、资金使用合规性。</w:t>
      </w:r>
    </w:p>
    <w:p w14:paraId="144F8C16">
      <w:pPr>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2.</w:t>
      </w:r>
      <w:r>
        <w:rPr>
          <w:rFonts w:hint="eastAsia" w:ascii="仿宋_GB2312" w:hAnsi="仿宋_GB2312" w:eastAsia="仿宋_GB2312" w:cs="仿宋_GB2312"/>
          <w:sz w:val="32"/>
          <w:szCs w:val="32"/>
          <w:lang w:val="zh-CN"/>
        </w:rPr>
        <w:t>实地勘查法：现场检查房屋改造质量，核对建筑面积、结构安全、功能配套等是否符合标准。</w:t>
      </w:r>
    </w:p>
    <w:p w14:paraId="39F8609F">
      <w:pPr>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3.</w:t>
      </w:r>
      <w:r>
        <w:rPr>
          <w:rFonts w:hint="eastAsia" w:ascii="仿宋_GB2312" w:hAnsi="仿宋_GB2312" w:eastAsia="仿宋_GB2312" w:cs="仿宋_GB2312"/>
          <w:sz w:val="32"/>
          <w:szCs w:val="32"/>
          <w:lang w:val="zh-CN"/>
        </w:rPr>
        <w:t>问卷调查法：对 30 户受益群众开展满意度调查，收集政策知晓率、施工满意度、住房改善效果等反馈。</w:t>
      </w:r>
    </w:p>
    <w:p w14:paraId="21DD5BC3">
      <w:pPr>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4.</w:t>
      </w:r>
      <w:r>
        <w:rPr>
          <w:rFonts w:hint="eastAsia" w:ascii="仿宋_GB2312" w:hAnsi="仿宋_GB2312" w:eastAsia="仿宋_GB2312" w:cs="仿宋_GB2312"/>
          <w:sz w:val="32"/>
          <w:szCs w:val="32"/>
          <w:lang w:val="zh-CN"/>
        </w:rPr>
        <w:t>对比分析法：对比改造前后住房安全等级、居住条件变化，评估项目实施效益。</w:t>
      </w:r>
    </w:p>
    <w:p w14:paraId="16C19C19">
      <w:pPr>
        <w:spacing w:line="578" w:lineRule="exact"/>
        <w:ind w:firstLine="64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（五）评价组织</w:t>
      </w:r>
    </w:p>
    <w:p w14:paraId="7A673F6B">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成立绩效评价小组，由县住建局局长任组长，分管领导任副组长，财务人员、工作人员等。评价小组负责制定方案、组织实施、数据分析及报告撰写，确保评价过程客观公正。  </w:t>
      </w:r>
    </w:p>
    <w:p w14:paraId="5A296B43">
      <w:pPr>
        <w:spacing w:line="578" w:lineRule="exact"/>
        <w:ind w:firstLine="640"/>
        <w:rPr>
          <w:rFonts w:hint="eastAsia" w:ascii="仿宋_GB2312" w:hAnsi="仿宋_GB2312" w:eastAsia="仿宋_GB2312" w:cs="仿宋_GB2312"/>
          <w:sz w:val="32"/>
          <w:szCs w:val="32"/>
          <w:lang w:val="zh-CN"/>
        </w:rPr>
      </w:pPr>
      <w:r>
        <w:rPr>
          <w:rFonts w:hint="eastAsia" w:ascii="黑体" w:hAnsi="黑体" w:eastAsia="黑体" w:cs="黑体"/>
          <w:sz w:val="32"/>
          <w:szCs w:val="32"/>
        </w:rPr>
        <w:t>三、绩效分析</w:t>
      </w:r>
      <w:r>
        <w:rPr>
          <w:rFonts w:hint="eastAsia" w:ascii="仿宋_GB2312" w:hAnsi="仿宋_GB2312" w:eastAsia="仿宋_GB2312" w:cs="仿宋_GB2312"/>
          <w:sz w:val="32"/>
          <w:szCs w:val="32"/>
          <w:lang w:val="zh-CN"/>
        </w:rPr>
        <w:tab/>
      </w:r>
    </w:p>
    <w:p w14:paraId="2E1436FA">
      <w:pPr>
        <w:numPr>
          <w:ilvl w:val="0"/>
          <w:numId w:val="2"/>
        </w:numPr>
        <w:spacing w:line="578" w:lineRule="exac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27422F43">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1.决策程序（18分）</w:t>
      </w:r>
    </w:p>
    <w:p w14:paraId="31068840">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决策程序（6 分）：严格遵循 “农户申请→村级初审→乡镇复核→县级审批→公示公告” 流程，建立《黑水县农村危房改造对象动态管理台账》，通过入户核查、部门数据比对（民政、乡村振兴等部门）精准识别补助对象，决策程序规范透明，得分 6 分。</w:t>
      </w:r>
    </w:p>
    <w:p w14:paraId="42C495D4">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规划论证（6 分）：项目规划符合《黑水县乡村振兴规划（2021—2025 年）》及《四川省农村住房建设管理办法》，结合全县农村住房安全隐患排查成果，科学制定年度改造计划，优先解决住房安全问题突出的农户，前瞻性和合理性显著，得分 6 分。</w:t>
      </w:r>
    </w:p>
    <w:p w14:paraId="787CDC90">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资金投向（6 分）：资金全部用于危房改造直接支出，无用于非住房安全保障的支出，投向精准聚焦低收入群体住房需求，得分 6 分。</w:t>
      </w:r>
    </w:p>
    <w:p w14:paraId="08FE6870">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2.项目管理（18分）</w:t>
      </w:r>
    </w:p>
    <w:p w14:paraId="1B621AA7">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制度办法（2 分）：制定《黑水县农村低收入群体等重点对象农村危房改造实施方案》，明确补助标准（重建户每户3 万元、修缮户每户 0.5万元）、技术规范、部门职责，配套《施工质量监管细则》，制度体系健全，得分 2 分。</w:t>
      </w:r>
    </w:p>
    <w:p w14:paraId="3E34E899">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分配管理（10 分）：资金分配依据危房等级确定，通过 “一户一档案” 精准发放补助，无平均分配或优亲厚友现象。决策过程符合公平性原则，得分 10 分。</w:t>
      </w:r>
    </w:p>
    <w:p w14:paraId="4A04CFB3">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绩效监管（6 分）：建立 “县级定期巡查、乡镇日常监管、村级义务监督” 三级监管机制。完成事前绩效目标审核、事中进度监控、事后绩效评价，监管到位，得分 6 分。</w:t>
      </w:r>
    </w:p>
    <w:p w14:paraId="3A49DC2B">
      <w:pPr>
        <w:spacing w:line="578" w:lineRule="exact"/>
        <w:ind w:firstLine="640" w:firstLineChars="200"/>
        <w:rPr>
          <w:rFonts w:hint="eastAsia" w:ascii="仿宋_GB2312" w:hAnsi="仿宋_GB2312" w:eastAsia="仿宋_GB2312" w:cs="仿宋_GB2312"/>
          <w:sz w:val="32"/>
          <w:szCs w:val="32"/>
        </w:rPr>
      </w:pPr>
    </w:p>
    <w:p w14:paraId="5B5D9E0D">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3.项目实施（9分）</w:t>
      </w:r>
    </w:p>
    <w:p w14:paraId="737689E1">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预算执行（6 分）：预算总额 63.6 万元，到位率 100%，已拨付 56.4 万元，7.2 万元为剩余部分，预算执行率 88.7%，得分 4分（因未完全拨付扣 1 分）。</w:t>
      </w:r>
    </w:p>
    <w:p w14:paraId="56AC993F">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资金使用（3 分）：资金支出均通过危房改造系统程序全部走完，房屋开工，房屋竣工验收后按比例拨付，无违规问题，得分 3 分。</w:t>
      </w:r>
    </w:p>
    <w:p w14:paraId="1E16AC93">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4.项目结果（9分）</w:t>
      </w:r>
    </w:p>
    <w:p w14:paraId="2A2114FE">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目标完成（6 分）：完成危房改造，验收合格率 100%，得分 6 分。</w:t>
      </w:r>
    </w:p>
    <w:p w14:paraId="41176DC1">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完成时效（3 分）：项目完成时间与计划时间相符，本项得分 3 分。</w:t>
      </w:r>
    </w:p>
    <w:p w14:paraId="7221DA38">
      <w:pPr>
        <w:spacing w:line="578" w:lineRule="exact"/>
        <w:ind w:firstLine="643" w:firstLineChars="200"/>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7E43DB64">
      <w:pPr>
        <w:spacing w:line="578"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1、民生保障（30 分）</w:t>
      </w:r>
    </w:p>
    <w:p w14:paraId="4E57B6B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对象精准性（10 分）：补助对象均为经民政、乡村振兴部门认定的低收入群体，且住房安全等级经专业机构鉴定为 C/D 级，无不符合条件的农户纳入，得分 10 分。</w:t>
      </w:r>
    </w:p>
    <w:p w14:paraId="6817E226">
      <w:pPr>
        <w:spacing w:line="578"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围绕区域均衡性（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）：按照各乡镇上报情况，结合实际将维修资金均衡匹配，得分</w:t>
      </w:r>
      <w:r>
        <w:rPr>
          <w:rFonts w:hint="eastAsia" w:ascii="仿宋_GB2312" w:hAnsi="仿宋_GB2312" w:eastAsia="仿宋_GB2312" w:cs="仿宋_GB2312"/>
          <w:color w:val="auto"/>
          <w:sz w:val="32"/>
          <w:szCs w:val="32"/>
          <w:lang w:val="en-US" w:eastAsia="zh-CN"/>
        </w:rPr>
        <w:t>10分</w:t>
      </w:r>
    </w:p>
    <w:p w14:paraId="360C5BCE">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标准合理性（</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分）：补助标准依据《四川省农村危房改造补助资金管理办法》制定，重建户、修缮户分类补助标准与全省平均水平一致，且及时足额拨付到户，得分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分。</w:t>
      </w:r>
    </w:p>
    <w:p w14:paraId="14C2EDF5">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群众满意度（</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分）：通过问卷调查，受益群众中户表示 “非常满意”，分 </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分。</w:t>
      </w:r>
    </w:p>
    <w:p w14:paraId="4D63007B">
      <w:pPr>
        <w:numPr>
          <w:ilvl w:val="0"/>
          <w:numId w:val="2"/>
        </w:numPr>
        <w:spacing w:line="578" w:lineRule="exac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3DCDB4C3">
      <w:pPr>
        <w:spacing w:line="578" w:lineRule="exact"/>
        <w:ind w:firstLine="640" w:firstLineChars="200"/>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sz w:val="32"/>
          <w:szCs w:val="32"/>
        </w:rPr>
        <w:t>项目已如期开工竣工，资金已按期拨付，项目实施后已达到预期效果，该项指标得分16分。</w:t>
      </w:r>
    </w:p>
    <w:p w14:paraId="1E92F131">
      <w:pPr>
        <w:pStyle w:val="5"/>
        <w:spacing w:line="600" w:lineRule="exact"/>
        <w:ind w:firstLine="640" w:firstLineChars="200"/>
        <w:rPr>
          <w:rFonts w:ascii="Times New Roman"/>
          <w:sz w:val="32"/>
          <w:szCs w:val="32"/>
          <w:lang w:eastAsia="zh-CN"/>
        </w:rPr>
      </w:pPr>
      <w:r>
        <w:rPr>
          <w:rFonts w:ascii="Times New Roman"/>
          <w:sz w:val="32"/>
          <w:szCs w:val="32"/>
          <w:lang w:eastAsia="zh-CN"/>
        </w:rPr>
        <w:t>四、评价结论</w:t>
      </w:r>
    </w:p>
    <w:p w14:paraId="2AF59951">
      <w:pPr>
        <w:pStyle w:val="5"/>
        <w:spacing w:line="600" w:lineRule="exact"/>
        <w:ind w:firstLine="640" w:firstLineChars="200"/>
        <w:rPr>
          <w:rFonts w:hint="eastAsia" w:ascii="Times New Roman" w:eastAsia="仿宋_GB2312"/>
          <w:position w:val="0"/>
          <w:sz w:val="32"/>
          <w:szCs w:val="32"/>
          <w:lang w:eastAsia="zh-CN"/>
        </w:rPr>
      </w:pPr>
      <w:r>
        <w:rPr>
          <w:rFonts w:hint="eastAsia" w:ascii="Times New Roman" w:eastAsia="仿宋_GB2312"/>
          <w:position w:val="0"/>
          <w:sz w:val="32"/>
          <w:szCs w:val="32"/>
          <w:lang w:eastAsia="zh-CN"/>
        </w:rPr>
        <w:t>黑水县农村危房改造全部完成竣工验收并合格，建房户的补助资金全部拨付完成。综合得分98分。</w:t>
      </w:r>
    </w:p>
    <w:p w14:paraId="525921B0">
      <w:pPr>
        <w:pStyle w:val="5"/>
        <w:spacing w:line="60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2BB827F1">
      <w:pPr>
        <w:pStyle w:val="5"/>
        <w:spacing w:line="600" w:lineRule="exact"/>
        <w:ind w:firstLine="640" w:firstLineChars="200"/>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因农村危房改造还未完成，造成资金拨付比例未达</w:t>
      </w:r>
      <w:r>
        <w:rPr>
          <w:rFonts w:hint="eastAsia" w:ascii="仿宋_GB2312" w:hAnsi="仿宋_GB2312" w:eastAsia="仿宋_GB2312" w:cs="仿宋_GB2312"/>
          <w:position w:val="0"/>
          <w:sz w:val="32"/>
          <w:szCs w:val="32"/>
          <w:lang w:val="en-US" w:eastAsia="zh-CN"/>
        </w:rPr>
        <w:t>100%</w:t>
      </w:r>
      <w:r>
        <w:rPr>
          <w:rFonts w:hint="eastAsia" w:ascii="仿宋_GB2312" w:hAnsi="仿宋_GB2312" w:eastAsia="仿宋_GB2312" w:cs="仿宋_GB2312"/>
          <w:position w:val="0"/>
          <w:sz w:val="32"/>
          <w:szCs w:val="32"/>
          <w:lang w:eastAsia="zh-CN"/>
        </w:rPr>
        <w:t>。</w:t>
      </w:r>
    </w:p>
    <w:p w14:paraId="046C308E">
      <w:pPr>
        <w:pStyle w:val="5"/>
        <w:spacing w:line="60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14:paraId="26312E7F">
      <w:pPr>
        <w:pStyle w:val="2"/>
        <w:ind w:left="0" w:leftChars="0" w:firstLine="640" w:firstLineChars="200"/>
        <w:rPr>
          <w:rFonts w:hint="eastAsia" w:ascii="仿宋_GB2312" w:hAnsi="仿宋_GB2312" w:eastAsia="仿宋_GB2312" w:cs="仿宋_GB2312"/>
          <w:kern w:val="0"/>
          <w:sz w:val="32"/>
          <w:szCs w:val="32"/>
        </w:rPr>
      </w:pPr>
      <w:r>
        <w:rPr>
          <w:rFonts w:hint="eastAsia" w:hAnsi="仿宋_GB2312" w:eastAsia="仿宋_GB2312" w:cs="仿宋_GB2312"/>
          <w:kern w:val="0"/>
          <w:sz w:val="32"/>
          <w:szCs w:val="32"/>
          <w:lang w:eastAsia="zh-CN"/>
        </w:rPr>
        <w:t>加快项目推进，尽快拨付剩余资金</w:t>
      </w:r>
      <w:r>
        <w:rPr>
          <w:rFonts w:hint="eastAsia" w:ascii="仿宋_GB2312" w:hAnsi="仿宋_GB2312" w:eastAsia="仿宋_GB2312" w:cs="仿宋_GB2312"/>
          <w:kern w:val="0"/>
          <w:sz w:val="32"/>
          <w:szCs w:val="32"/>
        </w:rPr>
        <w:t>。</w:t>
      </w:r>
    </w:p>
    <w:p w14:paraId="4572A0A2">
      <w:pPr>
        <w:rPr>
          <w:rFonts w:hint="eastAsia" w:ascii="仿宋_GB2312" w:hAnsi="仿宋_GB2312" w:eastAsia="仿宋_GB2312" w:cs="仿宋_GB2312"/>
          <w:kern w:val="0"/>
          <w:sz w:val="32"/>
          <w:szCs w:val="32"/>
        </w:rPr>
      </w:pPr>
    </w:p>
    <w:p w14:paraId="38F1FFFF">
      <w:pPr>
        <w:pStyle w:val="2"/>
        <w:rPr>
          <w:rFonts w:hint="eastAsia" w:ascii="仿宋_GB2312" w:hAnsi="仿宋_GB2312" w:eastAsia="仿宋_GB2312" w:cs="仿宋_GB2312"/>
          <w:kern w:val="0"/>
          <w:sz w:val="32"/>
          <w:szCs w:val="32"/>
        </w:rPr>
      </w:pPr>
    </w:p>
    <w:p w14:paraId="4142D323">
      <w:pPr>
        <w:rPr>
          <w:rFonts w:hint="eastAsia" w:ascii="仿宋_GB2312" w:hAnsi="仿宋_GB2312" w:eastAsia="仿宋_GB2312" w:cs="仿宋_GB2312"/>
          <w:kern w:val="0"/>
          <w:sz w:val="32"/>
          <w:szCs w:val="32"/>
        </w:rPr>
      </w:pPr>
    </w:p>
    <w:p w14:paraId="5CFA26D9">
      <w:pPr>
        <w:pStyle w:val="2"/>
        <w:rPr>
          <w:rFonts w:hint="eastAsia" w:ascii="仿宋_GB2312" w:hAnsi="仿宋_GB2312" w:eastAsia="仿宋_GB2312" w:cs="仿宋_GB2312"/>
          <w:kern w:val="0"/>
          <w:sz w:val="32"/>
          <w:szCs w:val="32"/>
        </w:rPr>
      </w:pPr>
    </w:p>
    <w:p w14:paraId="32FF03F7">
      <w:pPr>
        <w:rPr>
          <w:rFonts w:hint="eastAsia" w:ascii="仿宋_GB2312" w:hAnsi="仿宋_GB2312" w:eastAsia="仿宋_GB2312" w:cs="仿宋_GB2312"/>
          <w:kern w:val="0"/>
          <w:sz w:val="32"/>
          <w:szCs w:val="32"/>
        </w:rPr>
      </w:pPr>
    </w:p>
    <w:p w14:paraId="294E2A84">
      <w:pPr>
        <w:pStyle w:val="2"/>
        <w:rPr>
          <w:rFonts w:hint="eastAsia" w:ascii="仿宋_GB2312" w:hAnsi="仿宋_GB2312" w:eastAsia="仿宋_GB2312" w:cs="仿宋_GB2312"/>
          <w:kern w:val="0"/>
          <w:sz w:val="32"/>
          <w:szCs w:val="32"/>
        </w:rPr>
      </w:pPr>
    </w:p>
    <w:p w14:paraId="7BEF405A">
      <w:pPr>
        <w:rPr>
          <w:rFonts w:hint="eastAsia" w:ascii="仿宋_GB2312" w:hAnsi="仿宋_GB2312" w:eastAsia="仿宋_GB2312" w:cs="仿宋_GB2312"/>
          <w:kern w:val="0"/>
          <w:sz w:val="32"/>
          <w:szCs w:val="32"/>
        </w:rPr>
      </w:pPr>
    </w:p>
    <w:p w14:paraId="569627C7">
      <w:pPr>
        <w:pStyle w:val="2"/>
        <w:rPr>
          <w:rFonts w:hint="eastAsia" w:ascii="仿宋_GB2312" w:hAnsi="仿宋_GB2312" w:eastAsia="仿宋_GB2312" w:cs="仿宋_GB2312"/>
          <w:kern w:val="0"/>
          <w:sz w:val="32"/>
          <w:szCs w:val="32"/>
        </w:rPr>
      </w:pPr>
    </w:p>
    <w:p w14:paraId="2CF0D78B">
      <w:pPr>
        <w:rPr>
          <w:rFonts w:hint="eastAsia" w:ascii="仿宋_GB2312" w:hAnsi="仿宋_GB2312" w:eastAsia="仿宋_GB2312" w:cs="仿宋_GB2312"/>
          <w:kern w:val="0"/>
          <w:sz w:val="32"/>
          <w:szCs w:val="32"/>
        </w:rPr>
      </w:pPr>
    </w:p>
    <w:p w14:paraId="4B8B455F">
      <w:pPr>
        <w:pStyle w:val="2"/>
        <w:rPr>
          <w:rFonts w:hint="eastAsia" w:ascii="仿宋_GB2312" w:hAnsi="仿宋_GB2312" w:eastAsia="仿宋_GB2312" w:cs="仿宋_GB2312"/>
          <w:kern w:val="0"/>
          <w:sz w:val="32"/>
          <w:szCs w:val="32"/>
        </w:rPr>
      </w:pPr>
    </w:p>
    <w:p w14:paraId="23552361">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黑水县厨余垃圾处理及资源化利用设施建设项目</w:t>
      </w:r>
      <w:r>
        <w:rPr>
          <w:rFonts w:hint="eastAsia" w:ascii="宋体" w:hAnsi="宋体" w:eastAsia="宋体" w:cs="宋体"/>
          <w:b/>
          <w:bCs/>
          <w:sz w:val="44"/>
          <w:szCs w:val="44"/>
        </w:rPr>
        <w:t>支出绩效评价报告</w:t>
      </w:r>
    </w:p>
    <w:p w14:paraId="4EBA448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rPr>
      </w:pPr>
    </w:p>
    <w:p w14:paraId="23B3966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6FDB54C5">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061C9F1E">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53C0745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为响应国家相关政策，解决黑水县目前餐厨垃圾处置能力严重缺失的迫切问题，提升餐厨垃圾的无害化处置水平，本项目被列入黑水县2021年政府投资计划，被正式提出。</w:t>
      </w:r>
      <w:r>
        <w:rPr>
          <w:rFonts w:hint="eastAsia" w:ascii="仿宋_GB2312" w:hAnsi="仿宋_GB2312" w:eastAsia="仿宋_GB2312" w:cs="仿宋_GB2312"/>
          <w:kern w:val="0"/>
          <w:sz w:val="32"/>
          <w:szCs w:val="32"/>
          <w:lang w:val="en-US" w:eastAsia="zh-CN"/>
        </w:rPr>
        <w:t xml:space="preserve">      </w:t>
      </w:r>
    </w:p>
    <w:p w14:paraId="383CBA0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3CFA465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该项目的实施有助于解决黑水县目前餐厨垃圾处置能力</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提升餐厨垃圾的无害化处置水平</w:t>
      </w:r>
      <w:r>
        <w:rPr>
          <w:rFonts w:hint="eastAsia" w:ascii="仿宋_GB2312" w:hAnsi="仿宋_GB2312" w:eastAsia="仿宋_GB2312" w:cs="仿宋_GB2312"/>
          <w:kern w:val="0"/>
          <w:sz w:val="32"/>
          <w:szCs w:val="32"/>
          <w:lang w:eastAsia="zh-CN"/>
        </w:rPr>
        <w:t>，提高黑水县城镇精细化管理水平，提升城镇形象和提高公众满意度的需要。</w:t>
      </w:r>
    </w:p>
    <w:p w14:paraId="7E82770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1DC3F40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本项目的主要内容分为两个部分：一是餐厨垃圾处理厂区部分：建设日处理规模为20t/d餐厨垃圾处理中心1座， 同时配套室外总平工程。二是餐厨垃圾收运部分：配置厨余垃圾收集车2辆、厨余垃圾收集桶500个以及10t/d餐厨垃圾处理设备2套。</w:t>
      </w:r>
    </w:p>
    <w:p w14:paraId="346EB93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4E7C4A94">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2A40CF02">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5AF0C7F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4F728A0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243712B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39622B4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项目实施主要是为了解决黑水县目前餐厨垃圾处置能力，提升餐厨垃圾的无害化处置水平</w:t>
      </w:r>
      <w:r>
        <w:rPr>
          <w:rFonts w:hint="eastAsia" w:ascii="仿宋_GB2312" w:hAnsi="仿宋_GB2312" w:eastAsia="仿宋_GB2312" w:cs="仿宋_GB2312"/>
          <w:kern w:val="0"/>
          <w:sz w:val="32"/>
          <w:szCs w:val="32"/>
          <w:lang w:val="en-US" w:eastAsia="zh-CN"/>
        </w:rPr>
        <w:t>。本次项目的主要任务就是解决县城餐厨垃圾日处理规模为20t/d餐厨垃圾处理中心1座及10t/d餐厨垃圾处理设备2套，同时配套室外总平工程。收运部分：配置厨余垃圾收集车2辆、厨余垃圾收集桶500个。</w:t>
      </w:r>
    </w:p>
    <w:p w14:paraId="6FD1A06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174369A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该项目资金主要用于黑水县厨余垃圾处理及资源化利用设施建设项目支出费用。</w:t>
      </w:r>
    </w:p>
    <w:p w14:paraId="0F4D905D">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60F2997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7FEA77C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highlight w:val="none"/>
          <w:lang w:val="en-US" w:eastAsia="zh-CN"/>
        </w:rPr>
        <w:t>预算申报项目资金金额为400万元，批复金额为400万元，实际使用金额283.54万元</w:t>
      </w:r>
      <w:r>
        <w:rPr>
          <w:rFonts w:hint="eastAsia" w:ascii="仿宋_GB2312" w:hAnsi="仿宋_GB2312" w:eastAsia="仿宋_GB2312" w:cs="仿宋_GB2312"/>
          <w:kern w:val="0"/>
          <w:sz w:val="32"/>
          <w:szCs w:val="32"/>
          <w:lang w:val="en-US" w:eastAsia="zh-CN"/>
        </w:rPr>
        <w:t>。项目资金符合资金管理办法等相关规定。资金按批复金额在项目实施前全部到位，与资金计划相契合，资金到位率、到位及时性均为100%，保障项目能够如期开展。</w:t>
      </w:r>
    </w:p>
    <w:p w14:paraId="68B0EFEB">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7924659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095C07D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3645E3C6">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kern w:val="0"/>
          <w:sz w:val="32"/>
          <w:szCs w:val="32"/>
          <w:lang w:val="en-US" w:eastAsia="zh-CN"/>
        </w:rPr>
        <w:t>1200</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中央预算内资金和县级财政配套</w:t>
      </w:r>
      <w:r>
        <w:rPr>
          <w:rFonts w:hint="eastAsia" w:ascii="仿宋_GB2312" w:hAnsi="仿宋_GB2312" w:eastAsia="仿宋_GB2312" w:cs="仿宋_GB2312"/>
          <w:kern w:val="0"/>
          <w:sz w:val="32"/>
          <w:szCs w:val="32"/>
        </w:rPr>
        <w:t>资金，预算资金分配充分，资金分配额度合理，与项目单位实际相适应。</w:t>
      </w:r>
      <w:r>
        <w:rPr>
          <w:rFonts w:hint="eastAsia" w:ascii="仿宋_GB2312" w:hAnsi="仿宋_GB2312" w:eastAsia="仿宋_GB2312" w:cs="仿宋_GB2312"/>
          <w:kern w:val="0"/>
          <w:sz w:val="32"/>
          <w:szCs w:val="32"/>
          <w:lang w:val="en-US" w:eastAsia="zh-CN"/>
        </w:rPr>
        <w:t>目前项目资金按照项目进度正常拨付，支付范围为项目工程建设费用，支付依据合规合法，与预算相符。</w:t>
      </w:r>
    </w:p>
    <w:p w14:paraId="6680AEE3">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452D682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该项目的实施有助于解决</w:t>
      </w:r>
      <w:r>
        <w:rPr>
          <w:rFonts w:hint="eastAsia" w:ascii="仿宋_GB2312" w:hAnsi="仿宋_GB2312" w:eastAsia="仿宋_GB2312" w:cs="仿宋_GB2312"/>
          <w:kern w:val="0"/>
          <w:sz w:val="32"/>
          <w:szCs w:val="32"/>
          <w:lang w:eastAsia="zh-CN"/>
        </w:rPr>
        <w:t>黑水县目前餐厨垃圾处置能力，提升餐厨垃圾的无害化处置水平</w:t>
      </w:r>
      <w:r>
        <w:rPr>
          <w:rFonts w:hint="eastAsia" w:ascii="仿宋_GB2312" w:hAnsi="仿宋_GB2312" w:eastAsia="仿宋_GB2312" w:cs="仿宋_GB2312"/>
          <w:kern w:val="0"/>
          <w:sz w:val="32"/>
          <w:szCs w:val="32"/>
          <w:lang w:val="en-US" w:eastAsia="zh-CN"/>
        </w:rPr>
        <w:t>。本次项目的主要任务就是解决县城餐厨垃圾日处理规模为20t/d餐厨垃圾处理中心1座及10t/d餐厨垃圾处理设备2套，同时配套室外总平工程，配置厨余垃圾收集车2辆、厨余垃圾收集桶500个。</w:t>
      </w:r>
    </w:p>
    <w:p w14:paraId="5B680A5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14:paraId="3E1D16D8">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692F031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eastAsia="zh-CN"/>
        </w:rPr>
        <w:t>根据黑财（</w:t>
      </w: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30号文件</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各部门（单位）开展项目绩效评价工作</w:t>
      </w:r>
      <w:r>
        <w:rPr>
          <w:rFonts w:hint="eastAsia" w:ascii="仿宋_GB2312" w:hAnsi="仿宋_GB2312" w:eastAsia="仿宋_GB2312" w:cs="仿宋_GB2312"/>
          <w:kern w:val="0"/>
          <w:sz w:val="32"/>
          <w:szCs w:val="32"/>
        </w:rPr>
        <w:t>。通过本次评价总结经验，发现问题，提出改进建议，进一步提升加强项目支出绩效管理水平、提升预算管理水平、提升项目管理水平。</w:t>
      </w:r>
    </w:p>
    <w:p w14:paraId="21EEFD83">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36987A2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3D97FD3A">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4469438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黑水县厨余垃圾处理及资源化利用设施建设项目</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eastAsia="zh-CN"/>
        </w:rPr>
        <w:t>黑水县财政局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0E5D113C">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3C06E83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78A0573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03128B8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4624034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6E21270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0E565E5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5877AAAC">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7D923D1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458DC1A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50961FF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46326CB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26BF5CF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1FF927C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421EFA0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7EE32EE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5FE2F7A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7C873B1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136885E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37013D5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2C73E26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402BC8F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lang w:val="zh-CN"/>
        </w:rPr>
      </w:pPr>
      <w:r>
        <w:rPr>
          <w:rFonts w:hint="eastAsia" w:ascii="黑体" w:hAnsi="黑体" w:eastAsia="黑体" w:cs="黑体"/>
          <w:sz w:val="32"/>
          <w:szCs w:val="32"/>
        </w:rPr>
        <w:t>三、绩效分析</w:t>
      </w:r>
      <w:r>
        <w:rPr>
          <w:rFonts w:hint="eastAsia" w:ascii="仿宋_GB2312" w:hAnsi="仿宋_GB2312" w:eastAsia="仿宋_GB2312" w:cs="仿宋_GB2312"/>
          <w:sz w:val="32"/>
          <w:szCs w:val="32"/>
          <w:lang w:val="zh-CN"/>
        </w:rPr>
        <w:tab/>
      </w:r>
    </w:p>
    <w:p w14:paraId="2E9BA282">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363AA5B4">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1A173D9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1A50077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13E72BA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50626B8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lang w:eastAsia="zh-CN"/>
        </w:rPr>
        <w:t>但部门绩效存在设置不规范的情况，扣</w:t>
      </w:r>
      <w:r>
        <w:rPr>
          <w:rFonts w:hint="eastAsia" w:ascii="仿宋_GB2312" w:hAnsi="仿宋_GB2312" w:eastAsia="仿宋_GB2312" w:cs="仿宋_GB2312"/>
          <w:kern w:val="0"/>
          <w:sz w:val="32"/>
          <w:szCs w:val="32"/>
          <w:lang w:val="en-US" w:eastAsia="zh-CN"/>
        </w:rPr>
        <w:t>2分，</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分。</w:t>
      </w:r>
    </w:p>
    <w:p w14:paraId="7CD35A5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088CA64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1BC4B19C">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23C1417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7A7D070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01148A9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56C2629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2276421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3546B03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4FB5902E">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6E07A04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5AE13AF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w:t>
      </w:r>
      <w:r>
        <w:rPr>
          <w:rFonts w:hint="eastAsia" w:ascii="仿宋_GB2312" w:hAnsi="仿宋_GB2312" w:eastAsia="仿宋_GB2312" w:cs="仿宋_GB2312"/>
          <w:kern w:val="0"/>
          <w:sz w:val="32"/>
          <w:szCs w:val="32"/>
          <w:lang w:eastAsia="zh-CN"/>
        </w:rPr>
        <w:t>拨付</w:t>
      </w:r>
      <w:r>
        <w:rPr>
          <w:rFonts w:hint="eastAsia" w:ascii="仿宋_GB2312" w:hAnsi="仿宋_GB2312" w:eastAsia="仿宋_GB2312" w:cs="仿宋_GB2312"/>
          <w:kern w:val="0"/>
          <w:sz w:val="32"/>
          <w:szCs w:val="32"/>
          <w:lang w:val="en-US" w:eastAsia="zh-CN"/>
        </w:rPr>
        <w:t>283.54万元</w:t>
      </w:r>
      <w:r>
        <w:rPr>
          <w:rFonts w:hint="eastAsia" w:ascii="仿宋_GB2312" w:hAnsi="仿宋_GB2312" w:eastAsia="仿宋_GB2312" w:cs="仿宋_GB2312"/>
          <w:kern w:val="0"/>
          <w:sz w:val="32"/>
          <w:szCs w:val="32"/>
        </w:rPr>
        <w:t>，拨付率</w:t>
      </w:r>
      <w:r>
        <w:rPr>
          <w:rFonts w:hint="eastAsia" w:ascii="仿宋_GB2312" w:hAnsi="仿宋_GB2312" w:eastAsia="仿宋_GB2312" w:cs="仿宋_GB2312"/>
          <w:kern w:val="0"/>
          <w:sz w:val="32"/>
          <w:szCs w:val="32"/>
          <w:lang w:val="en-US" w:eastAsia="zh-CN"/>
        </w:rPr>
        <w:t>70.9</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分。</w:t>
      </w:r>
    </w:p>
    <w:p w14:paraId="034DB0B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42C816F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4A8AB1AD">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339EF28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61A5F06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0D7A9EF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1291A86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081EB2A1">
      <w:pPr>
        <w:keepNext w:val="0"/>
        <w:keepLines w:val="0"/>
        <w:pageBreakBefore w:val="0"/>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4ED337E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color w:val="auto"/>
          <w:sz w:val="32"/>
          <w:szCs w:val="32"/>
          <w:highlight w:val="none"/>
          <w:lang w:val="en-US" w:eastAsia="zh-CN"/>
        </w:rPr>
        <w:t>基础设施类-在建项目。工程进度：</w:t>
      </w:r>
      <w:r>
        <w:rPr>
          <w:rFonts w:hint="eastAsia" w:ascii="仿宋_GB2312" w:hAnsi="仿宋_GB2312" w:eastAsia="仿宋_GB2312" w:cs="仿宋_GB2312"/>
          <w:color w:val="auto"/>
          <w:sz w:val="32"/>
          <w:szCs w:val="32"/>
          <w:highlight w:val="none"/>
          <w:lang w:eastAsia="zh-CN"/>
        </w:rPr>
        <w:t>黑水县厨余垃圾处理及资源化利用设施建设项目已完成完成工程量的</w:t>
      </w:r>
      <w:r>
        <w:rPr>
          <w:rFonts w:hint="eastAsia" w:ascii="仿宋_GB2312" w:hAnsi="仿宋_GB2312" w:eastAsia="仿宋_GB2312" w:cs="仿宋_GB2312"/>
          <w:color w:val="auto"/>
          <w:sz w:val="32"/>
          <w:szCs w:val="32"/>
          <w:highlight w:val="none"/>
          <w:lang w:val="en-US" w:eastAsia="zh-CN"/>
        </w:rPr>
        <w:t>20%，达到了计划工程进度</w:t>
      </w:r>
      <w:r>
        <w:rPr>
          <w:rFonts w:hint="eastAsia" w:ascii="仿宋_GB2312" w:hAnsi="仿宋_GB2312" w:eastAsia="仿宋_GB2312" w:cs="仿宋_GB2312"/>
          <w:color w:val="auto"/>
          <w:sz w:val="32"/>
          <w:szCs w:val="32"/>
          <w:highlight w:val="none"/>
          <w:lang w:eastAsia="zh-CN"/>
        </w:rPr>
        <w:t>，得</w:t>
      </w:r>
      <w:r>
        <w:rPr>
          <w:rFonts w:hint="eastAsia" w:ascii="仿宋_GB2312" w:hAnsi="仿宋_GB2312" w:eastAsia="仿宋_GB2312" w:cs="仿宋_GB2312"/>
          <w:color w:val="auto"/>
          <w:sz w:val="32"/>
          <w:szCs w:val="32"/>
          <w:highlight w:val="none"/>
          <w:lang w:val="en-US" w:eastAsia="zh-CN"/>
        </w:rPr>
        <w:t>15分，资金拨付：已拨付资金283.54万元，已达到预先确定的资金拨付进度</w:t>
      </w:r>
      <w:r>
        <w:rPr>
          <w:rFonts w:hint="eastAsia" w:ascii="仿宋_GB2312" w:hAnsi="仿宋_GB2312" w:eastAsia="仿宋_GB2312" w:cs="仿宋_GB2312"/>
          <w:color w:val="auto"/>
          <w:sz w:val="32"/>
          <w:szCs w:val="32"/>
          <w:highlight w:val="none"/>
          <w:lang w:eastAsia="zh-CN"/>
        </w:rPr>
        <w:t>。</w:t>
      </w:r>
    </w:p>
    <w:p w14:paraId="4345D185">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11F115E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w:t>
      </w:r>
      <w:r>
        <w:rPr>
          <w:rFonts w:hint="eastAsia" w:ascii="仿宋_GB2312" w:hAnsi="仿宋_GB2312" w:eastAsia="仿宋_GB2312" w:cs="仿宋_GB2312"/>
          <w:kern w:val="0"/>
          <w:sz w:val="32"/>
          <w:szCs w:val="32"/>
          <w:lang w:eastAsia="zh-CN"/>
        </w:rPr>
        <w:t>开工</w:t>
      </w:r>
      <w:r>
        <w:rPr>
          <w:rFonts w:hint="eastAsia" w:ascii="仿宋_GB2312" w:hAnsi="仿宋_GB2312" w:eastAsia="仿宋_GB2312" w:cs="仿宋_GB2312"/>
          <w:kern w:val="0"/>
          <w:sz w:val="32"/>
          <w:szCs w:val="32"/>
        </w:rPr>
        <w:t>，资金已按期拨付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37FE862A">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14:paraId="22EF5D6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eastAsia="zh-CN"/>
        </w:rPr>
        <w:t>黑水县厨余垃圾处理及资源化利用设施建设项目</w:t>
      </w:r>
      <w:r>
        <w:rPr>
          <w:rFonts w:hint="eastAsia" w:ascii="仿宋_GB2312" w:hAnsi="仿宋_GB2312" w:eastAsia="仿宋_GB2312" w:cs="仿宋_GB2312"/>
          <w:kern w:val="0"/>
          <w:sz w:val="32"/>
          <w:szCs w:val="32"/>
        </w:rPr>
        <w:t>支出绩效自评工作，经对各类指标进行评分和汇总分析，</w:t>
      </w:r>
      <w:r>
        <w:rPr>
          <w:rFonts w:hint="eastAsia" w:ascii="仿宋_GB2312" w:hAnsi="仿宋_GB2312" w:eastAsia="仿宋_GB2312" w:cs="仿宋_GB2312"/>
          <w:kern w:val="0"/>
          <w:sz w:val="32"/>
          <w:szCs w:val="32"/>
          <w:lang w:eastAsia="zh-CN"/>
        </w:rPr>
        <w:t>黑水县厨余垃圾处理及资源化利用设施建设项目</w:t>
      </w:r>
      <w:r>
        <w:rPr>
          <w:rFonts w:hint="eastAsia" w:ascii="仿宋_GB2312" w:hAnsi="仿宋_GB2312" w:eastAsia="仿宋_GB2312" w:cs="仿宋_GB2312"/>
          <w:kern w:val="0"/>
          <w:sz w:val="32"/>
          <w:szCs w:val="32"/>
        </w:rPr>
        <w:t>支出绩效评价综合得分</w:t>
      </w:r>
      <w:r>
        <w:rPr>
          <w:rFonts w:hint="eastAsia" w:ascii="仿宋_GB2312" w:hAnsi="仿宋_GB2312" w:eastAsia="仿宋_GB2312" w:cs="仿宋_GB2312"/>
          <w:kern w:val="0"/>
          <w:sz w:val="32"/>
          <w:szCs w:val="32"/>
          <w:lang w:val="en-US" w:eastAsia="zh-CN"/>
        </w:rPr>
        <w:t>97</w:t>
      </w:r>
      <w:r>
        <w:rPr>
          <w:rFonts w:hint="eastAsia" w:ascii="仿宋_GB2312" w:hAnsi="仿宋_GB2312" w:eastAsia="仿宋_GB2312" w:cs="仿宋_GB2312"/>
          <w:kern w:val="0"/>
          <w:sz w:val="32"/>
          <w:szCs w:val="32"/>
        </w:rPr>
        <w:t>分。评价结果显示，黑水县厨余垃圾处理及资源化利用设施建设项目按照相关规定进行使用和管理，程序较为规范，项目支出使用效益达到预期。</w:t>
      </w:r>
    </w:p>
    <w:p w14:paraId="4EE26665">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37195130">
      <w:pPr>
        <w:pStyle w:val="5"/>
        <w:keepNext w:val="0"/>
        <w:keepLines w:val="0"/>
        <w:pageBreakBefore w:val="0"/>
        <w:kinsoku/>
        <w:wordWrap/>
        <w:overflowPunct/>
        <w:topLinePunct w:val="0"/>
        <w:autoSpaceDE/>
        <w:autoSpaceDN/>
        <w:bidi w:val="0"/>
        <w:spacing w:line="560" w:lineRule="exact"/>
        <w:ind w:left="0" w:leftChars="0" w:firstLine="960" w:firstLineChars="3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无。</w:t>
      </w:r>
    </w:p>
    <w:p w14:paraId="3C63CD33">
      <w:pPr>
        <w:pStyle w:val="2"/>
        <w:ind w:left="0" w:leftChars="0" w:firstLine="0" w:firstLineChars="0"/>
        <w:jc w:val="center"/>
        <w:rPr>
          <w:rFonts w:hint="eastAsia" w:ascii="宋体" w:hAnsi="宋体" w:eastAsia="宋体" w:cs="宋体"/>
          <w:b/>
          <w:bCs w:val="0"/>
          <w:sz w:val="44"/>
          <w:szCs w:val="44"/>
        </w:rPr>
      </w:pPr>
      <w:r>
        <w:rPr>
          <w:rFonts w:hint="eastAsia" w:ascii="宋体" w:hAnsi="宋体" w:eastAsia="宋体" w:cs="宋体"/>
          <w:b/>
          <w:bCs w:val="0"/>
          <w:sz w:val="44"/>
          <w:szCs w:val="44"/>
          <w:lang w:val="en-US" w:eastAsia="zh-CN"/>
        </w:rPr>
        <w:t>城市生活污水处理厂委托运营服务费</w:t>
      </w:r>
      <w:r>
        <w:rPr>
          <w:rFonts w:hint="eastAsia" w:ascii="宋体" w:hAnsi="宋体" w:eastAsia="宋体" w:cs="宋体"/>
          <w:b/>
          <w:bCs w:val="0"/>
          <w:sz w:val="44"/>
          <w:szCs w:val="44"/>
        </w:rPr>
        <w:t>项目支出绩效评价报告</w:t>
      </w:r>
    </w:p>
    <w:p w14:paraId="23EDFFF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1AE40514">
      <w:pPr>
        <w:ind w:firstLine="643" w:firstLineChars="200"/>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7C67BD2A">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黑水县</w:t>
      </w:r>
      <w:r>
        <w:rPr>
          <w:rFonts w:hint="eastAsia" w:ascii="仿宋_GB2312" w:hAnsi="仿宋_GB2312" w:eastAsia="仿宋_GB2312" w:cs="仿宋_GB2312"/>
          <w:sz w:val="32"/>
          <w:szCs w:val="32"/>
          <w:highlight w:val="none"/>
          <w:lang w:eastAsia="zh-CN"/>
        </w:rPr>
        <w:t>城市生活污水处理厂</w:t>
      </w:r>
      <w:r>
        <w:rPr>
          <w:rFonts w:hint="eastAsia" w:ascii="仿宋_GB2312" w:hAnsi="仿宋_GB2312" w:eastAsia="仿宋_GB2312" w:cs="仿宋_GB2312"/>
          <w:sz w:val="32"/>
          <w:szCs w:val="32"/>
          <w:highlight w:val="none"/>
        </w:rPr>
        <w:t>位于</w:t>
      </w:r>
      <w:r>
        <w:rPr>
          <w:rFonts w:hint="eastAsia" w:ascii="仿宋_GB2312" w:hAnsi="仿宋_GB2312" w:eastAsia="仿宋_GB2312" w:cs="仿宋_GB2312"/>
          <w:sz w:val="32"/>
          <w:szCs w:val="32"/>
          <w:highlight w:val="none"/>
          <w:lang w:val="en-US" w:eastAsia="zh-CN"/>
        </w:rPr>
        <w:t>芦花镇</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委托四川阿坝兴蓉环境有限公司进行</w:t>
      </w:r>
      <w:r>
        <w:rPr>
          <w:rFonts w:hint="eastAsia" w:ascii="仿宋_GB2312" w:hAnsi="仿宋_GB2312" w:eastAsia="仿宋_GB2312" w:cs="仿宋_GB2312"/>
          <w:sz w:val="32"/>
          <w:szCs w:val="32"/>
          <w:highlight w:val="none"/>
          <w:lang w:eastAsia="zh-CN"/>
        </w:rPr>
        <w:t>城市生活污水处理厂</w:t>
      </w:r>
      <w:r>
        <w:rPr>
          <w:rFonts w:hint="eastAsia" w:ascii="仿宋_GB2312" w:hAnsi="仿宋_GB2312" w:eastAsia="仿宋_GB2312" w:cs="仿宋_GB2312"/>
          <w:sz w:val="32"/>
          <w:szCs w:val="32"/>
          <w:highlight w:val="none"/>
          <w:lang w:val="en-US" w:eastAsia="zh-CN"/>
        </w:rPr>
        <w:t>的运营维护。</w:t>
      </w:r>
    </w:p>
    <w:p w14:paraId="61FCD63E">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委托运营维护费</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sz w:val="32"/>
          <w:szCs w:val="32"/>
          <w:highlight w:val="none"/>
        </w:rPr>
        <w:t>万元。</w:t>
      </w:r>
    </w:p>
    <w:p w14:paraId="00B3ACC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sz w:val="32"/>
          <w:szCs w:val="32"/>
          <w:highlight w:val="none"/>
        </w:rPr>
        <w:t>资金来源：</w:t>
      </w:r>
      <w:r>
        <w:rPr>
          <w:rFonts w:hint="eastAsia" w:ascii="仿宋_GB2312" w:hAnsi="仿宋_GB2312" w:eastAsia="仿宋_GB2312" w:cs="仿宋_GB2312"/>
          <w:sz w:val="32"/>
          <w:szCs w:val="32"/>
          <w:highlight w:val="none"/>
          <w:lang w:val="en-US" w:eastAsia="zh-CN"/>
        </w:rPr>
        <w:t>申请县级预算内资金</w:t>
      </w:r>
      <w:r>
        <w:rPr>
          <w:rFonts w:hint="eastAsia" w:ascii="仿宋_GB2312" w:hAnsi="仿宋_GB2312" w:eastAsia="仿宋_GB2312" w:cs="仿宋_GB2312"/>
          <w:sz w:val="32"/>
          <w:szCs w:val="32"/>
          <w:highlight w:val="none"/>
        </w:rPr>
        <w:t>。</w:t>
      </w:r>
    </w:p>
    <w:p w14:paraId="3756728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5CAEC164">
      <w:pPr>
        <w:ind w:firstLine="643" w:firstLineChars="200"/>
        <w:rPr>
          <w:rFonts w:hint="eastAsia" w:ascii="仿宋" w:hAnsi="仿宋" w:eastAsia="仿宋" w:cs="仿宋"/>
          <w:sz w:val="32"/>
          <w:szCs w:val="32"/>
          <w:highlight w:val="none"/>
        </w:rPr>
      </w:pPr>
      <w:r>
        <w:rPr>
          <w:rFonts w:hint="eastAsia" w:ascii="仿宋" w:hAnsi="仿宋" w:eastAsia="仿宋" w:cs="仿宋"/>
          <w:b/>
          <w:bCs/>
          <w:sz w:val="32"/>
          <w:szCs w:val="32"/>
          <w:highlight w:val="none"/>
        </w:rPr>
        <w:t>1</w:t>
      </w: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rPr>
        <w:t>资金计划及到位</w:t>
      </w:r>
      <w:r>
        <w:rPr>
          <w:rFonts w:hint="eastAsia" w:ascii="仿宋" w:hAnsi="仿宋" w:eastAsia="仿宋" w:cs="仿宋"/>
          <w:sz w:val="32"/>
          <w:szCs w:val="32"/>
          <w:highlight w:val="none"/>
        </w:rPr>
        <w:t>。</w:t>
      </w:r>
    </w:p>
    <w:p w14:paraId="421075C1">
      <w:pPr>
        <w:ind w:firstLine="640" w:firstLineChars="200"/>
        <w:rPr>
          <w:rFonts w:hint="eastAsia" w:ascii="仿宋" w:hAnsi="仿宋" w:eastAsia="仿宋" w:cs="仿宋"/>
          <w:b w:val="0"/>
          <w:bCs w:val="0"/>
          <w:i w:val="0"/>
          <w:iCs w:val="0"/>
          <w:sz w:val="32"/>
          <w:szCs w:val="32"/>
          <w:highlight w:val="none"/>
          <w:lang w:val="en-US" w:eastAsia="zh-CN"/>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lang w:val="en-US" w:eastAsia="zh-CN"/>
        </w:rPr>
        <w:t>189.07</w:t>
      </w:r>
      <w:r>
        <w:rPr>
          <w:rFonts w:hint="eastAsia" w:ascii="仿宋" w:hAnsi="仿宋" w:eastAsia="仿宋" w:cs="仿宋"/>
          <w:b w:val="0"/>
          <w:bCs w:val="0"/>
          <w:i w:val="0"/>
          <w:iCs w:val="0"/>
          <w:sz w:val="32"/>
          <w:szCs w:val="32"/>
          <w:highlight w:val="none"/>
          <w:lang w:val="en-US" w:eastAsia="zh-CN"/>
        </w:rPr>
        <w:t>万元。实际到位资金</w:t>
      </w:r>
      <w:r>
        <w:rPr>
          <w:rFonts w:hint="eastAsia" w:ascii="仿宋" w:hAnsi="仿宋" w:eastAsia="仿宋" w:cs="仿宋"/>
          <w:sz w:val="32"/>
          <w:szCs w:val="32"/>
          <w:highlight w:val="none"/>
          <w:lang w:val="en-US" w:eastAsia="zh-CN"/>
        </w:rPr>
        <w:t>189.07</w:t>
      </w:r>
      <w:r>
        <w:rPr>
          <w:rFonts w:hint="eastAsia" w:ascii="仿宋" w:hAnsi="仿宋" w:eastAsia="仿宋" w:cs="仿宋"/>
          <w:b w:val="0"/>
          <w:bCs w:val="0"/>
          <w:i w:val="0"/>
          <w:iCs w:val="0"/>
          <w:sz w:val="32"/>
          <w:szCs w:val="32"/>
          <w:highlight w:val="none"/>
          <w:lang w:val="en-US" w:eastAsia="zh-CN"/>
        </w:rPr>
        <w:t>万元，资金到位率为100%。</w:t>
      </w:r>
    </w:p>
    <w:p w14:paraId="7EE03F64">
      <w:pPr>
        <w:ind w:firstLine="643" w:firstLineChars="200"/>
        <w:rPr>
          <w:rFonts w:hint="eastAsia" w:ascii="仿宋" w:hAnsi="仿宋" w:eastAsia="仿宋" w:cs="仿宋"/>
          <w:b/>
          <w:bCs/>
          <w:i w:val="0"/>
          <w:iCs w:val="0"/>
          <w:sz w:val="32"/>
          <w:szCs w:val="32"/>
          <w:highlight w:val="none"/>
        </w:rPr>
      </w:pPr>
      <w:r>
        <w:rPr>
          <w:rFonts w:hint="eastAsia" w:ascii="仿宋" w:hAnsi="仿宋" w:eastAsia="仿宋" w:cs="仿宋"/>
          <w:b/>
          <w:bCs/>
          <w:i w:val="0"/>
          <w:iCs w:val="0"/>
          <w:sz w:val="32"/>
          <w:szCs w:val="32"/>
          <w:highlight w:val="none"/>
        </w:rPr>
        <w:t>2.资金使用。</w:t>
      </w:r>
    </w:p>
    <w:p w14:paraId="46E129FD">
      <w:pPr>
        <w:ind w:firstLine="640" w:firstLineChars="200"/>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lang w:val="en-US" w:eastAsia="zh-CN"/>
        </w:rPr>
        <w:t>2024</w:t>
      </w:r>
      <w:r>
        <w:rPr>
          <w:rFonts w:hint="eastAsia" w:ascii="仿宋" w:hAnsi="仿宋" w:eastAsia="仿宋" w:cs="仿宋"/>
          <w:b w:val="0"/>
          <w:bCs w:val="0"/>
          <w:i w:val="0"/>
          <w:iCs w:val="0"/>
          <w:sz w:val="32"/>
          <w:szCs w:val="32"/>
          <w:highlight w:val="none"/>
        </w:rPr>
        <w:t>年共支付</w:t>
      </w:r>
      <w:r>
        <w:rPr>
          <w:rFonts w:hint="eastAsia" w:ascii="仿宋" w:hAnsi="仿宋" w:eastAsia="仿宋" w:cs="仿宋"/>
          <w:b w:val="0"/>
          <w:bCs w:val="0"/>
          <w:i w:val="0"/>
          <w:iCs w:val="0"/>
          <w:sz w:val="32"/>
          <w:szCs w:val="32"/>
          <w:highlight w:val="none"/>
          <w:lang w:val="en-US" w:eastAsia="zh-CN"/>
        </w:rPr>
        <w:t>给</w:t>
      </w:r>
      <w:r>
        <w:rPr>
          <w:rFonts w:hint="eastAsia" w:ascii="仿宋" w:hAnsi="仿宋" w:eastAsia="仿宋" w:cs="仿宋"/>
          <w:sz w:val="32"/>
          <w:szCs w:val="32"/>
          <w:highlight w:val="none"/>
          <w:lang w:val="en-US" w:eastAsia="zh-CN"/>
        </w:rPr>
        <w:t>四川阿坝兴蓉环境有限公司</w:t>
      </w: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lang w:val="en-US" w:eastAsia="zh-CN"/>
        </w:rPr>
        <w:t>189.07</w:t>
      </w:r>
      <w:r>
        <w:rPr>
          <w:rFonts w:hint="eastAsia" w:ascii="仿宋" w:hAnsi="仿宋" w:eastAsia="仿宋" w:cs="仿宋"/>
          <w:b w:val="0"/>
          <w:bCs w:val="0"/>
          <w:i w:val="0"/>
          <w:iCs w:val="0"/>
          <w:sz w:val="32"/>
          <w:szCs w:val="32"/>
          <w:highlight w:val="none"/>
        </w:rPr>
        <w:t>万元。县财政下拨项目资金到我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后，我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根据财政专项资金支出计划及各责任单位提供的资金拨付申请，按照财务管理制度及相关法律法规支付资金。</w:t>
      </w:r>
    </w:p>
    <w:p w14:paraId="49FCD39A">
      <w:pPr>
        <w:ind w:firstLine="643" w:firstLineChars="200"/>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3.</w:t>
      </w:r>
      <w:r>
        <w:rPr>
          <w:rFonts w:hint="eastAsia" w:ascii="仿宋" w:hAnsi="仿宋" w:eastAsia="仿宋" w:cs="仿宋"/>
          <w:b/>
          <w:bCs/>
          <w:sz w:val="32"/>
          <w:szCs w:val="32"/>
          <w:highlight w:val="none"/>
        </w:rPr>
        <w:t>项目财务管理情况。</w:t>
      </w:r>
    </w:p>
    <w:p w14:paraId="1AB3090B">
      <w:pPr>
        <w:ind w:firstLine="960" w:firstLineChars="3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财务管理制度健全，在项目实施过程中严格执行财务管理制度，财务处理及时，会计核算规范。</w:t>
      </w:r>
    </w:p>
    <w:p w14:paraId="2F178F08">
      <w:pPr>
        <w:ind w:firstLine="964" w:firstLineChars="300"/>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4.项目实施目的和主要工作任务</w:t>
      </w:r>
      <w:r>
        <w:rPr>
          <w:rFonts w:hint="eastAsia" w:ascii="仿宋" w:hAnsi="仿宋" w:eastAsia="仿宋" w:cs="仿宋"/>
          <w:b/>
          <w:bCs/>
          <w:sz w:val="32"/>
          <w:szCs w:val="32"/>
          <w:highlight w:val="none"/>
        </w:rPr>
        <w:t>。</w:t>
      </w:r>
    </w:p>
    <w:p w14:paraId="5B9EECA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 w:hAnsi="仿宋" w:eastAsia="仿宋" w:cs="仿宋"/>
          <w:sz w:val="32"/>
          <w:szCs w:val="32"/>
          <w:highlight w:val="none"/>
          <w:lang w:val="en-US" w:eastAsia="zh-CN"/>
        </w:rPr>
        <w:t>项目主要委托四川阿坝兴蓉环境有限公司对</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进行运营维护。</w:t>
      </w:r>
    </w:p>
    <w:p w14:paraId="4B9C801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51AB4702">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1AEC1DE8">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lang w:val="en-US" w:eastAsia="zh-CN"/>
        </w:rPr>
        <w:t>万元，批复金额为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lang w:val="en-US" w:eastAsia="zh-CN"/>
        </w:rPr>
        <w:t>万元，实际使用金额</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lang w:val="en-US" w:eastAsia="zh-CN"/>
        </w:rPr>
        <w:t>万元，项目资金符合资金管理办法等相关规定。资金按批复金额在项目实施前全部到位，与资金计划相契合，资金到位率、到位及时性均为100%，保障项目能够如期开展。</w:t>
      </w:r>
    </w:p>
    <w:p w14:paraId="0711C147">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7104DB84">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48EC6FEF">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61BD4364">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县级财政</w:t>
      </w:r>
      <w:r>
        <w:rPr>
          <w:rFonts w:hint="eastAsia" w:ascii="仿宋_GB2312" w:hAnsi="仿宋_GB2312" w:eastAsia="仿宋_GB2312" w:cs="仿宋_GB2312"/>
          <w:kern w:val="0"/>
          <w:sz w:val="32"/>
          <w:szCs w:val="32"/>
        </w:rPr>
        <w:t>专项资金，预算资金分配充分，资金分配额度合理，与项目单位实际相适应。</w:t>
      </w:r>
      <w:r>
        <w:rPr>
          <w:rFonts w:hint="eastAsia" w:ascii="仿宋_GB2312" w:hAnsi="仿宋_GB2312" w:eastAsia="仿宋_GB2312" w:cs="仿宋_GB2312"/>
          <w:kern w:val="0"/>
          <w:sz w:val="32"/>
          <w:szCs w:val="32"/>
          <w:lang w:val="en-US" w:eastAsia="zh-CN"/>
        </w:rPr>
        <w:t xml:space="preserve"> 目前项目资金已全部支出，支付范围为清扫保洁时产生的劳务费、环卫用品费、环卫车辆燃油及维修费和对城区范围内的道路、桥梁、广场、路灯等市政设施实行统一维护和管理产生的市政维修维护费、材料费、劳务费，支付依据合规合法，与预算相符。</w:t>
      </w:r>
    </w:p>
    <w:p w14:paraId="478C252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14:paraId="2AD608D2">
      <w:pPr>
        <w:ind w:firstLine="643" w:firstLineChars="200"/>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1.</w:t>
      </w:r>
      <w:r>
        <w:rPr>
          <w:rFonts w:hint="eastAsia" w:ascii="仿宋" w:hAnsi="仿宋" w:eastAsia="仿宋" w:cs="仿宋"/>
          <w:b/>
          <w:bCs/>
          <w:sz w:val="32"/>
          <w:szCs w:val="32"/>
          <w:highlight w:val="none"/>
        </w:rPr>
        <w:t>项目完成情况。</w:t>
      </w:r>
    </w:p>
    <w:p w14:paraId="3C7A9386">
      <w:pPr>
        <w:ind w:firstLine="640" w:firstLineChars="200"/>
        <w:rPr>
          <w:rFonts w:hint="default" w:ascii="仿宋" w:hAnsi="仿宋" w:eastAsia="仿宋" w:cs="仿宋"/>
          <w:sz w:val="32"/>
          <w:szCs w:val="32"/>
          <w:highlight w:val="none"/>
          <w:lang w:val="en-US"/>
        </w:rPr>
      </w:pPr>
      <w:r>
        <w:rPr>
          <w:rFonts w:hint="eastAsia" w:ascii="仿宋" w:hAnsi="仿宋" w:eastAsia="仿宋" w:cs="仿宋"/>
          <w:sz w:val="32"/>
          <w:szCs w:val="32"/>
          <w:highlight w:val="none"/>
          <w:lang w:val="en-US" w:eastAsia="zh-CN"/>
        </w:rPr>
        <w:t>四川阿坝兴蓉环境有限公司已完成黑水县城市生活污水处理厂2024年1-9月的</w:t>
      </w:r>
      <w:r>
        <w:rPr>
          <w:rFonts w:hint="eastAsia" w:ascii="仿宋" w:hAnsi="仿宋" w:eastAsia="仿宋" w:cs="仿宋"/>
          <w:sz w:val="32"/>
          <w:szCs w:val="32"/>
          <w:highlight w:val="none"/>
          <w:lang w:eastAsia="zh-CN"/>
        </w:rPr>
        <w:t>运营维护</w:t>
      </w:r>
      <w:r>
        <w:rPr>
          <w:rFonts w:hint="eastAsia" w:ascii="仿宋" w:hAnsi="仿宋" w:eastAsia="仿宋" w:cs="仿宋"/>
          <w:sz w:val="32"/>
          <w:szCs w:val="32"/>
          <w:highlight w:val="none"/>
          <w:lang w:val="en-US" w:eastAsia="zh-CN"/>
        </w:rPr>
        <w:t>工作，2024年污水处理量为25.02万吨，污水处理率为96%。</w:t>
      </w:r>
    </w:p>
    <w:p w14:paraId="6F99306E">
      <w:pPr>
        <w:numPr>
          <w:ilvl w:val="0"/>
          <w:numId w:val="0"/>
        </w:numPr>
        <w:ind w:leftChars="300"/>
        <w:rPr>
          <w:rFonts w:hint="eastAsia" w:ascii="仿宋" w:hAnsi="仿宋" w:eastAsia="仿宋" w:cs="仿宋"/>
          <w:sz w:val="32"/>
          <w:szCs w:val="32"/>
          <w:highlight w:val="none"/>
        </w:rPr>
      </w:pPr>
      <w:r>
        <w:rPr>
          <w:rFonts w:hint="eastAsia" w:ascii="仿宋" w:hAnsi="仿宋" w:eastAsia="仿宋" w:cs="仿宋"/>
          <w:b/>
          <w:bCs/>
          <w:sz w:val="32"/>
          <w:szCs w:val="32"/>
          <w:highlight w:val="none"/>
          <w:lang w:val="en-US" w:eastAsia="zh-CN"/>
        </w:rPr>
        <w:t>2.</w:t>
      </w:r>
      <w:r>
        <w:rPr>
          <w:rFonts w:hint="eastAsia" w:ascii="仿宋" w:hAnsi="仿宋" w:eastAsia="仿宋" w:cs="仿宋"/>
          <w:b/>
          <w:bCs/>
          <w:sz w:val="32"/>
          <w:szCs w:val="32"/>
          <w:highlight w:val="none"/>
        </w:rPr>
        <w:t>项目效益情况</w:t>
      </w:r>
      <w:r>
        <w:rPr>
          <w:rFonts w:hint="eastAsia" w:ascii="仿宋" w:hAnsi="仿宋" w:eastAsia="仿宋" w:cs="仿宋"/>
          <w:sz w:val="32"/>
          <w:szCs w:val="32"/>
          <w:highlight w:val="none"/>
        </w:rPr>
        <w:t>。</w:t>
      </w:r>
    </w:p>
    <w:p w14:paraId="27B752BC">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 w:hAnsi="仿宋" w:eastAsia="仿宋" w:cs="仿宋"/>
          <w:sz w:val="32"/>
          <w:szCs w:val="32"/>
          <w:highlight w:val="none"/>
          <w:lang w:val="en-US" w:eastAsia="zh-CN"/>
        </w:rPr>
        <w:t>委托四川阿坝兴蓉环境有限公司进行</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2024年1-9月的运营维护</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负责黑水县城市生活污水的处理工作，提升黑水县生态环境。2024年污水处理量为25.02万吨，污水处理率为96%。</w:t>
      </w:r>
    </w:p>
    <w:p w14:paraId="24D4EDB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14:paraId="1B6282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（一）评价目的。</w:t>
      </w:r>
    </w:p>
    <w:p w14:paraId="3B2B12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衡量项目绩效：通过对专项预算项目的实施过程和完成结果进行全面、系统的分析与评价，准确衡量项目在实现预定目标方面所取得的成效，了解项目是否达到了预期的产出和效果，包括数量、质量、时效、成本等方面的目标完成情况。</w:t>
      </w:r>
    </w:p>
    <w:p w14:paraId="222A5C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强化资金管理：评估专项预算资金的使用效益，检查资金是否按照规定的用途合理、合规使用，是否存在浪费、挪用、截留等问题，从而确保财政资金的安全和有效使用，提高资金的使用效率和效益，优化资源配置。</w:t>
      </w:r>
    </w:p>
    <w:p w14:paraId="12E7D71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促进管理改进：发现项目实施过程中存在的问题和不足，如项目管理流程是否完善、管理制度是否健全、执行是否有力等，为项目实施部门提供改进管理的依据和方向，有助于提高项目管理水平，完善项目管理机制，提升公共服务的质量和效率。</w:t>
      </w:r>
    </w:p>
    <w:p w14:paraId="247E715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增强责任意识：明确在项目实施过程中的责任和义务，促使其更加重视项目的绩效目标，提高对预算执行和项目管理的责任心，强化绩效意识，形成 “花钱必问效、无效必问责” 的良好氛围。</w:t>
      </w:r>
    </w:p>
    <w:p w14:paraId="37A083C3">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p>
    <w:p w14:paraId="6622299A">
      <w:pPr>
        <w:adjustRightInd w:val="0"/>
        <w:snapToGrid w:val="0"/>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2435856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p>
    <w:p w14:paraId="459E12C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kern w:val="0"/>
          <w:sz w:val="32"/>
          <w:szCs w:val="32"/>
          <w:lang w:val="en-US" w:eastAsia="zh-CN"/>
        </w:rPr>
        <w:t>城市生活污水处理厂委托运营服务</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eastAsia="zh-CN"/>
        </w:rPr>
        <w:t>阿坝州财政局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03751B7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eastAsia="zh-CN"/>
        </w:rPr>
      </w:pPr>
      <w:r>
        <w:rPr>
          <w:rFonts w:hint="default" w:ascii="楷体_GB2312" w:hAnsi="楷体_GB2312" w:eastAsia="楷体_GB2312" w:cs="楷体_GB2312"/>
          <w:b/>
          <w:color w:val="auto"/>
          <w:sz w:val="32"/>
          <w:szCs w:val="32"/>
          <w:highlight w:val="none"/>
          <w:u w:val="none"/>
          <w:lang w:val="zh-CN"/>
        </w:rPr>
        <w:t>（四）评价方法。</w:t>
      </w:r>
    </w:p>
    <w:p w14:paraId="7424DD7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1B94A9B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5B9B476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67C86FE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4E38992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5A7D6FD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59477C8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b/>
          <w:color w:val="auto"/>
          <w:sz w:val="32"/>
          <w:szCs w:val="32"/>
          <w:highlight w:val="none"/>
          <w:u w:val="none"/>
          <w:lang w:val="zh-CN" w:eastAsia="zh-CN"/>
        </w:rPr>
      </w:pPr>
      <w:r>
        <w:rPr>
          <w:rFonts w:hint="default" w:ascii="楷体_GB2312" w:hAnsi="楷体_GB2312" w:eastAsia="楷体_GB2312" w:cs="楷体_GB2312"/>
          <w:b/>
          <w:color w:val="auto"/>
          <w:sz w:val="32"/>
          <w:szCs w:val="32"/>
          <w:highlight w:val="none"/>
          <w:u w:val="none"/>
          <w:lang w:val="zh-CN"/>
        </w:rPr>
        <w:t>（五）评价组织。</w:t>
      </w:r>
    </w:p>
    <w:p w14:paraId="1CD6575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20AB09C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w:t>
      </w:r>
      <w:r>
        <w:rPr>
          <w:rFonts w:hint="eastAsia" w:ascii="仿宋_GB2312" w:hAnsi="仿宋_GB2312" w:eastAsia="仿宋_GB2312" w:cs="仿宋_GB2312"/>
          <w:kern w:val="0"/>
          <w:sz w:val="32"/>
          <w:szCs w:val="32"/>
          <w:lang w:eastAsia="zh-CN"/>
        </w:rPr>
        <w:t>委我局</w:t>
      </w:r>
      <w:r>
        <w:rPr>
          <w:rFonts w:hint="eastAsia" w:ascii="仿宋_GB2312" w:hAnsi="仿宋_GB2312" w:eastAsia="仿宋_GB2312" w:cs="仿宋_GB2312"/>
          <w:kern w:val="0"/>
          <w:sz w:val="32"/>
          <w:szCs w:val="32"/>
        </w:rPr>
        <w:t>公共事业管理绩效评价中的重大问题。</w:t>
      </w:r>
    </w:p>
    <w:p w14:paraId="2106950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7DEF77E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w:t>
      </w:r>
      <w:r>
        <w:rPr>
          <w:rFonts w:hint="eastAsia" w:ascii="仿宋_GB2312" w:hAnsi="仿宋_GB2312" w:eastAsia="仿宋_GB2312" w:cs="仿宋_GB2312"/>
          <w:kern w:val="0"/>
          <w:sz w:val="32"/>
          <w:szCs w:val="32"/>
          <w:lang w:eastAsia="zh-CN"/>
        </w:rPr>
        <w:t>我局</w:t>
      </w:r>
      <w:r>
        <w:rPr>
          <w:rFonts w:hint="eastAsia" w:ascii="仿宋_GB2312" w:hAnsi="仿宋_GB2312" w:eastAsia="仿宋_GB2312" w:cs="仿宋_GB2312"/>
          <w:kern w:val="0"/>
          <w:sz w:val="32"/>
          <w:szCs w:val="32"/>
        </w:rPr>
        <w:t>的工作目标、绩效考核结果和等次、奖惩方案进行审核，并报同级党委和政府审定。</w:t>
      </w:r>
    </w:p>
    <w:p w14:paraId="1B78200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48A3E89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w:t>
      </w:r>
      <w:r>
        <w:rPr>
          <w:rFonts w:hint="eastAsia" w:ascii="仿宋_GB2312" w:hAnsi="仿宋_GB2312" w:eastAsia="仿宋_GB2312" w:cs="仿宋_GB2312"/>
          <w:kern w:val="0"/>
          <w:sz w:val="32"/>
          <w:szCs w:val="32"/>
          <w:lang w:eastAsia="zh-CN"/>
        </w:rPr>
        <w:t>我局</w:t>
      </w:r>
      <w:r>
        <w:rPr>
          <w:rFonts w:hint="eastAsia" w:ascii="仿宋_GB2312" w:hAnsi="仿宋_GB2312" w:eastAsia="仿宋_GB2312" w:cs="仿宋_GB2312"/>
          <w:kern w:val="0"/>
          <w:sz w:val="32"/>
          <w:szCs w:val="32"/>
        </w:rPr>
        <w:t>公共事业管理绩效评价的工作方案，并负责具体组织实施。</w:t>
      </w:r>
    </w:p>
    <w:p w14:paraId="43C2308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31C920C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3A184E5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31EFFDD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1B7ABBB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765B3DC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38E069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7256DFB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1377AAB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b/>
          <w:color w:val="auto"/>
          <w:sz w:val="32"/>
          <w:szCs w:val="32"/>
          <w:highlight w:val="none"/>
          <w:u w:val="none"/>
          <w:lang w:val="en-US" w:eastAsia="zh-CN"/>
        </w:rPr>
      </w:pPr>
      <w:r>
        <w:rPr>
          <w:rFonts w:hint="default" w:ascii="楷体_GB2312" w:hAnsi="楷体_GB2312" w:eastAsia="楷体_GB2312" w:cs="楷体_GB2312"/>
          <w:b/>
          <w:color w:val="auto"/>
          <w:sz w:val="32"/>
          <w:szCs w:val="32"/>
          <w:highlight w:val="none"/>
          <w:u w:val="none"/>
          <w:lang w:val="zh-CN"/>
        </w:rPr>
        <w:t>（一）</w:t>
      </w:r>
      <w:r>
        <w:rPr>
          <w:rFonts w:hint="default" w:ascii="楷体_GB2312" w:hAnsi="楷体_GB2312" w:eastAsia="楷体_GB2312" w:cs="楷体_GB2312"/>
          <w:b/>
          <w:color w:val="auto"/>
          <w:sz w:val="32"/>
          <w:szCs w:val="32"/>
          <w:highlight w:val="none"/>
          <w:u w:val="none"/>
          <w:lang w:val="en-US" w:eastAsia="zh-CN"/>
        </w:rPr>
        <w:t>通用指标</w:t>
      </w:r>
      <w:r>
        <w:rPr>
          <w:rFonts w:hint="default" w:ascii="楷体_GB2312" w:hAnsi="楷体_GB2312" w:eastAsia="楷体_GB2312" w:cs="楷体_GB2312"/>
          <w:b/>
          <w:color w:val="auto"/>
          <w:sz w:val="32"/>
          <w:szCs w:val="32"/>
          <w:highlight w:val="none"/>
          <w:u w:val="none"/>
          <w:lang w:val="zh-CN"/>
        </w:rPr>
        <w:t>绩效分析。</w:t>
      </w:r>
    </w:p>
    <w:p w14:paraId="70B063B6">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03B0A48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094CD90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299A31D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04A101D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highlight w:val="none"/>
          <w:lang w:eastAsia="zh-CN"/>
        </w:rPr>
        <w:t>但部门绩效存在设置不规范的情况，扣</w:t>
      </w:r>
      <w:r>
        <w:rPr>
          <w:rFonts w:hint="eastAsia" w:ascii="仿宋_GB2312" w:hAnsi="仿宋_GB2312" w:eastAsia="仿宋_GB2312" w:cs="仿宋_GB2312"/>
          <w:kern w:val="0"/>
          <w:sz w:val="32"/>
          <w:szCs w:val="32"/>
          <w:highlight w:val="none"/>
          <w:lang w:val="en-US" w:eastAsia="zh-CN"/>
        </w:rPr>
        <w:t>2分，</w:t>
      </w:r>
      <w:r>
        <w:rPr>
          <w:rFonts w:hint="eastAsia" w:ascii="仿宋_GB2312" w:hAnsi="仿宋_GB2312" w:eastAsia="仿宋_GB2312" w:cs="仿宋_GB2312"/>
          <w:kern w:val="0"/>
          <w:sz w:val="32"/>
          <w:szCs w:val="32"/>
          <w:highlight w:val="none"/>
        </w:rPr>
        <w:t>该项指标得分</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分</w:t>
      </w:r>
      <w:r>
        <w:rPr>
          <w:rFonts w:hint="eastAsia" w:ascii="仿宋_GB2312" w:hAnsi="仿宋_GB2312" w:eastAsia="仿宋_GB2312" w:cs="仿宋_GB2312"/>
          <w:kern w:val="0"/>
          <w:sz w:val="32"/>
          <w:szCs w:val="32"/>
        </w:rPr>
        <w:t>。</w:t>
      </w:r>
    </w:p>
    <w:p w14:paraId="2FB3407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62E11F9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0E79EBFE">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2B9858F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62CEEA1F">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08EAC75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594CC33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w:t>
      </w:r>
      <w:r>
        <w:rPr>
          <w:rFonts w:hint="eastAsia" w:ascii="仿宋_GB2312" w:hAnsi="仿宋_GB2312" w:eastAsia="仿宋_GB2312" w:cs="仿宋_GB2312"/>
          <w:kern w:val="0"/>
          <w:sz w:val="32"/>
          <w:szCs w:val="32"/>
          <w:highlight w:val="none"/>
        </w:rPr>
        <w:t>10</w:t>
      </w:r>
      <w:r>
        <w:rPr>
          <w:rFonts w:hint="eastAsia" w:ascii="仿宋_GB2312" w:hAnsi="仿宋_GB2312" w:eastAsia="仿宋_GB2312" w:cs="仿宋_GB2312"/>
          <w:kern w:val="0"/>
          <w:sz w:val="32"/>
          <w:szCs w:val="32"/>
        </w:rPr>
        <w:t>分。</w:t>
      </w:r>
    </w:p>
    <w:p w14:paraId="7B6D1AB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7C3C28F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558D70E0">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48629DD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70B2AE8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财政资金已按照要求拨付完毕，拨付率100%，该项指标得分=财政资金拨付率×100%×6=</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0EF731E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26290DC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w:t>
      </w: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rPr>
        <w:t>分。</w:t>
      </w:r>
    </w:p>
    <w:p w14:paraId="5BEABA31">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10B6E7C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72C9E82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15944C1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071CA53B">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kern w:val="0"/>
          <w:sz w:val="32"/>
          <w:szCs w:val="32"/>
        </w:rPr>
        <w:t>项目实际完成时间与计划完成时间相符，该项指标得分</w:t>
      </w: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rPr>
        <w:t>分。</w:t>
      </w:r>
    </w:p>
    <w:p w14:paraId="1FB2026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b/>
          <w:color w:val="auto"/>
          <w:sz w:val="32"/>
          <w:szCs w:val="32"/>
          <w:highlight w:val="none"/>
          <w:u w:val="none"/>
          <w:lang w:val="zh-CN" w:eastAsia="zh-CN"/>
        </w:rPr>
      </w:pPr>
      <w:r>
        <w:rPr>
          <w:rFonts w:hint="default" w:ascii="楷体_GB2312" w:hAnsi="楷体_GB2312" w:eastAsia="楷体_GB2312" w:cs="楷体_GB2312"/>
          <w:b/>
          <w:color w:val="auto"/>
          <w:sz w:val="32"/>
          <w:szCs w:val="32"/>
          <w:highlight w:val="none"/>
          <w:u w:val="none"/>
          <w:lang w:val="zh-CN"/>
        </w:rPr>
        <w:t>（二）</w:t>
      </w:r>
      <w:r>
        <w:rPr>
          <w:rFonts w:hint="default" w:ascii="楷体_GB2312" w:hAnsi="楷体_GB2312" w:eastAsia="楷体_GB2312" w:cs="楷体_GB2312"/>
          <w:b/>
          <w:color w:val="auto"/>
          <w:sz w:val="32"/>
          <w:szCs w:val="32"/>
          <w:highlight w:val="none"/>
          <w:u w:val="none"/>
          <w:lang w:val="en-US" w:eastAsia="zh-CN"/>
        </w:rPr>
        <w:t>专用指标</w:t>
      </w:r>
      <w:r>
        <w:rPr>
          <w:rFonts w:hint="default" w:ascii="楷体_GB2312" w:hAnsi="楷体_GB2312" w:eastAsia="楷体_GB2312" w:cs="楷体_GB2312"/>
          <w:b/>
          <w:color w:val="auto"/>
          <w:sz w:val="32"/>
          <w:szCs w:val="32"/>
          <w:highlight w:val="none"/>
          <w:u w:val="none"/>
          <w:lang w:val="zh-CN"/>
        </w:rPr>
        <w:t>绩效分析。</w:t>
      </w:r>
    </w:p>
    <w:p w14:paraId="049F630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民生保障。</w:t>
      </w:r>
    </w:p>
    <w:p w14:paraId="5DA93386">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kern w:val="0"/>
          <w:sz w:val="32"/>
          <w:szCs w:val="32"/>
        </w:rPr>
        <w:t>资金分配科学合理、均衡公平，资金实际支持对象符合管理要求，符合支持对象范围，资金实际补贴标准符合资金管理办法规定的补助标准，及时按标准兑现，</w:t>
      </w:r>
      <w:r>
        <w:rPr>
          <w:rFonts w:hint="eastAsia" w:ascii="仿宋_GB2312" w:hAnsi="仿宋_GB2312" w:eastAsia="仿宋_GB2312" w:cs="仿宋_GB2312"/>
          <w:kern w:val="0"/>
          <w:sz w:val="32"/>
          <w:szCs w:val="32"/>
          <w:lang w:eastAsia="zh-CN"/>
        </w:rPr>
        <w:t>市民</w:t>
      </w:r>
      <w:r>
        <w:rPr>
          <w:rFonts w:hint="eastAsia" w:ascii="仿宋_GB2312" w:hAnsi="仿宋_GB2312" w:eastAsia="仿宋_GB2312" w:cs="仿宋_GB2312"/>
          <w:kern w:val="0"/>
          <w:sz w:val="32"/>
          <w:szCs w:val="32"/>
        </w:rPr>
        <w:t>满意度较高，该项指标得分</w:t>
      </w:r>
      <w:r>
        <w:rPr>
          <w:rFonts w:hint="eastAsia" w:ascii="仿宋_GB2312" w:hAnsi="仿宋_GB2312" w:eastAsia="仿宋_GB2312" w:cs="仿宋_GB2312"/>
          <w:kern w:val="0"/>
          <w:sz w:val="32"/>
          <w:szCs w:val="32"/>
          <w:highlight w:val="none"/>
        </w:rPr>
        <w:t>30</w:t>
      </w:r>
      <w:r>
        <w:rPr>
          <w:rFonts w:hint="eastAsia" w:ascii="仿宋_GB2312" w:hAnsi="仿宋_GB2312" w:eastAsia="仿宋_GB2312" w:cs="仿宋_GB2312"/>
          <w:kern w:val="0"/>
          <w:sz w:val="32"/>
          <w:szCs w:val="32"/>
        </w:rPr>
        <w:t>分。</w:t>
      </w:r>
    </w:p>
    <w:p w14:paraId="3CAE87C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（三）</w:t>
      </w:r>
      <w:r>
        <w:rPr>
          <w:rFonts w:hint="eastAsia" w:ascii="楷体_GB2312" w:hAnsi="楷体_GB2312" w:eastAsia="楷体_GB2312" w:cs="楷体_GB2312"/>
          <w:b/>
          <w:color w:val="auto"/>
          <w:sz w:val="32"/>
          <w:szCs w:val="32"/>
          <w:highlight w:val="none"/>
          <w:u w:val="none"/>
          <w:lang w:val="en-US" w:eastAsia="zh-CN"/>
        </w:rPr>
        <w:t>个性指标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p>
    <w:p w14:paraId="55D6A01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w:t>
      </w:r>
      <w:r>
        <w:rPr>
          <w:rFonts w:hint="eastAsia" w:ascii="仿宋_GB2312" w:hAnsi="仿宋_GB2312" w:eastAsia="仿宋_GB2312" w:cs="仿宋_GB2312"/>
          <w:kern w:val="0"/>
          <w:sz w:val="32"/>
          <w:szCs w:val="32"/>
          <w:lang w:eastAsia="zh-CN"/>
        </w:rPr>
        <w:t>完</w:t>
      </w:r>
      <w:r>
        <w:rPr>
          <w:rFonts w:hint="eastAsia" w:ascii="仿宋_GB2312" w:hAnsi="仿宋_GB2312" w:eastAsia="仿宋_GB2312" w:cs="仿宋_GB2312"/>
          <w:kern w:val="0"/>
          <w:sz w:val="32"/>
          <w:szCs w:val="32"/>
        </w:rPr>
        <w:t>成，资金已按期拨付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w:t>
      </w:r>
      <w:r>
        <w:rPr>
          <w:rFonts w:hint="eastAsia" w:ascii="仿宋_GB2312" w:hAnsi="仿宋_GB2312" w:eastAsia="仿宋_GB2312" w:cs="仿宋_GB2312"/>
          <w:kern w:val="0"/>
          <w:sz w:val="32"/>
          <w:szCs w:val="32"/>
          <w:highlight w:val="none"/>
        </w:rPr>
        <w:t>16</w:t>
      </w:r>
      <w:r>
        <w:rPr>
          <w:rFonts w:hint="eastAsia" w:ascii="仿宋_GB2312" w:hAnsi="仿宋_GB2312" w:eastAsia="仿宋_GB2312" w:cs="仿宋_GB2312"/>
          <w:kern w:val="0"/>
          <w:sz w:val="32"/>
          <w:szCs w:val="32"/>
        </w:rPr>
        <w:t>分。</w:t>
      </w:r>
    </w:p>
    <w:p w14:paraId="4784FE20">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0F864EFB">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kern w:val="0"/>
          <w:position w:val="0"/>
          <w:sz w:val="32"/>
          <w:szCs w:val="28"/>
          <w:lang w:val="en-US" w:eastAsia="zh-CN" w:bidi="ar-SA"/>
        </w:rPr>
        <w:t>我单位严格按照绩效自评工作要求，秉承客观公正、实事求是的原则开展了城市生活污水处理厂委托运营服务费支出绩效自评工作，经对各类指标进行评分和汇总分析，城市生活污水处理厂委托运营服务费支出绩效评价综合得分</w:t>
      </w:r>
      <w:r>
        <w:rPr>
          <w:rFonts w:hint="eastAsia" w:ascii="Times New Roman" w:hAnsi="Times New Roman" w:eastAsia="仿宋_GB2312" w:cs="Times New Roman"/>
          <w:kern w:val="0"/>
          <w:position w:val="0"/>
          <w:sz w:val="32"/>
          <w:szCs w:val="28"/>
          <w:highlight w:val="none"/>
          <w:lang w:val="en-US" w:eastAsia="zh-CN" w:bidi="ar-SA"/>
        </w:rPr>
        <w:t>98</w:t>
      </w:r>
      <w:r>
        <w:rPr>
          <w:rFonts w:hint="eastAsia" w:ascii="Times New Roman" w:hAnsi="Times New Roman" w:eastAsia="仿宋_GB2312" w:cs="Times New Roman"/>
          <w:kern w:val="0"/>
          <w:position w:val="0"/>
          <w:sz w:val="32"/>
          <w:szCs w:val="28"/>
          <w:lang w:val="en-US" w:eastAsia="zh-CN" w:bidi="ar-SA"/>
        </w:rPr>
        <w:t>分。评价结果显示，城市生活污水处理厂委托运营服务费按照相关规定进行使用和管理，程序较为规范，项目支出使用效益达到预期。</w:t>
      </w:r>
    </w:p>
    <w:p w14:paraId="37342F47">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14:paraId="1AA8F7AD">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绩效目标编报不规范</w:t>
      </w:r>
      <w:r>
        <w:rPr>
          <w:rFonts w:hint="eastAsia" w:asci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绩效指标编制要素不完整，该项目绩效目标申报表中效益指标</w:t>
      </w:r>
      <w:r>
        <w:rPr>
          <w:rFonts w:hint="eastAsia" w:ascii="Times New Roman" w:eastAsia="仿宋_GB2312" w:cs="Times New Roman"/>
          <w:b w:val="0"/>
          <w:bCs w:val="0"/>
          <w:kern w:val="0"/>
          <w:position w:val="0"/>
          <w:sz w:val="32"/>
          <w:szCs w:val="32"/>
          <w:highlight w:val="none"/>
          <w:lang w:val="en-US" w:eastAsia="zh-CN" w:bidi="ar-SA"/>
        </w:rPr>
        <w:t>未设置可持续影响指标</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5246C136">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8C707A1">
      <w:pPr>
        <w:tabs>
          <w:tab w:val="left" w:pos="1911"/>
        </w:tabs>
        <w:jc w:val="left"/>
        <w:rPr>
          <w:rFonts w:hint="eastAsia" w:ascii="仿宋_GB2312" w:hAnsi="仿宋_GB2312" w:eastAsia="仿宋_GB2312" w:cs="仿宋_GB2312"/>
          <w:kern w:val="0"/>
          <w:sz w:val="32"/>
          <w:szCs w:val="32"/>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r>
        <w:rPr>
          <w:rFonts w:hint="eastAsia" w:ascii="仿宋_GB2312" w:hAnsi="仿宋_GB2312" w:eastAsia="仿宋_GB2312" w:cs="仿宋_GB2312"/>
          <w:kern w:val="0"/>
          <w:sz w:val="32"/>
          <w:szCs w:val="32"/>
          <w:lang w:val="en-US" w:eastAsia="zh-CN"/>
        </w:rPr>
        <w:t>加强绩效目标管理，提高绩效目标编制质量。建议今后在编制部门整体绩效目标申报时，增加工作人员相关理论知识的培训与学习，按照项目具体内容，设置要素完整、指向明确、细化量化、合理可行、相应匹配的项目支出绩效目标，设置高度关联、重点突出、量化易评的项目支出绩效指标。</w:t>
      </w:r>
    </w:p>
    <w:p w14:paraId="6A50A13B">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decorative"/>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35777"/>
    <w:multiLevelType w:val="multilevel"/>
    <w:tmpl w:val="5EA35777"/>
    <w:lvl w:ilvl="0" w:tentative="0">
      <w:start w:val="2"/>
      <w:numFmt w:val="japaneseCounting"/>
      <w:lvlText w:val="（%1）"/>
      <w:lvlJc w:val="left"/>
      <w:pPr>
        <w:ind w:left="1720" w:hanging="1080"/>
      </w:pPr>
      <w:rPr>
        <w:rFonts w:hint="default"/>
      </w:rPr>
    </w:lvl>
    <w:lvl w:ilvl="1" w:tentative="0">
      <w:start w:val="1"/>
      <w:numFmt w:val="decimal"/>
      <w:lvlText w:val="%2、"/>
      <w:lvlJc w:val="left"/>
      <w:pPr>
        <w:ind w:left="1800" w:hanging="720"/>
      </w:pPr>
      <w:rPr>
        <w:rFonts w:hint="default"/>
      </w:r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1">
    <w:nsid w:val="77DC0ABB"/>
    <w:multiLevelType w:val="multilevel"/>
    <w:tmpl w:val="77DC0ABB"/>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C22EC"/>
    <w:rsid w:val="004C22EC"/>
    <w:rsid w:val="007B38C6"/>
    <w:rsid w:val="0D9B0E4F"/>
    <w:rsid w:val="100566B3"/>
    <w:rsid w:val="12307DC9"/>
    <w:rsid w:val="1B4A3EC4"/>
    <w:rsid w:val="2439349C"/>
    <w:rsid w:val="244E01D1"/>
    <w:rsid w:val="332B5D17"/>
    <w:rsid w:val="33DA011B"/>
    <w:rsid w:val="358B1B11"/>
    <w:rsid w:val="38ED7005"/>
    <w:rsid w:val="41592C89"/>
    <w:rsid w:val="423607D0"/>
    <w:rsid w:val="47A725C1"/>
    <w:rsid w:val="4A0B0DD8"/>
    <w:rsid w:val="4B9A26C8"/>
    <w:rsid w:val="4DEA5B15"/>
    <w:rsid w:val="55704B34"/>
    <w:rsid w:val="56993750"/>
    <w:rsid w:val="57B166CC"/>
    <w:rsid w:val="5DBC40E7"/>
    <w:rsid w:val="5FFA48D4"/>
    <w:rsid w:val="6AD023E1"/>
    <w:rsid w:val="72D23033"/>
    <w:rsid w:val="77991202"/>
    <w:rsid w:val="79420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5">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able of figures"/>
    <w:basedOn w:val="1"/>
    <w:next w:val="1"/>
    <w:qFormat/>
    <w:uiPriority w:val="0"/>
    <w:pPr>
      <w:ind w:left="200" w:leftChars="200" w:hanging="200" w:hangingChars="200"/>
    </w:p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 w:type="character" w:customStyle="1" w:styleId="13">
    <w:name w:val="标题 1 Char"/>
    <w:basedOn w:val="10"/>
    <w:link w:val="4"/>
    <w:qFormat/>
    <w:uiPriority w:val="9"/>
    <w:rPr>
      <w:rFonts w:ascii="Times New Roman" w:hAnsi="Times New Roman" w:eastAsia="宋体" w:cs="Times New Roman"/>
      <w:b/>
      <w:bCs/>
      <w:kern w:val="44"/>
      <w:sz w:val="44"/>
      <w:szCs w:val="44"/>
    </w:rPr>
  </w:style>
  <w:style w:type="paragraph" w:customStyle="1" w:styleId="1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37</Pages>
  <Words>15640</Words>
  <Characters>16112</Characters>
  <Lines>2</Lines>
  <Paragraphs>1</Paragraphs>
  <TotalTime>14</TotalTime>
  <ScaleCrop>false</ScaleCrop>
  <LinksUpToDate>false</LinksUpToDate>
  <CharactersWithSpaces>16232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顺近思</cp:lastModifiedBy>
  <dcterms:modified xsi:type="dcterms:W3CDTF">2025-08-29T05:14:48Z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eyJoZGlkIjoiYmE0NGJhNTNkY2M3NjQzYjllOGRmZTQ1Mjc0ZjllODAiLCJ1c2VySWQiOiI1NjcwNTYxOTMifQ==</vt:lpwstr>
  </property>
</Properties>
</file>