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hAnsi="黑体" w:eastAsia="仿宋_GB2312" w:cs="方正小标宋简体"/>
          <w:b/>
          <w:sz w:val="36"/>
          <w:szCs w:val="36"/>
        </w:rPr>
        <w:t>2018年《黑水县高原优质野兔培育基地（示范基地）》项目支出绩效评价报告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2018年科知局评价工作选取产业项目、省科技厅项目、州科知局项目，均具有一定的代表性，项目实施方案合理，通过对照项目完成指标进行评价。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实施方案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精准到户，针对瓦钵梁子乡约窝村、桃支村、渔沙沟村3个贫困村的贫困户具体情况，为每一贫困户制定相应的扶贫支持内容。建成优质野兔养殖生产技术体系；以“公司基地+专业技术专家+农户”的产业化发展模式，把企业发展和带动当地养殖业发展，帮助农民尽快脱贫致富紧密结合起来，实现企业创利和农民致富的共赢。总结项目实施情况并统计贫困户，统计瓦钵梁子乡约窝村、桃支村、渔沙沟村3个贫困村的贫困户一年的生产收入具体情况，实现至少20户贫困户脱贫，使其年收入新增加1000元以上。总结项目实施情况，并统计瓦钵梁子乡约窝村、桃支村、渔沙沟村3个贫困村的贫困户2019年的生产收入具体情况，实现30户精准贫困户全部脱贫，使其年收入新增加1000元以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引进新品种一个，建立野兔良种繁育场一个；带动3个贫困村，50户164人，帮扶90个贫困人员年收入新增加1000元以上；公司邀请相应专家为3个贫困村村民讲解杂交野兔养殖管理技术、疾病防控等相关知识至少4次以上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二、评价结论及绩效分析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（一）评价结论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项目绩效评价总体结论（包括项目评价得分表）</w:t>
      </w:r>
    </w:p>
    <w:tbl>
      <w:tblPr>
        <w:tblStyle w:val="4"/>
        <w:tblpPr w:leftFromText="180" w:rightFromText="180" w:vertAnchor="text" w:horzAnchor="page" w:tblpX="1935" w:tblpY="23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预期完成情况</w:t>
            </w:r>
          </w:p>
        </w:tc>
        <w:tc>
          <w:tcPr>
            <w:tcW w:w="4261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640" w:firstLineChars="200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引进新品种一个，建立野兔良种繁育场一个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带动3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个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贫困村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50户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164人，帮扶90个贫困人员年收入新增加1000元以上；公司邀请相应专家为3个贫困村村民讲解杂交野兔养殖管理技术、疾病防控等相关知识至少4次以上。</w:t>
            </w:r>
          </w:p>
        </w:tc>
        <w:tc>
          <w:tcPr>
            <w:tcW w:w="4261" w:type="dxa"/>
          </w:tcPr>
          <w:p>
            <w:pPr>
              <w:ind w:firstLine="640" w:firstLineChars="200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引进新品种一个，建立野兔良种繁育场一个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种兔基本平均每胎产仔9只，成活率达到90%以上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解决了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位本地贫困人员的就业；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公司邀请相应专家为3个贫困村村民讲解杂交野兔养殖管理技术、疾病防控等相关知识4次。</w:t>
            </w:r>
          </w:p>
        </w:tc>
      </w:tr>
    </w:tbl>
    <w:p/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必要性和可行性分析:我局以《预算法》、《合同法》等法律政策为依据，完善政策，实事求是。对各个项目在实施过程中，结合实际情况分析、制定、设置绩效目标。具有明确性和合理性。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项目管理：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为保证本项目能够如期、高质高效地达到预期目标，尽早发挥本项目产业带动作用，所有项目将在组织管理部门协调指导下联合攻关，拟采取以下管理措施：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联合管理部门成立领导小组，负责项目日常管理、协调工作，监督项目任务实施及经费使用，协调保障技术开发及经费到位情况，实现项目预期效益目标；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实行项目负责人责任制，实施目标责任管理，负责项目总体执行完成情况，分解落实项目任务，监督任务分工进展情况，完成项目年度报告撰写；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成立由知名专家组成的项目专家组，负责审查项目实施方案与实施过程中的技术指导、咨询，参与项目评审验收；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根据国家项目管理办法制定项目管理制度，实行分阶段内部评审制度，保证各阶段成果质量，加强各任务分工的督促与检查，确保如期完成各项任务；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加强经费预算和阶段控制管理，优化研究路线，节省开支，保证各阶段经费分配合理；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资金管理及资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金使用情况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项目资金纳入财政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大平台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统一管理，同时对票据的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合理、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合规性进行严格审核，加强项目资金监督管理，增强资金使用的透明度，确保资金的安全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。经过严格审核后的原始单据，由本单位进行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专款专用，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专帐核算。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支付依据均合规合法，资金支付均与预算相符，未超预算，未出现虚列项目支出的情况，未出现截留、挤占、挪用项目资金的情况。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严格按照财经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u w:val="none" w:color="auto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u w:val="none" w:color="auto"/>
          <w:shd w:val="clear" w:color="auto" w:fill="FFFFFF"/>
        </w:rPr>
        <w:instrText xml:space="preserve"> HYPERLINK "http://yjbys.com/zhidu/" \t "http://yjbys.com/zichabaogao/_blank" </w:instrTex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u w:val="none" w:color="auto"/>
          <w:shd w:val="clear" w:color="auto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pacing w:val="15"/>
          <w:sz w:val="32"/>
          <w:szCs w:val="32"/>
          <w:u w:val="none" w:color="auto"/>
          <w:shd w:val="clear" w:color="auto" w:fill="FFFFFF"/>
        </w:rPr>
        <w:t>制度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u w:val="none" w:color="auto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管理、使用财政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val="en-US" w:eastAsia="zh-CN"/>
        </w:rPr>
        <w:t>涉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农资金，资金都专款专用，没有发现擅自改变资金用途和投向、贪污挪用、虚报套取资金等问题，财务管理较为规范，能够按照有关政策、法规和制度办事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所有的支出都具备相关的合法、合理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及合规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的原始单据。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0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年以来，在县委、县政府的正确领导下，在县人大和县政协的监督支持下、在上级科技和知识产权部门的关心指导下，县科知局以“构建道地药材示范基地和科技驱动产业发展”为目标，着力开展道地药材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引种示范、种苗繁育基地建设、中药材</w:t>
      </w:r>
      <w:r>
        <w:rPr>
          <w:rFonts w:hint="eastAsia" w:ascii="仿宋" w:hAnsi="仿宋" w:eastAsia="仿宋" w:cs="仿宋"/>
          <w:sz w:val="30"/>
          <w:szCs w:val="30"/>
        </w:rPr>
        <w:t>种植推广，加强中药材产业基地建设，现代农业产业示范基地建设，大力开展应用技术研发，科技宣传，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知识产权助力扶贫、</w:t>
      </w:r>
      <w:r>
        <w:rPr>
          <w:rFonts w:hint="eastAsia" w:ascii="仿宋" w:hAnsi="仿宋" w:eastAsia="仿宋" w:cs="仿宋"/>
          <w:sz w:val="30"/>
          <w:szCs w:val="30"/>
        </w:rPr>
        <w:t>科技成果转化及实用技术培训等工作，扎实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做好</w:t>
      </w:r>
      <w:r>
        <w:rPr>
          <w:rFonts w:hint="eastAsia" w:ascii="仿宋" w:hAnsi="仿宋" w:eastAsia="仿宋" w:cs="仿宋"/>
          <w:sz w:val="30"/>
          <w:szCs w:val="30"/>
        </w:rPr>
        <w:t>县委县政府安排的各项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工作，通过推广中药材种植，大力推动力我县高半山产业发展，通过发展产业，引导高半山农牧民增收致富；通过科技项目实施，提升了我县科技创新研发能力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存在主要问题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科知局项目资金拨付严格按照科技资金管理办法执行，个别项目承建单位未完成项目任务书规定的进度，要求项目实施单位必须进行整改，再申请款项拨付，因此，资金拨付进度较为缓慢。</w:t>
      </w:r>
    </w:p>
    <w:p>
      <w:pPr>
        <w:ind w:firstLine="60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个别项目任务书与资金下达时间较迟，目前未开展报账拨付等工作。</w:t>
      </w:r>
    </w:p>
    <w:p>
      <w:pPr>
        <w:spacing w:line="580" w:lineRule="exact"/>
        <w:ind w:firstLine="640" w:firstLineChars="200"/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四、相关措施建议</w:t>
      </w:r>
    </w:p>
    <w:p>
      <w:pPr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提升项目管理人员及财务人员的业务水平。</w:t>
      </w:r>
    </w:p>
    <w:p>
      <w:pPr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加强项目、财务管理。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1、科知局将继续派专人到项目承担单位进行项目督促检查，加快专款拨付进度。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2、要求承担单位，加强组织管理，增派人手，加快项目实施。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3、财务人员要求项目承担单位在开展项目推进的同时，准备报账相关资料，验收合格，及时拨付下一批资金。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DA41E5"/>
    <w:multiLevelType w:val="singleLevel"/>
    <w:tmpl w:val="9FDA41E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577F0"/>
    <w:rsid w:val="14E16D43"/>
    <w:rsid w:val="15A301F3"/>
    <w:rsid w:val="15F048EC"/>
    <w:rsid w:val="24A5257D"/>
    <w:rsid w:val="71C6719B"/>
    <w:rsid w:val="74A57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link w:val="6"/>
    <w:semiHidden/>
    <w:qFormat/>
    <w:uiPriority w:val="0"/>
    <w:rPr>
      <w:rFonts w:cs="宋体"/>
      <w:kern w:val="0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默认段落字体 Para Char Char Char Char"/>
    <w:basedOn w:val="1"/>
    <w:link w:val="5"/>
    <w:qFormat/>
    <w:uiPriority w:val="0"/>
    <w:pPr>
      <w:widowControl/>
      <w:jc w:val="left"/>
    </w:pPr>
    <w:rPr>
      <w:rFonts w:cs="宋体"/>
      <w:kern w:val="0"/>
    </w:rPr>
  </w:style>
  <w:style w:type="character" w:styleId="7">
    <w:name w:val="Hyperlink"/>
    <w:basedOn w:val="5"/>
    <w:unhideWhenUsed/>
    <w:qFormat/>
    <w:uiPriority w:val="99"/>
    <w:rPr>
      <w:color w:val="333333"/>
      <w:u w:val="none"/>
    </w:rPr>
  </w:style>
  <w:style w:type="character" w:customStyle="1" w:styleId="8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2019-09-16T03:27:00Z</dcterms:created>
  <dc:creator>小e</dc:creator>
  <cp:lastModifiedBy>Administrator</cp:lastModifiedBy>
  <dcterms:modified xsi:type="dcterms:W3CDTF">2019-09-20T02:54:49Z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