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p>
    <w:p>
      <w:pPr>
        <w:spacing w:line="580" w:lineRule="exact"/>
        <w:jc w:val="center"/>
        <w:rPr>
          <w:rFonts w:hint="eastAsia" w:ascii="方正小标宋_GBK" w:hAnsi="方正小标宋_GBK" w:eastAsia="方正小标宋_GBK" w:cs="方正小标宋_GBK"/>
          <w:b/>
          <w:bCs w:val="0"/>
          <w:color w:val="000000"/>
          <w:kern w:val="2"/>
          <w:sz w:val="44"/>
          <w:szCs w:val="44"/>
          <w:lang w:val="en-US" w:eastAsia="zh-CN" w:bidi="ar"/>
        </w:rPr>
      </w:pPr>
      <w:r>
        <w:rPr>
          <w:rFonts w:hint="eastAsia" w:ascii="方正小标宋_GBK" w:hAnsi="方正小标宋_GBK" w:eastAsia="方正小标宋_GBK" w:cs="方正小标宋_GBK"/>
          <w:b/>
          <w:bCs w:val="0"/>
          <w:color w:val="000000"/>
          <w:kern w:val="2"/>
          <w:sz w:val="44"/>
          <w:szCs w:val="44"/>
          <w:lang w:val="en-US" w:eastAsia="zh-CN" w:bidi="ar"/>
        </w:rPr>
        <w:t>2021年黑水中蜂地理标志农产品保护工程省级财政项目</w:t>
      </w:r>
    </w:p>
    <w:p>
      <w:pPr>
        <w:spacing w:line="580" w:lineRule="exact"/>
        <w:jc w:val="center"/>
        <w:rPr>
          <w:rFonts w:hint="eastAsia" w:ascii="方正小标宋_GBK" w:hAnsi="方正小标宋_GBK" w:eastAsia="方正小标宋_GBK" w:cs="方正小标宋_GBK"/>
          <w:b/>
          <w:bCs w:val="0"/>
          <w:color w:val="000000"/>
          <w:kern w:val="2"/>
          <w:sz w:val="44"/>
          <w:szCs w:val="44"/>
          <w:lang w:val="en-US" w:eastAsia="zh-CN" w:bidi="ar"/>
        </w:rPr>
      </w:pPr>
      <w:r>
        <w:rPr>
          <w:rFonts w:hint="eastAsia" w:ascii="方正小标宋_GBK" w:hAnsi="方正小标宋_GBK" w:eastAsia="方正小标宋_GBK" w:cs="方正小标宋_GBK"/>
          <w:b/>
          <w:bCs w:val="0"/>
          <w:color w:val="000000"/>
          <w:kern w:val="2"/>
          <w:sz w:val="44"/>
          <w:szCs w:val="44"/>
          <w:lang w:val="en-US" w:eastAsia="zh-CN" w:bidi="ar"/>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一、评价工作开展及项目情况</w:t>
      </w:r>
    </w:p>
    <w:p>
      <w:pPr>
        <w:pStyle w:val="5"/>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根据实施方案</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建地标标准化生产基地1个，提升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改造</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黑水中蜂繁育和培训基地2个，改扩建蜂棚和放蜂台各600平方米，购标准化蜂箱600台套、摇蜜机50台，白砂糖5吨，蜂箱隔热反光膜等蜂具3000张（个），改造蜂蜜分机过滤车间一个200平方米，改建冷链和仓储库一个20平方米，中蜂蜜下游产品开发体验店1个。利用网络平台和直播等活动宣传推介黑水中蜂蜜3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品牌认证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地标产品包装制作3000套，</w:t>
      </w:r>
    </w:p>
    <w:p>
      <w:pPr>
        <w:pStyle w:val="5"/>
        <w:pageBreakBefore w:val="0"/>
        <w:kinsoku/>
        <w:wordWrap/>
        <w:overflowPunct/>
        <w:topLinePunct w:val="0"/>
        <w:bidi w:val="0"/>
        <w:spacing w:line="560" w:lineRule="exact"/>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安装地理标志标示标牌35个</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智能化设施设备80台套，管理系统3台套；规范地标使用场户2户，举办黑水中蜂地理标志农产品质量控制技术规范及相关管理制度培训5期，培训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达</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500人次；</w:t>
      </w:r>
    </w:p>
    <w:p>
      <w:pPr>
        <w:spacing w:line="580" w:lineRule="exact"/>
        <w:ind w:firstLine="640" w:firstLineChars="200"/>
        <w:rPr>
          <w:rFonts w:ascii="仿宋_GB2312" w:hAnsi="仿宋" w:eastAsia="仿宋_GB2312" w:cs="仿宋_GB2312"/>
          <w:sz w:val="32"/>
          <w:szCs w:val="32"/>
        </w:rPr>
      </w:pPr>
      <w:r>
        <w:rPr>
          <w:rFonts w:hint="eastAsia" w:ascii="黑体" w:hAnsi="黑体" w:eastAsia="黑体" w:cs="黑体"/>
          <w:color w:val="000000"/>
          <w:kern w:val="2"/>
          <w:sz w:val="32"/>
          <w:szCs w:val="32"/>
          <w:lang w:val="en-US" w:eastAsia="zh-CN" w:bidi="ar"/>
        </w:rPr>
        <w:t>二、评价结论及绩效分析</w:t>
      </w:r>
    </w:p>
    <w:p>
      <w:pPr>
        <w:spacing w:line="580" w:lineRule="exact"/>
        <w:ind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（一）评价结论</w:t>
      </w:r>
    </w:p>
    <w:p>
      <w:pPr>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_GB2312" w:eastAsia="仿宋_GB2312" w:cs="仿宋_GB2312"/>
          <w:color w:val="000000" w:themeColor="text1"/>
          <w:sz w:val="32"/>
          <w:szCs w:val="32"/>
          <w:lang w:val="zh-CN"/>
          <w14:textFill>
            <w14:solidFill>
              <w14:schemeClr w14:val="tx1"/>
            </w14:solidFill>
          </w14:textFill>
        </w:rPr>
        <w:t>结合该项目自身特点，该项目政策落实规划、分配合理，使用合规、执行有效、操作规范，社会满意度非常高，农业机械在现代农业和乡村振兴中发挥了更大地作用，有效提高了我区的农业机械化率，所以我们自评98.2分。</w:t>
      </w:r>
    </w:p>
    <w:p>
      <w:pPr>
        <w:spacing w:line="580" w:lineRule="exact"/>
        <w:ind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pStyle w:val="5"/>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绩效目标：新建地标标准化生产基地1个，巩固提升黑水中蜂繁育和培训基地2个，改扩建蜂棚和放蜂台各600平方米，购标准化蜂箱600台套、摇蜜机50台，白砂糖5吨，蜂箱隔热反光膜等蜂具3000张(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个</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)，改造蜂蜜分机过滤车间一个200平方米，改建冷链和仓储库一个20平方米，中蜂蜜下游产品开发体验店1个。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制作安装地理标志标示标牌35个；规范地标使用场户2户，举办黑水中蜂地理标志农产品质量控制技术规范及相关管理制度培训5期，培训500人次；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利用网络平台和直播等活动宣传推介黑水中蜂蜜3次；品牌认证；开展产品文创设计和地标产品包装制作3000套，推广使用。安装智能化设施设备80台套，管理系统3台套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Style w:val="18"/>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下达中央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财政农业生产发展</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资金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200</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万元，</w:t>
      </w:r>
      <w:r>
        <w:rPr>
          <w:rStyle w:val="18"/>
          <w:rFonts w:hint="eastAsia" w:ascii="仿宋_GB2312" w:hAnsi="仿宋_GB2312" w:eastAsia="仿宋_GB2312" w:cs="仿宋_GB2312"/>
          <w:color w:val="000000" w:themeColor="text1"/>
          <w:sz w:val="32"/>
          <w:szCs w:val="32"/>
          <w14:textFill>
            <w14:solidFill>
              <w14:schemeClr w14:val="tx1"/>
            </w14:solidFill>
          </w14:textFill>
        </w:rPr>
        <w:t>资金用于地理标志农产品生产能力提升、质量提升与特色品质保持、品牌培育宣传、身份标识化和全程数字化等方面。</w:t>
      </w:r>
    </w:p>
    <w:p>
      <w:pPr>
        <w:pStyle w:val="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本项目完成投资195.819511万元，截止2021年12月21日已付款109.47万元。</w:t>
      </w:r>
    </w:p>
    <w:p>
      <w:pPr>
        <w:spacing w:line="580" w:lineRule="exact"/>
        <w:ind w:firstLine="640" w:firstLineChars="200"/>
        <w:rPr>
          <w:rStyle w:val="18"/>
          <w:rFonts w:hint="eastAsia" w:ascii="仿宋_GB2312" w:hAnsi="仿宋_GB2312" w:eastAsia="仿宋_GB2312" w:cs="仿宋_GB2312"/>
          <w:color w:val="000000" w:themeColor="text1"/>
          <w:sz w:val="32"/>
          <w:szCs w:val="32"/>
          <w14:textFill>
            <w14:solidFill>
              <w14:schemeClr w14:val="tx1"/>
            </w14:solidFill>
          </w14:textFill>
        </w:rPr>
      </w:pPr>
      <w:r>
        <w:rPr>
          <w:rStyle w:val="18"/>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Style w:val="18"/>
          <w:rFonts w:hint="eastAsia" w:ascii="仿宋_GB2312" w:hAnsi="仿宋_GB2312" w:eastAsia="仿宋_GB2312" w:cs="仿宋_GB2312"/>
          <w:color w:val="000000" w:themeColor="text1"/>
          <w:sz w:val="32"/>
          <w:szCs w:val="32"/>
          <w14:textFill>
            <w14:solidFill>
              <w14:schemeClr w14:val="tx1"/>
            </w14:solidFill>
          </w14:textFill>
        </w:rPr>
        <w:t>项目绩效</w:t>
      </w:r>
    </w:p>
    <w:p>
      <w:pPr>
        <w:pStyle w:val="5"/>
        <w:pageBreakBefore w:val="0"/>
        <w:kinsoku/>
        <w:wordWrap/>
        <w:overflowPunct/>
        <w:topLinePunct w:val="0"/>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通过高效优质养蜂技术推广，每群蜂单产增加50%即每群由原来20斤∕群，增加到30斤∕群。以优质黑水中蜂蜜平均价每公斤120元价格计，蜂农年可增加收入1175万元；项目实施村集体年增加收入225万元；通过蜜蜂授粉与病虫害绿色防控间接效益明显。</w:t>
      </w:r>
    </w:p>
    <w:p>
      <w:pPr>
        <w:spacing w:line="580" w:lineRule="exact"/>
        <w:ind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三、存在主要问题</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1.该项目建设工程类，项目建设需使用建设用地，需要通过规划、土地等途径获取建设用地指标，程序复杂过程较长严重影响了项目的建设。</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2.项目在实际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过程中存在</w:t>
      </w:r>
      <w:r>
        <w:rPr>
          <w:rFonts w:hint="eastAsia" w:ascii="仿宋_GB2312" w:hAnsi="仿宋_GB2312" w:eastAsia="仿宋_GB2312" w:cs="仿宋_GB2312"/>
          <w:color w:val="000000" w:themeColor="text1"/>
          <w:sz w:val="32"/>
          <w:szCs w:val="32"/>
          <w:lang w:eastAsia="zh-CN"/>
          <w14:textFill>
            <w14:solidFill>
              <w14:schemeClr w14:val="tx1"/>
            </w14:solidFill>
          </w14:textFill>
        </w:rPr>
        <w:t>冬季无法开工</w:t>
      </w:r>
      <w:r>
        <w:rPr>
          <w:rFonts w:hint="eastAsia" w:ascii="仿宋_GB2312" w:hAnsi="仿宋_GB2312" w:eastAsia="仿宋_GB2312" w:cs="仿宋_GB2312"/>
          <w:color w:val="000000" w:themeColor="text1"/>
          <w:sz w:val="32"/>
          <w:szCs w:val="32"/>
          <w14:textFill>
            <w14:solidFill>
              <w14:schemeClr w14:val="tx1"/>
            </w14:solidFill>
          </w14:textFill>
        </w:rPr>
        <w:t>，导致资金未能完全使用。</w:t>
      </w:r>
    </w:p>
    <w:p>
      <w:pPr>
        <w:pageBreakBefore w:val="0"/>
        <w:kinsoku/>
        <w:wordWrap/>
        <w:overflowPunct/>
        <w:topLinePunct w:val="0"/>
        <w:bidi w:val="0"/>
        <w:adjustRightInd w:val="0"/>
        <w:snapToGrid w:val="0"/>
        <w:spacing w:line="560" w:lineRule="exact"/>
        <w:ind w:firstLine="640" w:firstLineChars="200"/>
        <w:textAlignment w:val="auto"/>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结合项目季节，到目前为止我们使用金额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111.71</w:t>
      </w:r>
      <w:r>
        <w:rPr>
          <w:rFonts w:hint="eastAsia" w:ascii="仿宋_GB2312" w:hAnsi="仿宋_GB2312" w:eastAsia="仿宋_GB2312" w:cs="仿宋_GB2312"/>
          <w:color w:val="000000" w:themeColor="text1"/>
          <w:sz w:val="32"/>
          <w:szCs w:val="32"/>
          <w:lang w:val="zh-CN"/>
          <w14:textFill>
            <w14:solidFill>
              <w14:schemeClr w14:val="tx1"/>
            </w14:solidFill>
          </w14:textFill>
        </w:rPr>
        <w:t>万元，但是我们预估今年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w:t>
      </w:r>
      <w:r>
        <w:rPr>
          <w:rFonts w:hint="eastAsia" w:ascii="仿宋_GB2312" w:hAnsi="仿宋_GB2312" w:eastAsia="仿宋_GB2312" w:cs="仿宋_GB2312"/>
          <w:color w:val="000000" w:themeColor="text1"/>
          <w:sz w:val="32"/>
          <w:szCs w:val="32"/>
          <w:lang w:val="zh-CN"/>
          <w14:textFill>
            <w14:solidFill>
              <w14:schemeClr w14:val="tx1"/>
            </w14:solidFill>
          </w14:textFill>
        </w:rPr>
        <w:t>将剩余资金使用完。</w:t>
      </w:r>
    </w:p>
    <w:p>
      <w:pPr>
        <w:spacing w:line="580" w:lineRule="exact"/>
        <w:ind w:firstLine="640" w:firstLineChars="200"/>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四、相关措施建议</w:t>
      </w:r>
    </w:p>
    <w:p>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了使黑水阿坝中蜂能在乡村振兴中发挥更大地作用，我们建议一是加大黑水阿坝中蜂产业园区的建设力度；二是提高宣传黑水阿坝中蜂的销售渠道；三是巩固提升品牌效益。从而提高养蜂积极性和效率，从而起到节本增收的作用，加快我县乡村振兴战略的步伐。</w:t>
      </w: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eastAsia="宋体"/>
          <w:lang w:eastAsia="zh-CN"/>
        </w:rPr>
      </w:pPr>
    </w:p>
    <w:p>
      <w:pPr>
        <w:pStyle w:val="9"/>
        <w:ind w:left="0" w:leftChars="0" w:firstLine="0" w:firstLineChars="0"/>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EC"/>
    <w:rsid w:val="004C22EC"/>
    <w:rsid w:val="007B38C6"/>
    <w:rsid w:val="01A14487"/>
    <w:rsid w:val="02F2657C"/>
    <w:rsid w:val="04D3430F"/>
    <w:rsid w:val="050B031E"/>
    <w:rsid w:val="06311E15"/>
    <w:rsid w:val="06881791"/>
    <w:rsid w:val="06F84483"/>
    <w:rsid w:val="07497F3C"/>
    <w:rsid w:val="08FB03BC"/>
    <w:rsid w:val="09080383"/>
    <w:rsid w:val="0A4C43B3"/>
    <w:rsid w:val="0A856D4E"/>
    <w:rsid w:val="0BFE0B6F"/>
    <w:rsid w:val="0DA1230F"/>
    <w:rsid w:val="10CC4ADB"/>
    <w:rsid w:val="14894517"/>
    <w:rsid w:val="171F69B4"/>
    <w:rsid w:val="189965B9"/>
    <w:rsid w:val="19C823E2"/>
    <w:rsid w:val="1B274032"/>
    <w:rsid w:val="1B4A3EC4"/>
    <w:rsid w:val="1BF1137E"/>
    <w:rsid w:val="1E293AAD"/>
    <w:rsid w:val="1FF04915"/>
    <w:rsid w:val="231F1689"/>
    <w:rsid w:val="23D12BC0"/>
    <w:rsid w:val="25231216"/>
    <w:rsid w:val="29A92C04"/>
    <w:rsid w:val="2B0C447A"/>
    <w:rsid w:val="2DCF7CDD"/>
    <w:rsid w:val="30725AB1"/>
    <w:rsid w:val="31AC1143"/>
    <w:rsid w:val="33BD40A0"/>
    <w:rsid w:val="341F4212"/>
    <w:rsid w:val="345432D2"/>
    <w:rsid w:val="347569B9"/>
    <w:rsid w:val="36E73E5A"/>
    <w:rsid w:val="3A1E0760"/>
    <w:rsid w:val="3B560081"/>
    <w:rsid w:val="45721BB8"/>
    <w:rsid w:val="464A5D18"/>
    <w:rsid w:val="46B5711C"/>
    <w:rsid w:val="4A0B0DD8"/>
    <w:rsid w:val="4D860E04"/>
    <w:rsid w:val="4E37055B"/>
    <w:rsid w:val="4FD914E3"/>
    <w:rsid w:val="50B63239"/>
    <w:rsid w:val="545C07D4"/>
    <w:rsid w:val="56CB5E08"/>
    <w:rsid w:val="57B166CC"/>
    <w:rsid w:val="57DB299E"/>
    <w:rsid w:val="5AD05242"/>
    <w:rsid w:val="5B055BE8"/>
    <w:rsid w:val="5F7E2122"/>
    <w:rsid w:val="621A4660"/>
    <w:rsid w:val="640E35BD"/>
    <w:rsid w:val="65720243"/>
    <w:rsid w:val="66FC6D17"/>
    <w:rsid w:val="67AB0FB2"/>
    <w:rsid w:val="6B137D0F"/>
    <w:rsid w:val="6B936884"/>
    <w:rsid w:val="6D137B7C"/>
    <w:rsid w:val="70EB2E38"/>
    <w:rsid w:val="73FA56C6"/>
    <w:rsid w:val="77E15E8A"/>
    <w:rsid w:val="7C8B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outlineLvl w:val="2"/>
    </w:pPr>
    <w:rPr>
      <w:rFonts w:cs="Times New Roman"/>
      <w:b/>
      <w:sz w:val="30"/>
      <w:szCs w:val="20"/>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heme="minorHAnsi" w:hAnsiTheme="minorHAnsi" w:eastAsiaTheme="minorEastAsia" w:cstheme="minorBidi"/>
      <w:sz w:val="21"/>
      <w:szCs w:val="24"/>
    </w:rPr>
  </w:style>
  <w:style w:type="paragraph" w:styleId="5">
    <w:name w:val="Body Text"/>
    <w:basedOn w:val="1"/>
    <w:qFormat/>
    <w:uiPriority w:val="1"/>
    <w:pPr>
      <w:autoSpaceDE w:val="0"/>
      <w:autoSpaceDN w:val="0"/>
      <w:jc w:val="left"/>
    </w:pPr>
    <w:rPr>
      <w:rFonts w:ascii="宋体" w:hAnsi="宋体" w:eastAsia="宋体" w:cs="宋体"/>
      <w:kern w:val="0"/>
      <w:szCs w:val="32"/>
      <w:lang w:val="zh-CN" w:bidi="zh-CN"/>
    </w:rPr>
  </w:style>
  <w:style w:type="paragraph" w:styleId="6">
    <w:name w:val="Body Text Indent"/>
    <w:basedOn w:val="1"/>
    <w:next w:val="7"/>
    <w:qFormat/>
    <w:uiPriority w:val="0"/>
    <w:pPr>
      <w:widowControl w:val="0"/>
      <w:spacing w:line="800" w:lineRule="exact"/>
      <w:ind w:firstLine="168" w:firstLineChars="168"/>
      <w:jc w:val="both"/>
    </w:pPr>
    <w:rPr>
      <w:rFonts w:ascii="Times New Roman" w:hAnsi="Times New Roman" w:eastAsia="仿宋_GB2312" w:cs="Times New Roman"/>
      <w:kern w:val="2"/>
      <w:sz w:val="32"/>
      <w:szCs w:val="24"/>
      <w:lang w:val="en-US" w:eastAsia="zh-CN" w:bidi="ar-SA"/>
    </w:rPr>
  </w:style>
  <w:style w:type="paragraph" w:styleId="7">
    <w:name w:val="toc 3"/>
    <w:basedOn w:val="1"/>
    <w:next w:val="1"/>
    <w:qFormat/>
    <w:uiPriority w:val="0"/>
    <w:pPr>
      <w:ind w:left="840"/>
    </w:pPr>
    <w:rPr>
      <w:rFonts w:ascii="黑体" w:eastAsia="黑体"/>
      <w:b/>
      <w:bCs/>
      <w:sz w:val="32"/>
      <w:szCs w:val="32"/>
    </w:rPr>
  </w:style>
  <w:style w:type="paragraph" w:styleId="8">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Body Text First Indent 2"/>
    <w:basedOn w:val="6"/>
    <w:next w:val="1"/>
    <w:qFormat/>
    <w:uiPriority w:val="99"/>
    <w:pPr>
      <w:ind w:firstLine="420" w:firstLineChars="200"/>
    </w:p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table of figures1"/>
    <w:basedOn w:val="1"/>
    <w:next w:val="1"/>
    <w:qFormat/>
    <w:uiPriority w:val="0"/>
    <w:pPr>
      <w:ind w:left="200" w:leftChars="200" w:hanging="200" w:hangingChars="200"/>
    </w:pPr>
  </w:style>
  <w:style w:type="character" w:customStyle="1" w:styleId="15">
    <w:name w:val="页眉 Char"/>
    <w:basedOn w:val="12"/>
    <w:link w:val="10"/>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3"/>
    <w:qFormat/>
    <w:uiPriority w:val="9"/>
    <w:rPr>
      <w:rFonts w:ascii="Times New Roman" w:hAnsi="Times New Roman" w:eastAsia="宋体" w:cs="Times New Roman"/>
      <w:b/>
      <w:bCs/>
      <w:kern w:val="44"/>
      <w:sz w:val="44"/>
      <w:szCs w:val="44"/>
    </w:rPr>
  </w:style>
  <w:style w:type="character" w:customStyle="1" w:styleId="18">
    <w:name w:val="NormalCharacter"/>
    <w:semiHidden/>
    <w:qFormat/>
    <w:uiPriority w:val="99"/>
  </w:style>
  <w:style w:type="paragraph" w:customStyle="1" w:styleId="19">
    <w:name w:val="四号正文"/>
    <w:basedOn w:val="1"/>
    <w:qFormat/>
    <w:uiPriority w:val="99"/>
    <w:pPr>
      <w:spacing w:line="360" w:lineRule="auto"/>
    </w:pPr>
    <w:rPr>
      <w:rFonts w:ascii="??" w:hAnsi="??" w:eastAsia="宋体" w:cs="??"/>
      <w:color w:val="000000"/>
      <w:kern w:val="0"/>
      <w:sz w:val="28"/>
      <w:szCs w:val="2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318</Words>
  <Characters>323</Characters>
  <Lines>2</Lines>
  <Paragraphs>1</Paragraphs>
  <TotalTime>5</TotalTime>
  <ScaleCrop>false</ScaleCrop>
  <LinksUpToDate>false</LinksUpToDate>
  <CharactersWithSpaces>323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2022-08-17T09:35:45Z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432AD5BEFCC942C4A0A0C05E5DA12E77</vt:lpwstr>
  </property>
</Properties>
</file>