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黑水县科学技术和农业畜牧水务局2022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2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黑水县科学技术和农业畜牧水务局</w:t>
      </w:r>
      <w:r>
        <w:rPr>
          <w:rFonts w:hint="eastAsia" w:ascii="仿宋_GB2312" w:hAnsi="仿宋" w:eastAsia="仿宋_GB2312" w:cs="仿宋_GB2312"/>
          <w:sz w:val="32"/>
          <w:szCs w:val="32"/>
        </w:rPr>
        <w:t>为一级预算单位，内设独立核算机构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个，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" w:eastAsia="仿宋_GB2312" w:cs="仿宋_GB2312"/>
          <w:sz w:val="32"/>
          <w:szCs w:val="32"/>
        </w:rPr>
        <w:t>畜牧兽医服务中心和农业水务局本级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。下设办公室、财务股等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个行政股室。下设农经站、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畜牧中心、农业执法中队、农村能源服务中心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参公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场站。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事业股室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如，土肥站、农技站等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黑水县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科学技术和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农业畜牧水务局负责贯彻执行国家有关种植业、畜牧业、农业机械化、农垦、水务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、科技、农工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等农业领域（以下简称农业）工作方针、政策和法律、法规，拟定全县农牧、水务和农村经济发展规划组织实施,推进农牧业依法行政；参与制定全县农业中、长期发展规划和年度计划，引导农业产业结构合理调整，农业资源合理配置和农产品品质改善；负责农业（含种植业、畜牧业、水利）科学技术的普及推广、先进适用技术的示范和推广、监督管理和行政执法等工作。负责实施农业（含种植业、畜牧业、水利）相关项目的实施工作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本单位本年度年末实有人数为157人，比上年增加3人；年末实有离退休人数为85人，比上年增加3人；变动情况及原因为人员变动。年末实有其他人数为0人，比上年增加0人。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部门财政资金总收入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12783.07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其中基本收入为3479.75万元。</w:t>
      </w:r>
      <w:r>
        <w:rPr>
          <w:rFonts w:hint="eastAsia" w:ascii="仿宋_GB2312" w:hAnsi="仿宋" w:eastAsia="仿宋_GB2312" w:cs="仿宋_GB2312"/>
          <w:sz w:val="32"/>
          <w:szCs w:val="32"/>
        </w:rPr>
        <w:t>具体为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住房公积金：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219.76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行政运行：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964.19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事业运行：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1725.03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行政单位医疗：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41.64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事业单位医疗：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77.67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公务员医疗补助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43.09万元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职业年金：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131.12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养老保险缴费：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277.24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13725.73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万元。其中基本支出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35.9.12</w:t>
      </w:r>
      <w:r>
        <w:rPr>
          <w:rFonts w:hint="eastAsia" w:ascii="仿宋_GB2312" w:hAnsi="仿宋" w:eastAsia="仿宋_GB2312" w:cs="仿宋_GB2312"/>
          <w:sz w:val="32"/>
          <w:szCs w:val="32"/>
        </w:rPr>
        <w:t>万元。具体为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住房公积金：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219.76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995.21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事业运行：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1753.39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行政单位医疗：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41.64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事业单位医疗：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77.67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公务员医疗补助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43.09万元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职业年金：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131.12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养老保险缴费：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277.24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ind w:firstLine="6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我单位严格按照县级部门预算编制通知和有关要求，按时完成基础信息、项目资料立项及预算编制等工作，并按时提交部门预算草案，不存在预算编制错误情况。县财政局根据预算编制草案，进行审核，我局20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32"/>
          <w:szCs w:val="32"/>
        </w:rPr>
        <w:t>年预算收入为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2500.07</w:t>
      </w:r>
      <w:r>
        <w:rPr>
          <w:rFonts w:hint="eastAsia" w:ascii="仿宋_GB2312" w:hAnsi="仿宋" w:eastAsia="仿宋_GB2312" w:cs="仿宋_GB2312"/>
          <w:sz w:val="32"/>
          <w:szCs w:val="32"/>
        </w:rPr>
        <w:t>万元。</w:t>
      </w:r>
    </w:p>
    <w:p>
      <w:pPr>
        <w:ind w:firstLine="6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是规章制度建立健全，制度执行严格合规，会计核算符合相关规定。二是严格按照有关规定，加强对财政各项资金的监督管理，确保资金及时、足额到位，专款专用，资金支付依据和开支标准合法合规，未出现截留和挤占挪作他用现象。三是按规定对财政拨付的专项资金进行自检自查，做好资金的项目和资金使用效益管理工作，充分发挥各项资金的使用效益，财政各项专项工作按时高质量完成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资金使用严格执行《阿坝州州级财政专项资金绩效分配管理暂行办法》。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专项性办公经费和培训经费等做到专款专用，使之发挥最大的经济效益和社会效益。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专项办公经费能够保证相关工作的更好推进，已达到最好的经济效益和社会效益。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结合项目自身特点，评价重点及管理办法等要求，根据项目决策、项目管理、项目绩效三个方面对项目进行总体评价得分：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" w:eastAsia="仿宋_GB2312" w:cs="仿宋_GB2312"/>
          <w:sz w:val="32"/>
          <w:szCs w:val="32"/>
        </w:rPr>
        <w:t>分，综合评价结果为良。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9" w:leftChars="352" w:hanging="320" w:hangingChars="10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经自评，我单位财政资金支出绩效评价得分为8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我局经财政资金的足额拨付，使得各项工作顺利进行，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" w:eastAsia="仿宋_GB2312" w:cs="仿宋_GB2312"/>
          <w:sz w:val="32"/>
          <w:szCs w:val="32"/>
        </w:rPr>
        <w:t>体现在：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今年以来，在县委、县政府的正确领导下，我局认真贯彻落实中央一号文件精神，贯彻落实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中央、省、州和县委县政府“三农”工作安排部署，巩固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拓展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脱贫攻坚成果与乡村振兴有效衔接，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统筹农村地区疫情防控和经济发展，为我县农业增产、农民增收、农村稳定打好基础。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截至目前，全县完成</w:t>
      </w:r>
      <w:r>
        <w:rPr>
          <w:rFonts w:hint="eastAsia" w:ascii="仿宋_GB2312" w:eastAsia="仿宋_GB2312"/>
          <w:color w:val="000000"/>
          <w:sz w:val="32"/>
          <w:szCs w:val="32"/>
        </w:rPr>
        <w:t>粮食作物播种面积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9.2万亩，粮食产量1.81万吨。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存栏猪74157头、牛51767头、羊13926只、鸡42637羽，兔20953只，累计出栏猪37120头，牛5751头，羊2347只，鸡56824只，兔19571只。中蜂2.7万群。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，实现第一产业增加值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30100万元，同比增长6.7%。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7" w:firstLineChars="196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预计全年实现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出栏猪54286头、牛8853头、羊5221只、禽122524只。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auto"/>
          <w:lang w:eastAsia="zh-CN"/>
        </w:rPr>
        <w:t>农村居民人均可支配收入可达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到18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550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元，增速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%，实现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第一产业增加值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53077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增幅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存在问题。</w:t>
      </w:r>
    </w:p>
    <w:p>
      <w:pPr>
        <w:pStyle w:val="2"/>
        <w:numPr>
          <w:ilvl w:val="0"/>
          <w:numId w:val="0"/>
        </w:numPr>
        <w:ind w:leftChars="200" w:firstLine="642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受疫情影响，农产品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运输和销售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不便，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部分农产品价格低迷，生猪生产不确定因素较多，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企业和养殖户的积极性不高。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农产品产业链条不长。我县现有规模以上农业企业主导产业多为资源型传统产业，高新技术领域企业不多，初加工产品多，缺乏附加值高的精深加工产品。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农业抗风险能力较弱，农业设施多以避雨、抗风为主，抵御寒潮、大雪等自然灾害能力不足，年底补种、补栏困难。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农村灌溉、生产道路等基础设施建设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跟不上产业发展的需求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，制约了农业产业发展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lang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积极实施品牌战略，提升已有品牌的知名度和影响力，创立企业品牌、产品品牌，塑造园区品牌，培育优质品牌农产品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农产品质量体系建。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建立1个县级、15个乡级、30个村级三级农产品质量安全检测服务点，加强县、乡、村三级监管、检测、执法人员培训。建设质量安全追溯体系，制定标准化生产技术规程。申报“三品一标”有机2个，绿色2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完善营销体系建设，加强包装设计生产，在成都、重庆的双城经济圈及一线城市，建立4处黑水县特色“三品一标”专柜。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EFFB9"/>
    <w:multiLevelType w:val="singleLevel"/>
    <w:tmpl w:val="870EFF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C3A0C0"/>
    <w:multiLevelType w:val="singleLevel"/>
    <w:tmpl w:val="67C3A0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0C0805BC"/>
    <w:rsid w:val="2AC028FE"/>
    <w:rsid w:val="34EB1F43"/>
    <w:rsid w:val="36435EC2"/>
    <w:rsid w:val="452D3E97"/>
    <w:rsid w:val="4B936091"/>
    <w:rsid w:val="4D9C1569"/>
    <w:rsid w:val="5D915E48"/>
    <w:rsid w:val="60D032A5"/>
    <w:rsid w:val="62530C62"/>
    <w:rsid w:val="6B2E0F9E"/>
    <w:rsid w:val="76473838"/>
    <w:rsid w:val="7D413BF9"/>
    <w:rsid w:val="B75A8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Chars="200" w:hanging="200" w:hanging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普通(网站)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9</TotalTime>
  <ScaleCrop>false</ScaleCrop>
  <LinksUpToDate>false</LinksUpToDate>
  <CharactersWithSpaces>359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2023-09-10T16:34:16Z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95904B18A838722E887FFD646BBB56BB</vt:lpwstr>
  </property>
</Properties>
</file>