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23</w:t>
      </w:r>
      <w:r>
        <w:rPr>
          <w:rFonts w:hint="eastAsia" w:ascii="仿宋_GB2312" w:hAnsi="黑体" w:eastAsia="仿宋_GB2312" w:cs="方正小标宋简体"/>
          <w:b/>
          <w:sz w:val="32"/>
          <w:szCs w:val="32"/>
        </w:rPr>
        <w:t>年黑水县中蜂成熟蜜生产基地建设项目</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支出绩效评价报告</w:t>
      </w:r>
    </w:p>
    <w:p>
      <w:pPr>
        <w:spacing w:line="580" w:lineRule="exact"/>
        <w:ind w:firstLine="640" w:firstLineChars="200"/>
        <w:rPr>
          <w:rFonts w:ascii="仿宋_GB2312" w:hAnsi="仿宋_GB2312" w:eastAsia="仿宋_GB2312" w:cs="仿宋_GB2312"/>
          <w:sz w:val="32"/>
          <w:szCs w:val="32"/>
        </w:rPr>
      </w:pP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评价工作开展及项目情况</w:t>
      </w:r>
    </w:p>
    <w:p>
      <w:pPr>
        <w:adjustRightInd w:val="0"/>
        <w:snapToGrid w:val="0"/>
        <w:spacing w:line="520" w:lineRule="exact"/>
        <w:ind w:firstLine="642" w:firstLineChars="200"/>
        <w:rPr>
          <w:rFonts w:hint="eastAsia" w:ascii="仿宋_GB2312" w:hAnsi="宋体" w:eastAsia="仿宋_GB2312" w:cs="Times New Roman"/>
          <w:color w:val="auto"/>
          <w:sz w:val="32"/>
          <w:szCs w:val="32"/>
          <w:lang w:eastAsia="zh-CN"/>
        </w:rPr>
      </w:pPr>
      <w:r>
        <w:rPr>
          <w:rFonts w:hint="eastAsia" w:ascii="仿宋_GB2312" w:hAnsi="宋体" w:eastAsia="仿宋_GB2312" w:cs="Times New Roman"/>
          <w:b/>
          <w:bCs/>
          <w:color w:val="auto"/>
          <w:sz w:val="32"/>
          <w:szCs w:val="32"/>
          <w:lang w:val="en-US" w:eastAsia="zh-CN"/>
        </w:rPr>
        <w:t>（一）背景。</w:t>
      </w:r>
      <w:r>
        <w:rPr>
          <w:rFonts w:hint="eastAsia" w:ascii="仿宋_GB2312" w:hAnsi="宋体" w:eastAsia="仿宋_GB2312" w:cs="Times New Roman"/>
          <w:color w:val="auto"/>
          <w:sz w:val="32"/>
          <w:szCs w:val="32"/>
          <w:lang w:val="en-US" w:eastAsia="zh-CN"/>
        </w:rPr>
        <w:t>为巩固拓展脱贫攻坚成果同乡村振兴有效衔接，聚焦巩固拓展脱贫攻坚成果的核心任务，进一步补齐村集体经济养殖场和中蜂蜜加工厂加工短板，促进全县村集体经济，脱贫户和监测户持续稳定增收。目前黑水县农户养殖中蜂积极性高，具有产业基础，特别是3个养殖小区（慈坝、石碉楼、龙坝）蜂蜜生产量大，但销售渠道不稳定，如打通产品加工短板，可促进中蜂产业健康发展。</w:t>
      </w:r>
      <w:bookmarkStart w:id="0" w:name="_GoBack"/>
      <w:bookmarkEnd w:id="0"/>
    </w:p>
    <w:p>
      <w:pPr>
        <w:adjustRightInd w:val="0"/>
        <w:snapToGrid w:val="0"/>
        <w:spacing w:line="520" w:lineRule="exact"/>
        <w:ind w:firstLine="642" w:firstLineChars="200"/>
        <w:rPr>
          <w:rFonts w:hint="eastAsia" w:ascii="仿宋_GB2312" w:hAnsi="仿宋" w:eastAsia="仿宋_GB2312" w:cs="仿宋_GB2312"/>
          <w:sz w:val="32"/>
          <w:szCs w:val="32"/>
        </w:rPr>
      </w:pPr>
      <w:r>
        <w:rPr>
          <w:rFonts w:hint="eastAsia" w:ascii="仿宋_GB2312" w:hAnsi="宋体" w:eastAsia="仿宋_GB2312" w:cs="Times New Roman"/>
          <w:b/>
          <w:bCs/>
          <w:color w:val="auto"/>
          <w:sz w:val="32"/>
          <w:szCs w:val="32"/>
          <w:lang w:val="en-US" w:eastAsia="zh-CN"/>
        </w:rPr>
        <w:t>（二）主要内容</w:t>
      </w:r>
      <w:r>
        <w:rPr>
          <w:rFonts w:hint="eastAsia" w:ascii="仿宋_GB2312" w:hAnsi="宋体" w:eastAsia="仿宋_GB2312" w:cs="Times New Roman"/>
          <w:color w:val="auto"/>
          <w:sz w:val="32"/>
          <w:szCs w:val="32"/>
          <w:lang w:val="en-US" w:eastAsia="zh-CN"/>
        </w:rPr>
        <w:t>。巩固提升四美繁育基地1个（购买安装</w:t>
      </w:r>
      <w:r>
        <w:rPr>
          <w:rFonts w:hint="default" w:ascii="仿宋_GB2312" w:hAnsi="宋体" w:eastAsia="仿宋_GB2312" w:cs="Times New Roman"/>
          <w:color w:val="auto"/>
          <w:sz w:val="32"/>
          <w:szCs w:val="32"/>
          <w:lang w:val="en-US" w:eastAsia="zh-CN"/>
        </w:rPr>
        <w:t>35kw</w:t>
      </w:r>
      <w:r>
        <w:rPr>
          <w:rFonts w:hint="eastAsia" w:ascii="仿宋_GB2312" w:hAnsi="宋体" w:eastAsia="仿宋_GB2312" w:cs="Times New Roman"/>
          <w:color w:val="auto"/>
          <w:sz w:val="32"/>
          <w:szCs w:val="32"/>
          <w:lang w:val="en-US" w:eastAsia="zh-CN"/>
        </w:rPr>
        <w:t>变压器1台，安装引水管2000米，水坦克10m³）；购买繁育物资蔗糖5吨；补齐加工厂设施设备（成熟蜜生产车间净化设备、检验检测设备，增设蜂蜜水分蒸发器一套和标识标牌11个）；黑水中蜂蜜“土特产”包装设计和制作2000套。</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adjustRightInd w:val="0"/>
        <w:snapToGrid w:val="0"/>
        <w:spacing w:line="520" w:lineRule="exact"/>
        <w:ind w:firstLine="640" w:firstLineChars="200"/>
        <w:rPr>
          <w:rFonts w:hint="eastAsia" w:ascii="仿宋_GB2312" w:hAnsi="宋体" w:eastAsia="仿宋_GB2312" w:cs="Times New Roman"/>
          <w:color w:val="auto"/>
          <w:sz w:val="32"/>
          <w:szCs w:val="32"/>
          <w:lang w:eastAsia="zh-CN"/>
        </w:rPr>
      </w:pPr>
      <w:r>
        <w:rPr>
          <w:rFonts w:hint="eastAsia" w:ascii="仿宋_GB2312" w:hAnsi="宋体" w:eastAsia="仿宋_GB2312" w:cs="Times New Roman"/>
          <w:color w:val="auto"/>
          <w:sz w:val="32"/>
          <w:szCs w:val="32"/>
          <w:lang w:eastAsia="zh-CN"/>
        </w:rPr>
        <w:t>综合评估总得分</w:t>
      </w:r>
      <w:r>
        <w:rPr>
          <w:rFonts w:hint="eastAsia" w:ascii="仿宋_GB2312" w:hAnsi="宋体" w:eastAsia="仿宋_GB2312" w:cs="Times New Roman"/>
          <w:color w:val="auto"/>
          <w:sz w:val="32"/>
          <w:szCs w:val="32"/>
          <w:lang w:val="en-US" w:eastAsia="zh-CN"/>
        </w:rPr>
        <w:t>90</w:t>
      </w:r>
      <w:r>
        <w:rPr>
          <w:rFonts w:hint="eastAsia" w:ascii="仿宋_GB2312" w:hAnsi="宋体" w:eastAsia="仿宋_GB2312" w:cs="Times New Roman"/>
          <w:b w:val="0"/>
          <w:bCs w:val="0"/>
          <w:color w:val="auto"/>
          <w:sz w:val="32"/>
          <w:szCs w:val="32"/>
          <w:lang w:val="en-US" w:eastAsia="zh-CN"/>
        </w:rPr>
        <w:t>分。</w:t>
      </w:r>
    </w:p>
    <w:tbl>
      <w:tblPr>
        <w:tblStyle w:val="7"/>
        <w:tblW w:w="953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49"/>
        <w:gridCol w:w="786"/>
        <w:gridCol w:w="903"/>
        <w:gridCol w:w="1163"/>
        <w:gridCol w:w="483"/>
        <w:gridCol w:w="1171"/>
        <w:gridCol w:w="880"/>
        <w:gridCol w:w="1042"/>
        <w:gridCol w:w="469"/>
        <w:gridCol w:w="428"/>
        <w:gridCol w:w="15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953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1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0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黑水县中蜂成熟蜜生产基地建设项目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1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6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黑水县乡村振兴局</w:t>
            </w:r>
          </w:p>
        </w:tc>
        <w:tc>
          <w:tcPr>
            <w:tcW w:w="1042" w:type="dxa"/>
            <w:shd w:val="clear" w:color="auto" w:fill="auto"/>
            <w:vAlign w:val="center"/>
          </w:tcPr>
          <w:p>
            <w:pPr>
              <w:keepNext w:val="0"/>
              <w:keepLines w:val="0"/>
              <w:widowControl/>
              <w:suppressLineNumbers w:val="0"/>
              <w:jc w:val="center"/>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黑水县科学技术和农业畜牧局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6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49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60"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46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升四美繁育基地1个（购买安装35kw变压器1台，安装引水管2000米，水坦克10m³）；购买繁育物资蔗糖5吨；补齐加工厂设施设备（成熟蜜生产车间净化设备、增设蜂蜜水分蒸发器一套和标识标牌11个）；黑水中蜂蜜“土特产”包装设计和制作2000套。</w:t>
            </w:r>
          </w:p>
        </w:tc>
        <w:tc>
          <w:tcPr>
            <w:tcW w:w="349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按项目年度目标完成成项目建设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15"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80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2023年4月26日第十四届县人民政府第26次常务会审过同意实施，5月4日采购请示经县人民政府审核通过，2023年5月10日完成财政局采购备案，2023年6月20日完成挂网采购前期工作，2023年7月7日完成项目招投标工作，2023年7月12日完成合同签订工作，2023年11月7日完成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5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54.00</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54.00</w:t>
            </w:r>
          </w:p>
        </w:tc>
        <w:tc>
          <w:tcPr>
            <w:tcW w:w="25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25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25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25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25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变压器</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≥1台</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水管</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≥2000米</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水坦克</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≥10m³</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蔗糖</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≥5吨</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净化设备、检验检测设备</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≥1台</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水分蒸发器</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≥1台</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标识标牌</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≥11个</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“土特产”包装</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≥2000套</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工程验收合格率</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项目开工率</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项目建设按期完成率</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采购部分成本</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≥54万元</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轻劳力、投入少， 见效快</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增加不能外出务工中老年人的经济收入</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生态效益指标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为果蔬和粮食作物起到传花授粉作用，提高农作物产量</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发挥品牌效应、稳定销售渠道</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w:t>
            </w:r>
            <w:r>
              <w:rPr>
                <w:rFonts w:ascii="宋体" w:hAnsi="宋体" w:eastAsia="宋体" w:cs="宋体"/>
                <w:i w:val="0"/>
                <w:color w:val="000000"/>
                <w:kern w:val="0"/>
                <w:sz w:val="18"/>
                <w:szCs w:val="18"/>
                <w:u w:val="none"/>
                <w:lang w:val="en-US" w:eastAsia="zh-CN" w:bidi="ar"/>
              </w:rPr>
              <w:br w:type="textWrapping"/>
            </w:r>
            <w:r>
              <w:rPr>
                <w:rFonts w:ascii="宋体" w:hAnsi="宋体" w:eastAsia="宋体" w:cs="宋体"/>
                <w:i w:val="0"/>
                <w:color w:val="000000"/>
                <w:kern w:val="0"/>
                <w:sz w:val="18"/>
                <w:szCs w:val="18"/>
                <w:u w:val="none"/>
                <w:lang w:val="en-US" w:eastAsia="zh-CN" w:bidi="ar"/>
              </w:rPr>
              <w:t>满意度指标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受益村集体经济满意度</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受益群众满意度</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70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88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SimSun-ExtB" w:hAnsi="SimSun-ExtB" w:eastAsia="SimSun-ExtB" w:cs="SimSun-ExtB"/>
                <w:i/>
                <w:color w:val="000000"/>
                <w:sz w:val="16"/>
                <w:szCs w:val="16"/>
                <w:u w:val="none"/>
              </w:rPr>
            </w:pPr>
            <w:r>
              <w:rPr>
                <w:rFonts w:hint="eastAsia" w:ascii="SimSun-ExtB" w:hAnsi="SimSun-ExtB" w:eastAsia="SimSun-ExtB" w:cs="SimSun-ExtB"/>
                <w:i/>
                <w:color w:val="000000"/>
                <w:kern w:val="0"/>
                <w:sz w:val="16"/>
                <w:szCs w:val="16"/>
                <w:u w:val="none"/>
                <w:lang w:val="en-US" w:eastAsia="zh-CN" w:bidi="ar"/>
              </w:rPr>
              <w:t>一是野生动物的侵袭严重，特别是黑熊有着毁灭性的损坏，部分农户蜂群几乎全军覆没；二是受市场大环境影响养殖户流水严重。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88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SimSun-ExtB" w:hAnsi="SimSun-ExtB" w:eastAsia="SimSun-ExtB" w:cs="SimSun-ExtB"/>
                <w:i/>
                <w:color w:val="000000"/>
                <w:sz w:val="16"/>
                <w:szCs w:val="16"/>
                <w:u w:val="none"/>
              </w:rPr>
            </w:pPr>
            <w:r>
              <w:rPr>
                <w:rFonts w:hint="eastAsia" w:ascii="SimSun-ExtB" w:hAnsi="SimSun-ExtB" w:eastAsia="SimSun-ExtB" w:cs="SimSun-ExtB"/>
                <w:i/>
                <w:color w:val="000000"/>
                <w:kern w:val="0"/>
                <w:sz w:val="16"/>
                <w:szCs w:val="16"/>
                <w:u w:val="none"/>
                <w:lang w:val="en-US" w:eastAsia="zh-CN" w:bidi="ar"/>
              </w:rPr>
              <w:t>通过项目建设，提升繁育基地和中蜂蜜加工厂带动能力，解决了产品上市问题，辐射带动全县中蜂养殖场、养殖户积极性和生产效益。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88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SimSun-ExtB" w:hAnsi="SimSun-ExtB" w:eastAsia="SimSun-ExtB" w:cs="SimSun-ExtB"/>
                <w:i/>
                <w:color w:val="000000"/>
                <w:sz w:val="16"/>
                <w:szCs w:val="16"/>
                <w:u w:val="none"/>
              </w:rPr>
            </w:pPr>
            <w:r>
              <w:rPr>
                <w:rFonts w:hint="eastAsia" w:ascii="SimSun-ExtB" w:hAnsi="SimSun-ExtB" w:eastAsia="SimSun-ExtB" w:cs="SimSun-ExtB"/>
                <w:i/>
                <w:color w:val="000000"/>
                <w:kern w:val="0"/>
                <w:sz w:val="16"/>
                <w:szCs w:val="16"/>
                <w:u w:val="none"/>
                <w:lang w:val="en-US" w:eastAsia="zh-CN" w:bidi="ar"/>
              </w:rPr>
              <w:t>一是加快黑水中蜂蜜加工厂建设和认证，解决养殖户后顾之忧；二是鼓励养殖户加入保险和申报损失宣传；三是加大技术培训力度，技术人员加强自我提升学习，努力提高各项技能，继续加大阿坝中蜂发展的投入力度，加大对广大养殖户监测户的技术培训和跟踪指导。</w:t>
            </w:r>
          </w:p>
        </w:tc>
      </w:tr>
    </w:tbl>
    <w:p>
      <w:pPr>
        <w:spacing w:line="580" w:lineRule="exact"/>
        <w:rPr>
          <w:rFonts w:hint="eastAsia"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1、项目决策</w:t>
      </w:r>
    </w:p>
    <w:p>
      <w:pPr>
        <w:adjustRightInd w:val="0"/>
        <w:snapToGrid w:val="0"/>
        <w:spacing w:line="520" w:lineRule="exact"/>
        <w:ind w:firstLine="640" w:firstLineChars="200"/>
        <w:rPr>
          <w:rFonts w:hint="eastAsia" w:ascii="仿宋_GB2312" w:hAnsi="宋体" w:eastAsia="仿宋_GB2312" w:cs="Times New Roman"/>
          <w:color w:val="auto"/>
          <w:sz w:val="32"/>
          <w:szCs w:val="32"/>
          <w:lang w:val="en-US" w:eastAsia="zh-CN"/>
        </w:rPr>
      </w:pPr>
      <w:r>
        <w:rPr>
          <w:rFonts w:hint="eastAsia" w:ascii="仿宋_GB2312" w:hAnsi="宋体" w:eastAsia="仿宋_GB2312" w:cs="Times New Roman"/>
          <w:color w:val="auto"/>
          <w:sz w:val="32"/>
          <w:szCs w:val="32"/>
          <w:lang w:val="en-US" w:eastAsia="zh-CN"/>
        </w:rPr>
        <w:t>（1)立项必要性</w:t>
      </w:r>
    </w:p>
    <w:p>
      <w:pPr>
        <w:adjustRightInd w:val="0"/>
        <w:snapToGrid w:val="0"/>
        <w:spacing w:line="520" w:lineRule="exact"/>
        <w:ind w:firstLine="640" w:firstLineChars="200"/>
        <w:rPr>
          <w:rFonts w:hint="eastAsia" w:ascii="仿宋_GB2312" w:hAnsi="宋体" w:eastAsia="仿宋_GB2312" w:cs="Times New Roman"/>
          <w:color w:val="auto"/>
          <w:sz w:val="32"/>
          <w:szCs w:val="32"/>
          <w:lang w:eastAsia="zh-CN"/>
        </w:rPr>
      </w:pPr>
      <w:r>
        <w:rPr>
          <w:rFonts w:hint="eastAsia" w:ascii="仿宋_GB2312" w:hAnsi="宋体" w:eastAsia="仿宋_GB2312" w:cs="Times New Roman"/>
          <w:color w:val="auto"/>
          <w:sz w:val="32"/>
          <w:szCs w:val="32"/>
          <w:lang w:val="en-US" w:eastAsia="zh-CN"/>
        </w:rPr>
        <w:t>黑水县2020年底现行标准下农村贫困人口全部脱贫。脱贫摘帽不是终点，而是新生活、新奋斗的起点。为巩固拓展脱贫攻坚成果同乡村振兴有效衔接，补齐产业发展短板，提升优势特色产业，带动村集体、农户持续增收。</w:t>
      </w:r>
    </w:p>
    <w:p>
      <w:pPr>
        <w:adjustRightInd w:val="0"/>
        <w:snapToGrid w:val="0"/>
        <w:spacing w:line="520" w:lineRule="exact"/>
        <w:ind w:firstLine="640" w:firstLineChars="200"/>
        <w:rPr>
          <w:rFonts w:hint="eastAsia" w:ascii="仿宋_GB2312" w:hAnsi="宋体" w:eastAsia="仿宋_GB2312" w:cs="Times New Roman"/>
          <w:color w:val="auto"/>
          <w:sz w:val="32"/>
          <w:szCs w:val="32"/>
          <w:lang w:val="en-US" w:eastAsia="zh-CN"/>
        </w:rPr>
      </w:pPr>
      <w:r>
        <w:rPr>
          <w:rFonts w:hint="eastAsia" w:ascii="仿宋_GB2312" w:hAnsi="宋体" w:eastAsia="仿宋_GB2312" w:cs="Times New Roman"/>
          <w:color w:val="auto"/>
          <w:sz w:val="32"/>
          <w:szCs w:val="32"/>
          <w:lang w:val="en-US" w:eastAsia="zh-CN"/>
        </w:rPr>
        <w:t>(2)实施方案可行性</w:t>
      </w:r>
    </w:p>
    <w:p>
      <w:pPr>
        <w:adjustRightInd w:val="0"/>
        <w:snapToGrid w:val="0"/>
        <w:spacing w:line="520" w:lineRule="exact"/>
        <w:ind w:firstLine="640" w:firstLineChars="200"/>
        <w:rPr>
          <w:rFonts w:hint="eastAsia" w:ascii="仿宋_GB2312" w:hAnsi="宋体" w:eastAsia="仿宋_GB2312" w:cs="Times New Roman"/>
          <w:color w:val="auto"/>
          <w:sz w:val="32"/>
          <w:szCs w:val="32"/>
          <w:lang w:eastAsia="zh-CN"/>
        </w:rPr>
      </w:pPr>
      <w:r>
        <w:rPr>
          <w:rFonts w:hint="eastAsia" w:ascii="仿宋_GB2312" w:hAnsi="宋体" w:eastAsia="仿宋_GB2312" w:cs="Times New Roman"/>
          <w:color w:val="auto"/>
          <w:sz w:val="32"/>
          <w:szCs w:val="32"/>
          <w:lang w:eastAsia="zh-CN"/>
        </w:rPr>
        <w:t>黑水县因其特殊的地理条件和气候环境，养殖中蜂具有得天独厚的自然优势，全县林草覆盖率达到82.36%，水环境水质均达到Ⅱ类水域标准，全县无任何工矿企业。黑水县一产以发展沟域经济为主，其中重点发展“生态蔬菜、藏香猪、早实核桃、阿坝中蜂、道地药材、凤尾鸡”六大优势产业。</w:t>
      </w:r>
      <w:r>
        <w:rPr>
          <w:rFonts w:hint="eastAsia" w:ascii="仿宋_GB2312" w:hAnsi="宋体" w:eastAsia="仿宋_GB2312" w:cs="Times New Roman"/>
          <w:color w:val="auto"/>
          <w:sz w:val="32"/>
          <w:szCs w:val="32"/>
          <w:lang w:val="en-US" w:eastAsia="zh-CN"/>
        </w:rPr>
        <w:t>蜜源植物优势明显，</w:t>
      </w:r>
      <w:r>
        <w:rPr>
          <w:rFonts w:hint="eastAsia" w:ascii="仿宋_GB2312" w:hAnsi="宋体" w:eastAsia="仿宋_GB2312" w:cs="Times New Roman"/>
          <w:color w:val="auto"/>
          <w:sz w:val="32"/>
          <w:szCs w:val="32"/>
          <w:lang w:eastAsia="zh-CN"/>
        </w:rPr>
        <w:t>据1982年对全县植物的普查显示，主要森林植物95种、药用植物215种、有经济林木37个品种、有草场植物59科314种。项目实施具有资源保障。</w:t>
      </w:r>
    </w:p>
    <w:p>
      <w:pPr>
        <w:adjustRightInd w:val="0"/>
        <w:snapToGrid w:val="0"/>
        <w:spacing w:line="520" w:lineRule="exact"/>
        <w:ind w:firstLine="640" w:firstLineChars="200"/>
        <w:rPr>
          <w:rFonts w:hint="eastAsia" w:ascii="仿宋_GB2312" w:hAnsi="宋体" w:eastAsia="仿宋_GB2312" w:cs="Times New Roman"/>
          <w:color w:val="auto"/>
          <w:sz w:val="32"/>
          <w:szCs w:val="32"/>
          <w:lang w:eastAsia="zh-CN"/>
        </w:rPr>
      </w:pPr>
      <w:r>
        <w:rPr>
          <w:rFonts w:hint="eastAsia" w:ascii="仿宋_GB2312" w:hAnsi="宋体" w:eastAsia="仿宋_GB2312" w:cs="Times New Roman"/>
          <w:color w:val="auto"/>
          <w:sz w:val="32"/>
          <w:szCs w:val="32"/>
          <w:lang w:eastAsia="zh-CN"/>
        </w:rPr>
        <w:t>项目已制定实施方案和推进计划，组织机构健全，职责分工明确，有具体的实施时间，有明确的工作程序，基础设施条件能够有效保障，资金能足额保证，具有相应的质量检查、验收等必要的控制措施，有针对突发事件或未知风险的应急措施。</w:t>
      </w:r>
    </w:p>
    <w:p>
      <w:pPr>
        <w:adjustRightInd w:val="0"/>
        <w:snapToGrid w:val="0"/>
        <w:spacing w:line="520" w:lineRule="exact"/>
        <w:ind w:firstLine="640" w:firstLineChars="200"/>
        <w:rPr>
          <w:rFonts w:hint="eastAsia" w:ascii="仿宋_GB2312" w:hAnsi="宋体" w:eastAsia="仿宋_GB2312" w:cs="Times New Roman"/>
          <w:color w:val="auto"/>
          <w:sz w:val="32"/>
          <w:szCs w:val="32"/>
          <w:lang w:eastAsia="zh-CN"/>
        </w:rPr>
      </w:pPr>
      <w:r>
        <w:rPr>
          <w:rFonts w:hint="eastAsia" w:ascii="仿宋_GB2312" w:hAnsi="宋体" w:eastAsia="仿宋_GB2312" w:cs="Times New Roman"/>
          <w:color w:val="auto"/>
          <w:sz w:val="32"/>
          <w:szCs w:val="32"/>
          <w:lang w:val="en-US" w:eastAsia="zh-CN"/>
        </w:rPr>
        <w:t>(3)</w:t>
      </w:r>
      <w:r>
        <w:rPr>
          <w:rFonts w:hint="eastAsia" w:ascii="仿宋_GB2312" w:hAnsi="宋体" w:eastAsia="仿宋_GB2312" w:cs="Times New Roman"/>
          <w:color w:val="auto"/>
          <w:sz w:val="32"/>
          <w:szCs w:val="32"/>
          <w:lang w:eastAsia="zh-CN"/>
        </w:rPr>
        <w:t>绩效目标合理性</w:t>
      </w:r>
    </w:p>
    <w:p>
      <w:pPr>
        <w:adjustRightInd w:val="0"/>
        <w:snapToGrid w:val="0"/>
        <w:spacing w:line="520" w:lineRule="exact"/>
        <w:ind w:firstLine="640" w:firstLineChars="200"/>
        <w:rPr>
          <w:rFonts w:hint="eastAsia"/>
          <w:lang w:val="en-US" w:eastAsia="zh-CN"/>
        </w:rPr>
      </w:pPr>
      <w:r>
        <w:rPr>
          <w:rFonts w:hint="eastAsia" w:ascii="仿宋_GB2312" w:hAnsi="宋体" w:eastAsia="仿宋_GB2312" w:cs="Times New Roman"/>
          <w:color w:val="auto"/>
          <w:sz w:val="32"/>
          <w:szCs w:val="32"/>
          <w:lang w:eastAsia="zh-CN"/>
        </w:rPr>
        <w:t>项目</w:t>
      </w:r>
      <w:r>
        <w:rPr>
          <w:rFonts w:hint="eastAsia" w:ascii="仿宋_GB2312" w:hAnsi="宋体" w:eastAsia="仿宋_GB2312" w:cs="Times New Roman"/>
          <w:color w:val="auto"/>
          <w:sz w:val="32"/>
          <w:szCs w:val="32"/>
          <w:lang w:val="en-US" w:eastAsia="zh-CN"/>
        </w:rPr>
        <w:t>依据</w:t>
      </w:r>
      <w:r>
        <w:rPr>
          <w:rFonts w:hint="eastAsia" w:ascii="仿宋_GB2312" w:hAnsi="宋体" w:eastAsia="仿宋_GB2312" w:cs="Times New Roman"/>
          <w:color w:val="auto"/>
          <w:sz w:val="32"/>
          <w:szCs w:val="32"/>
          <w:lang w:eastAsia="zh-CN"/>
        </w:rPr>
        <w:t>《中共四川省委四川省人民政府关于实现巩固拓展脱贫攻坚成果同乡村振兴有效衔接的实施意见》、《黑水县国民经济和社会发展第十</w:t>
      </w:r>
      <w:r>
        <w:rPr>
          <w:rFonts w:hint="eastAsia" w:ascii="仿宋_GB2312" w:hAnsi="宋体" w:eastAsia="仿宋_GB2312" w:cs="Times New Roman"/>
          <w:color w:val="auto"/>
          <w:sz w:val="32"/>
          <w:szCs w:val="32"/>
          <w:lang w:val="en-US" w:eastAsia="zh-CN"/>
        </w:rPr>
        <w:t>四</w:t>
      </w:r>
      <w:r>
        <w:rPr>
          <w:rFonts w:hint="eastAsia" w:ascii="仿宋_GB2312" w:hAnsi="宋体" w:eastAsia="仿宋_GB2312" w:cs="Times New Roman"/>
          <w:color w:val="auto"/>
          <w:sz w:val="32"/>
          <w:szCs w:val="32"/>
          <w:lang w:eastAsia="zh-CN"/>
        </w:rPr>
        <w:t>个五年规划》</w:t>
      </w:r>
      <w:r>
        <w:rPr>
          <w:rFonts w:hint="eastAsia" w:ascii="仿宋_GB2312" w:hAnsi="宋体" w:eastAsia="仿宋_GB2312" w:cs="Times New Roman"/>
          <w:color w:val="auto"/>
          <w:sz w:val="32"/>
          <w:szCs w:val="32"/>
          <w:lang w:val="en-US" w:eastAsia="zh-CN"/>
        </w:rPr>
        <w:t>结合黑水中蜂产业发展现状，提升四美繁育基地和长河坝蜂蜜加工厂短板，完善中蜂产业链条，巩固拓展脱贫攻坚成果与乡村振兴的有效衔接和生态效益农业的提质增效。项目绩效目标设置合理</w:t>
      </w:r>
    </w:p>
    <w:p>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项目管理</w:t>
      </w:r>
    </w:p>
    <w:p>
      <w:pPr>
        <w:adjustRightInd w:val="0"/>
        <w:snapToGrid w:val="0"/>
        <w:spacing w:line="520" w:lineRule="exact"/>
        <w:ind w:firstLine="640" w:firstLineChars="200"/>
        <w:rPr>
          <w:rFonts w:hint="eastAsia" w:ascii="仿宋_GB2312" w:hAnsi="宋体" w:eastAsia="仿宋_GB2312" w:cs="Times New Roman"/>
          <w:color w:val="auto"/>
          <w:sz w:val="32"/>
          <w:szCs w:val="32"/>
          <w:lang w:val="en-US" w:eastAsia="zh-CN"/>
        </w:rPr>
      </w:pPr>
      <w:r>
        <w:rPr>
          <w:rFonts w:hint="eastAsia" w:ascii="仿宋_GB2312" w:hAnsi="宋体" w:eastAsia="仿宋_GB2312" w:cs="Times New Roman"/>
          <w:color w:val="auto"/>
          <w:sz w:val="32"/>
          <w:szCs w:val="32"/>
          <w:lang w:eastAsia="zh-CN"/>
        </w:rPr>
        <w:t>该项目总投资</w:t>
      </w:r>
      <w:r>
        <w:rPr>
          <w:rFonts w:hint="eastAsia" w:ascii="仿宋_GB2312" w:hAnsi="宋体" w:eastAsia="仿宋_GB2312" w:cs="Times New Roman"/>
          <w:color w:val="auto"/>
          <w:sz w:val="32"/>
          <w:szCs w:val="32"/>
          <w:lang w:val="en-US" w:eastAsia="zh-CN"/>
        </w:rPr>
        <w:t>约54</w:t>
      </w:r>
      <w:r>
        <w:rPr>
          <w:rFonts w:hint="eastAsia" w:ascii="仿宋_GB2312" w:hAnsi="宋体" w:eastAsia="仿宋_GB2312" w:cs="Times New Roman"/>
          <w:color w:val="auto"/>
          <w:sz w:val="32"/>
          <w:szCs w:val="32"/>
          <w:lang w:eastAsia="zh-CN"/>
        </w:rPr>
        <w:t>万元，其中：</w:t>
      </w:r>
      <w:r>
        <w:rPr>
          <w:rFonts w:hint="eastAsia" w:ascii="仿宋_GB2312" w:hAnsi="宋体" w:eastAsia="仿宋_GB2312" w:cs="Times New Roman"/>
          <w:color w:val="auto"/>
          <w:sz w:val="32"/>
          <w:szCs w:val="32"/>
          <w:lang w:val="en-US" w:eastAsia="zh-CN"/>
        </w:rPr>
        <w:t>提升四美中蜂繁育12万元；采购繁育物资4万元；提升长河坝加工厂34万元。黑水中蜂蜜“土特产”包装设计和制作4万元。</w:t>
      </w:r>
    </w:p>
    <w:p>
      <w:pPr>
        <w:adjustRightInd w:val="0"/>
        <w:snapToGrid w:val="0"/>
        <w:spacing w:line="520" w:lineRule="exact"/>
        <w:ind w:firstLine="640" w:firstLineChars="200"/>
      </w:pPr>
      <w:r>
        <w:rPr>
          <w:rFonts w:hint="default" w:ascii="仿宋_GB2312" w:hAnsi="宋体" w:eastAsia="仿宋_GB2312" w:cs="Times New Roman"/>
          <w:color w:val="auto"/>
          <w:sz w:val="32"/>
          <w:szCs w:val="32"/>
          <w:lang w:eastAsia="zh-CN"/>
        </w:rPr>
        <w:t>资金来源为</w:t>
      </w:r>
      <w:r>
        <w:rPr>
          <w:rFonts w:hint="eastAsia" w:ascii="仿宋_GB2312" w:hAnsi="宋体" w:eastAsia="仿宋_GB2312" w:cs="Times New Roman"/>
          <w:color w:val="auto"/>
          <w:sz w:val="32"/>
          <w:szCs w:val="32"/>
          <w:lang w:val="en-US" w:eastAsia="zh-CN"/>
        </w:rPr>
        <w:t>黑</w:t>
      </w:r>
      <w:r>
        <w:rPr>
          <w:rFonts w:hint="eastAsia" w:ascii="仿宋_GB2312" w:hAnsi="宋体" w:eastAsia="仿宋_GB2312" w:cs="Times New Roman"/>
          <w:color w:val="auto"/>
          <w:sz w:val="32"/>
          <w:szCs w:val="32"/>
          <w:lang w:eastAsia="zh-CN"/>
        </w:rPr>
        <w:t>水县2023年度财政衔接资金</w:t>
      </w:r>
      <w:r>
        <w:rPr>
          <w:rFonts w:hint="default" w:ascii="仿宋_GB2312" w:hAnsi="宋体" w:eastAsia="仿宋_GB2312" w:cs="Times New Roman"/>
          <w:color w:val="auto"/>
          <w:sz w:val="32"/>
          <w:szCs w:val="32"/>
          <w:lang w:val="en-US" w:eastAsia="zh-CN"/>
        </w:rPr>
        <w:t>，资金来源</w:t>
      </w:r>
      <w:r>
        <w:rPr>
          <w:rFonts w:hint="default" w:ascii="仿宋_GB2312" w:hAnsi="宋体" w:eastAsia="仿宋_GB2312" w:cs="Times New Roman"/>
          <w:color w:val="auto"/>
          <w:sz w:val="32"/>
          <w:szCs w:val="32"/>
          <w:lang w:eastAsia="zh-CN"/>
        </w:rPr>
        <w:t>渠道合法合规，属于公共财政支持范围，筹资结构合理</w:t>
      </w:r>
      <w:r>
        <w:rPr>
          <w:rFonts w:hint="default" w:ascii="仿宋_GB2312" w:hAnsi="宋体" w:eastAsia="仿宋_GB2312" w:cs="Times New Roman"/>
          <w:color w:val="auto"/>
          <w:sz w:val="32"/>
          <w:szCs w:val="32"/>
          <w:lang w:val="en-US" w:eastAsia="zh-CN"/>
        </w:rPr>
        <w:t>。</w:t>
      </w:r>
    </w:p>
    <w:p>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项目绩效</w:t>
      </w:r>
    </w:p>
    <w:p>
      <w:pPr>
        <w:pStyle w:val="2"/>
        <w:numPr>
          <w:ilvl w:val="0"/>
          <w:numId w:val="0"/>
        </w:numPr>
        <w:ind w:leftChars="200" w:firstLine="640" w:firstLineChars="200"/>
      </w:pPr>
      <w:r>
        <w:rPr>
          <w:rFonts w:hint="eastAsia" w:ascii="仿宋_GB2312" w:hAnsi="仿宋" w:eastAsia="仿宋_GB2312" w:cs="仿宋_GB2312"/>
          <w:b w:val="0"/>
          <w:kern w:val="2"/>
          <w:sz w:val="32"/>
          <w:szCs w:val="32"/>
          <w:lang w:val="en-US" w:eastAsia="zh-CN" w:bidi="ar-SA"/>
        </w:rPr>
        <w:t>通过本项目建设，有效提升繁育基地和中蜂蜜加工厂带动能力，解决了产品上市问题，辐射带动全县中蜂养殖场、养殖户积极性和生产效益。进一步巩固村集体经济持续增收，缩小困难群体与普通农户的收入差距，激发农户的内生动力，让农户学习和掌握一门技术，促进整个产业发展。中蜂养殖加工项目在推进过程中，将发挥政府、乡镇部门、企业、合作社技术优势，同时通过中蜂产业绿色养殖，增加植物多样性，促进生态效益。数量指标：变压器≥1台、水管≥2000米、水坦克≥10m³、蔗糖≥5吨、净化设备、检验检测设备≥1台、水分蒸发器≥1台、标识标牌≥11个、“土特产”包装≥2000套；质量指标：工程验收合格率≥100%；时效指标：项目开工率达到100%、项目建设按期完成率达到100%；社会效益指标：轻劳力、投入少，见效快≥98%、增加不能外出务工中老年人的经济收入≥98%；生态效益指标：为果蔬和粮食作物起到传花授粉作用，提高农作物产量≥98%；可持续影响指标：发挥品牌效应、稳定销售渠道≥98%；服务对象满意度指标：受益村集体经济满意度≥98%、受益群众满意度：≥98%；经济成本指标：采购部分成本≥54万元。</w:t>
      </w: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pStyle w:val="6"/>
        <w:numPr>
          <w:ilvl w:val="0"/>
          <w:numId w:val="0"/>
        </w:numPr>
        <w:ind w:leftChars="200"/>
        <w:rPr>
          <w:rFonts w:hint="eastAsia" w:ascii="仿宋_GB2312" w:hAnsi="仿宋" w:eastAsia="仿宋_GB2312" w:cs="仿宋_GB2312"/>
          <w:kern w:val="2"/>
          <w:sz w:val="32"/>
          <w:szCs w:val="32"/>
          <w:lang w:val="en-US" w:eastAsia="zh-CN" w:bidi="ar-SA"/>
        </w:rPr>
      </w:pPr>
      <w:r>
        <w:rPr>
          <w:rFonts w:hint="eastAsia" w:ascii="仿宋_GB2312" w:hAnsi="仿宋" w:eastAsia="仿宋_GB2312" w:cs="仿宋_GB2312"/>
          <w:kern w:val="2"/>
          <w:sz w:val="32"/>
          <w:szCs w:val="32"/>
          <w:lang w:val="en-US" w:eastAsia="zh-CN" w:bidi="ar-SA"/>
        </w:rPr>
        <w:t>无</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pStyle w:val="6"/>
        <w:numPr>
          <w:ilvl w:val="0"/>
          <w:numId w:val="0"/>
        </w:numPr>
        <w:ind w:leftChars="200"/>
        <w:rPr>
          <w:rFonts w:hint="eastAsia" w:ascii="仿宋_GB2312" w:hAnsi="仿宋" w:eastAsia="仿宋_GB2312" w:cs="仿宋_GB2312"/>
          <w:kern w:val="2"/>
          <w:sz w:val="32"/>
          <w:szCs w:val="32"/>
          <w:lang w:val="en-US" w:eastAsia="zh-CN" w:bidi="ar-SA"/>
        </w:rPr>
      </w:pPr>
      <w:r>
        <w:rPr>
          <w:rFonts w:hint="eastAsia" w:ascii="仿宋_GB2312" w:hAnsi="仿宋" w:eastAsia="仿宋_GB2312" w:cs="仿宋_GB2312"/>
          <w:kern w:val="2"/>
          <w:sz w:val="32"/>
          <w:szCs w:val="32"/>
          <w:lang w:val="en-US" w:eastAsia="zh-CN" w:bidi="ar-SA"/>
        </w:rPr>
        <w:t>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SimSun-ExtB">
    <w:altName w:val="HanaMinA"/>
    <w:panose1 w:val="02010609060101010101"/>
    <w:charset w:val="86"/>
    <w:family w:val="auto"/>
    <w:pitch w:val="default"/>
    <w:sig w:usb0="00000000" w:usb1="00000000" w:usb2="00000000" w:usb3="00000000" w:csb0="00040001" w:csb1="00000000"/>
  </w:font>
  <w:font w:name="HanaMinA">
    <w:panose1 w:val="02000609000000000000"/>
    <w:charset w:val="80"/>
    <w:family w:val="auto"/>
    <w:pitch w:val="default"/>
    <w:sig w:usb0="00000001" w:usb1="0A000000" w:usb2="00000000" w:usb3="00000000" w:csb0="00020001" w:csb1="00000000"/>
  </w:font>
  <w:font w:name="AR PL UKai CN">
    <w:panose1 w:val="02000503000000000000"/>
    <w:charset w:val="86"/>
    <w:family w:val="auto"/>
    <w:pitch w:val="default"/>
    <w:sig w:usb0="A00002FF" w:usb1="3ACFFDFF" w:usb2="00000036" w:usb3="00000000" w:csb0="2016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B7330"/>
    <w:multiLevelType w:val="singleLevel"/>
    <w:tmpl w:val="9A1B7330"/>
    <w:lvl w:ilvl="0" w:tentative="0">
      <w:start w:val="1"/>
      <w:numFmt w:val="chineseCounting"/>
      <w:suff w:val="nothing"/>
      <w:lvlText w:val="%1、"/>
      <w:lvlJc w:val="left"/>
      <w:rPr>
        <w:rFonts w:hint="eastAsia"/>
      </w:rPr>
    </w:lvl>
  </w:abstractNum>
  <w:abstractNum w:abstractNumId="1">
    <w:nsid w:val="19BBB7D5"/>
    <w:multiLevelType w:val="singleLevel"/>
    <w:tmpl w:val="19BBB7D5"/>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2EC"/>
    <w:rsid w:val="004C22EC"/>
    <w:rsid w:val="007B38C6"/>
    <w:rsid w:val="100566B3"/>
    <w:rsid w:val="13A47A2F"/>
    <w:rsid w:val="177D3119"/>
    <w:rsid w:val="1B4A3EC4"/>
    <w:rsid w:val="244E01D1"/>
    <w:rsid w:val="27F673A1"/>
    <w:rsid w:val="28E44587"/>
    <w:rsid w:val="3053281D"/>
    <w:rsid w:val="305712D5"/>
    <w:rsid w:val="33DA011B"/>
    <w:rsid w:val="358B1B11"/>
    <w:rsid w:val="3F650856"/>
    <w:rsid w:val="423607D0"/>
    <w:rsid w:val="450163BC"/>
    <w:rsid w:val="473D0B9C"/>
    <w:rsid w:val="483A1F74"/>
    <w:rsid w:val="4A0B0DD8"/>
    <w:rsid w:val="519F3AAF"/>
    <w:rsid w:val="53CE2103"/>
    <w:rsid w:val="54B905B6"/>
    <w:rsid w:val="55704B34"/>
    <w:rsid w:val="57B166CC"/>
    <w:rsid w:val="5C936CB5"/>
    <w:rsid w:val="5DBC40E7"/>
    <w:rsid w:val="62473D38"/>
    <w:rsid w:val="67434522"/>
    <w:rsid w:val="6B680E7D"/>
    <w:rsid w:val="757475D5"/>
    <w:rsid w:val="773B482D"/>
    <w:rsid w:val="77991202"/>
    <w:rsid w:val="7BBDBF12"/>
    <w:rsid w:val="7D406D3A"/>
    <w:rsid w:val="7E806D7E"/>
    <w:rsid w:val="DFDF7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able of figures"/>
    <w:basedOn w:val="1"/>
    <w:next w:val="1"/>
    <w:qFormat/>
    <w:uiPriority w:val="0"/>
    <w:pPr>
      <w:spacing w:before="100" w:beforeAutospacing="1" w:after="100" w:afterAutospacing="1"/>
      <w:ind w:left="400" w:leftChars="200" w:hanging="200" w:hangingChars="200"/>
    </w:p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50</Words>
  <Characters>290</Characters>
  <Lines>2</Lines>
  <Paragraphs>1</Paragraphs>
  <TotalTime>3</TotalTime>
  <ScaleCrop>false</ScaleCrop>
  <LinksUpToDate>false</LinksUpToDate>
  <CharactersWithSpaces>339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2025-05-14T10:35:47Z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C471C57A27020BD166012468F5CF5EA2</vt:lpwstr>
  </property>
</Properties>
</file>