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23</w:t>
      </w:r>
      <w:r>
        <w:rPr>
          <w:rFonts w:hint="eastAsia" w:ascii="仿宋_GB2312" w:hAnsi="黑体" w:eastAsia="仿宋_GB2312" w:cs="方正小标宋简体"/>
          <w:b/>
          <w:sz w:val="32"/>
          <w:szCs w:val="32"/>
        </w:rPr>
        <w:t>年高新企业奖补项目支出绩效评价报告</w:t>
      </w:r>
    </w:p>
    <w:p>
      <w:pPr>
        <w:spacing w:line="580" w:lineRule="exact"/>
        <w:ind w:firstLine="640" w:firstLineChars="200"/>
        <w:rPr>
          <w:rFonts w:ascii="仿宋_GB2312" w:hAnsi="仿宋_GB2312" w:eastAsia="仿宋_GB2312" w:cs="仿宋_GB2312"/>
          <w:sz w:val="32"/>
          <w:szCs w:val="32"/>
        </w:rPr>
      </w:pP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评价工作开展及项目情况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项目资金管理办法制定情况：</w:t>
      </w:r>
      <w:r>
        <w:rPr>
          <w:rFonts w:hint="eastAsia" w:ascii="仿宋_GB2312" w:hAnsi="仿宋_GB2312" w:eastAsia="仿宋_GB2312" w:cs="仿宋_GB2312"/>
          <w:color w:val="auto"/>
          <w:sz w:val="32"/>
          <w:szCs w:val="32"/>
          <w:lang w:val="zh-CN" w:eastAsia="zh-CN"/>
        </w:rPr>
        <w:t>项目实施过程中，成立了专门的项目财务工作组，由会计负责，各项财务收支账务遵照相关财务管理规定进行，并进行项目单元核算。严格按照《四川省科技计划项目专项资金管理办法》（川财规【2019】10号）进行报账支出，设立科技计划项目专账，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项目实施目的为支持高新技术企业，对新认定的高新技术企业支持列入阿坝州中小企业技术创新资金后补助支持计划。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主要工作任务为高新技术企业是发展高新技术产业的重要基础，是调整产业结构、提高国家竞争力的生力军，在我国经济发展中占有十分重要的战略地位。目前，我国已初步形成了培育高新技术企业发展的良好环境和综合政策体系。项目支持方向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高新技术</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pPr>
      <w:r>
        <w:rPr>
          <w:rFonts w:hint="eastAsia" w:ascii="Times New Roman" w:hAnsi="Times New Roman" w:eastAsia="仿宋_GB2312" w:cs="Times New Roman"/>
          <w:sz w:val="32"/>
          <w:szCs w:val="32"/>
          <w:lang w:val="en-US" w:eastAsia="zh-CN"/>
        </w:rPr>
        <w:t>本项目为四川兢业建筑工程有限公司申报，实施地点位于黑水县，评价覆盖1个项目，涉及资金10万元。</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lang w:val="en-US" w:eastAsia="zh-CN"/>
        </w:rPr>
      </w:pPr>
      <w:r>
        <w:rPr>
          <w:rFonts w:hint="eastAsia" w:ascii="Times New Roman" w:hAnsi="Times New Roman" w:eastAsia="仿宋_GB2312" w:cs="Times New Roman"/>
          <w:color w:val="auto"/>
          <w:sz w:val="32"/>
          <w:szCs w:val="32"/>
          <w:lang w:val="en-US" w:eastAsia="zh-CN"/>
        </w:rPr>
        <w:t>该</w:t>
      </w:r>
      <w:r>
        <w:rPr>
          <w:rFonts w:hint="eastAsia" w:ascii="Times New Roman" w:hAnsi="Times New Roman" w:eastAsia="仿宋_GB2312" w:cs="Times New Roman"/>
          <w:color w:val="auto"/>
          <w:sz w:val="32"/>
          <w:szCs w:val="32"/>
          <w:lang w:val="zh-CN" w:eastAsia="zh-CN"/>
        </w:rPr>
        <w:t>项目</w:t>
      </w:r>
      <w:r>
        <w:rPr>
          <w:rFonts w:hint="eastAsia" w:ascii="Times New Roman" w:hAnsi="Times New Roman" w:eastAsia="仿宋_GB2312" w:cs="Times New Roman"/>
          <w:color w:val="auto"/>
          <w:sz w:val="32"/>
          <w:szCs w:val="32"/>
          <w:lang w:val="en-US" w:eastAsia="zh-CN"/>
        </w:rPr>
        <w:t>已经</w:t>
      </w:r>
      <w:r>
        <w:rPr>
          <w:rFonts w:hint="eastAsia" w:ascii="Times New Roman" w:hAnsi="Times New Roman" w:eastAsia="仿宋_GB2312" w:cs="Times New Roman"/>
          <w:color w:val="auto"/>
          <w:sz w:val="32"/>
          <w:szCs w:val="32"/>
          <w:lang w:val="zh-CN" w:eastAsia="zh-CN"/>
        </w:rPr>
        <w:t>完成预期目标，实施结果与绩效目标相匹配。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一是新认定高新技术企业1个，二是企业产值达3000万元以上。</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项目符合预期目标，得94分。</w:t>
      </w:r>
    </w:p>
    <w:tbl>
      <w:tblPr>
        <w:tblStyle w:val="8"/>
        <w:tblW w:w="91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07"/>
        <w:gridCol w:w="1149"/>
        <w:gridCol w:w="1038"/>
        <w:gridCol w:w="1100"/>
        <w:gridCol w:w="447"/>
        <w:gridCol w:w="705"/>
        <w:gridCol w:w="1003"/>
        <w:gridCol w:w="975"/>
        <w:gridCol w:w="449"/>
        <w:gridCol w:w="409"/>
        <w:gridCol w:w="12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9" w:hRule="atLeast"/>
        </w:trPr>
        <w:tc>
          <w:tcPr>
            <w:tcW w:w="91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2" w:hRule="atLeast"/>
        </w:trPr>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40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高新企业奖补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31" w:hRule="atLeast"/>
        </w:trPr>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黑水县农业农村水利和科技局</w:t>
            </w:r>
          </w:p>
        </w:tc>
        <w:tc>
          <w:tcPr>
            <w:tcW w:w="975" w:type="dxa"/>
            <w:shd w:val="clear" w:color="auto" w:fill="auto"/>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1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四川兢业建筑工程有限公司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2" w:hRule="atLeast"/>
        </w:trPr>
        <w:tc>
          <w:tcPr>
            <w:tcW w:w="6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1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61" w:hRule="atLeast"/>
        </w:trPr>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42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对新认定的高新技术企业进行后补助资金10万元。</w:t>
            </w:r>
          </w:p>
        </w:tc>
        <w:tc>
          <w:tcPr>
            <w:tcW w:w="31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已完成高新技术企业认定，并奖补资金10万元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50" w:hRule="atLeast"/>
        </w:trPr>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40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对新认定的高新技术企业支持列入阿坝州中小企业技术创新资金后补助支持计划，并已完成10万元后补助奖补资金。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31" w:hRule="atLeast"/>
        </w:trPr>
        <w:tc>
          <w:tcPr>
            <w:tcW w:w="6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5" w:hRule="atLeast"/>
        </w:trPr>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2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31" w:hRule="atLeast"/>
        </w:trPr>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2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1" w:hRule="atLeast"/>
        </w:trPr>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7" w:hRule="atLeast"/>
        </w:trPr>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838" w:hRule="atLeast"/>
        </w:trPr>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2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31" w:hRule="atLeast"/>
        </w:trPr>
        <w:tc>
          <w:tcPr>
            <w:tcW w:w="607"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1" w:hRule="atLeast"/>
        </w:trPr>
        <w:tc>
          <w:tcPr>
            <w:tcW w:w="607"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38"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认定高新技术企业</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31" w:hRule="atLeast"/>
        </w:trPr>
        <w:tc>
          <w:tcPr>
            <w:tcW w:w="607"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38"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项目（工程）验收合格率</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2" w:hRule="atLeast"/>
        </w:trPr>
        <w:tc>
          <w:tcPr>
            <w:tcW w:w="607"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38"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开工率</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31" w:hRule="atLeast"/>
        </w:trPr>
        <w:tc>
          <w:tcPr>
            <w:tcW w:w="607"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企业实现产值</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1" w:hRule="atLeast"/>
        </w:trPr>
        <w:tc>
          <w:tcPr>
            <w:tcW w:w="607"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受益群众满意度</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2" w:hRule="atLeast"/>
        </w:trPr>
        <w:tc>
          <w:tcPr>
            <w:tcW w:w="607"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1" w:hRule="atLeast"/>
        </w:trPr>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85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自评得分94分，该项目已经完成预期目标，实施结果与绩效目标相匹配。一是新认定高新技术企业1个，二是企业产值达3000万元以上，项目实施对企业的成长性的促进作用明显。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38" w:hRule="atLeast"/>
        </w:trPr>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85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bl>
    <w:p>
      <w:pPr>
        <w:spacing w:line="580" w:lineRule="exact"/>
        <w:ind w:firstLine="320" w:firstLineChars="1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auto"/>
          <w:sz w:val="32"/>
          <w:szCs w:val="32"/>
          <w:lang w:val="en-US" w:eastAsia="zh-CN"/>
        </w:rPr>
        <w:t>项目立项及资金申报依据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：《阿坝藏族羌族自治州科技型中小企业技术创新资金项目管理办法（修订）》（阿府发〔2016〕30号）。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项目绩效目标设置：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1.新认定高新技术企业1个；2.企业产值达3000万元以上。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2、项目管理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项目资金分</w:t>
      </w:r>
      <w:r>
        <w:rPr>
          <w:rFonts w:hint="eastAsia" w:ascii="仿宋_GB2312" w:hAnsi="仿宋_GB2312" w:eastAsia="仿宋_GB2312" w:cs="仿宋_GB2312"/>
          <w:b w:val="0"/>
          <w:color w:val="000000" w:themeColor="text1"/>
          <w:kern w:val="2"/>
          <w:sz w:val="32"/>
          <w:szCs w:val="32"/>
          <w:lang w:val="zh-CN" w:eastAsia="zh-CN" w:bidi="ar-SA"/>
          <w14:textFill>
            <w14:solidFill>
              <w14:schemeClr w14:val="tx1"/>
            </w14:solidFill>
          </w14:textFill>
        </w:rPr>
        <w:t>配情况：</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分配资金10万元。严格按照签订的项目任务书科目进行支付，县科农牧局科技服务中心经办人、负责人、财务室、县科农牧局分管领导及主要领导把关审核签字拨付，支付依据合规合法，资金支付与预算相符。</w:t>
      </w:r>
    </w:p>
    <w:p>
      <w:pPr>
        <w:numPr>
          <w:ilvl w:val="0"/>
          <w:numId w:val="0"/>
        </w:numPr>
        <w:spacing w:line="580" w:lineRule="exact"/>
        <w:ind w:firstLine="640" w:firstLineChars="200"/>
      </w:pP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项目绩效</w:t>
      </w:r>
    </w:p>
    <w:p>
      <w:pPr>
        <w:pStyle w:val="2"/>
        <w:numPr>
          <w:ilvl w:val="0"/>
          <w:numId w:val="0"/>
        </w:numPr>
        <w:ind w:leftChars="200" w:firstLine="640" w:firstLineChars="200"/>
      </w:pPr>
      <w:r>
        <w:rPr>
          <w:rFonts w:hint="eastAsia" w:ascii="仿宋_GB2312" w:hAnsi="仿宋" w:eastAsia="仿宋_GB2312" w:cs="仿宋_GB2312"/>
          <w:b w:val="0"/>
          <w:kern w:val="2"/>
          <w:sz w:val="32"/>
          <w:szCs w:val="32"/>
          <w:lang w:val="en-US" w:eastAsia="zh-CN" w:bidi="ar-SA"/>
        </w:rPr>
        <w:t>该项目已</w:t>
      </w:r>
      <w:r>
        <w:rPr>
          <w:rFonts w:hint="eastAsia" w:ascii="仿宋_GB2312" w:hAnsi="仿宋" w:eastAsia="仿宋_GB2312" w:cs="仿宋_GB2312"/>
          <w:b w:val="0"/>
          <w:kern w:val="2"/>
          <w:sz w:val="32"/>
          <w:szCs w:val="32"/>
          <w:lang w:val="zh-CN" w:eastAsia="zh-CN" w:bidi="ar-SA"/>
        </w:rPr>
        <w:t>完成预期目标，实施结果与绩效目标相匹配，</w:t>
      </w:r>
      <w:r>
        <w:rPr>
          <w:rFonts w:hint="eastAsia" w:ascii="仿宋_GB2312" w:hAnsi="仿宋" w:eastAsia="仿宋_GB2312" w:cs="仿宋_GB2312"/>
          <w:b w:val="0"/>
          <w:kern w:val="2"/>
          <w:sz w:val="32"/>
          <w:szCs w:val="32"/>
          <w:lang w:val="en-US" w:eastAsia="zh-CN" w:bidi="ar-SA"/>
        </w:rPr>
        <w:t>完成时效提前，在设定的时效（12月15日之前）完成项目建设。</w:t>
      </w:r>
      <w:r>
        <w:rPr>
          <w:rFonts w:hint="eastAsia" w:ascii="仿宋_GB2312" w:hAnsi="仿宋" w:eastAsia="仿宋_GB2312" w:cs="仿宋_GB2312"/>
          <w:b w:val="0"/>
          <w:kern w:val="2"/>
          <w:sz w:val="32"/>
          <w:szCs w:val="32"/>
          <w:lang w:val="en-US" w:eastAsia="zh-CN" w:bidi="ar-SA"/>
        </w:rPr>
        <w:t>数量指标：认定高新技术企业=1个、质量指标：项目（工程）验收合格率=100%、时效指标：开工率达=100%、经济效益指标：企业实现产值≥3000万元、服务对象满意度指标：受益群众满意度≥95%。</w:t>
      </w:r>
      <w:bookmarkStart w:id="0" w:name="_GoBack"/>
      <w:bookmarkEnd w:id="0"/>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pStyle w:val="2"/>
        <w:numPr>
          <w:ilvl w:val="0"/>
          <w:numId w:val="0"/>
        </w:numPr>
        <w:ind w:leftChars="200" w:firstLine="640" w:firstLineChars="200"/>
        <w:rPr>
          <w:rFonts w:hint="eastAsia" w:ascii="仿宋_GB2312" w:hAnsi="仿宋" w:eastAsia="仿宋_GB2312" w:cs="仿宋_GB2312"/>
          <w:b w:val="0"/>
          <w:kern w:val="2"/>
          <w:sz w:val="32"/>
          <w:szCs w:val="32"/>
          <w:lang w:val="en-US" w:eastAsia="zh-CN" w:bidi="ar-SA"/>
        </w:rPr>
      </w:pPr>
      <w:r>
        <w:rPr>
          <w:rFonts w:hint="eastAsia" w:ascii="仿宋_GB2312" w:hAnsi="仿宋" w:eastAsia="仿宋_GB2312" w:cs="仿宋_GB2312"/>
          <w:b w:val="0"/>
          <w:kern w:val="2"/>
          <w:sz w:val="32"/>
          <w:szCs w:val="32"/>
          <w:lang w:val="en-US" w:eastAsia="zh-CN" w:bidi="ar-SA"/>
        </w:rPr>
        <w:t>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pStyle w:val="2"/>
        <w:numPr>
          <w:ilvl w:val="0"/>
          <w:numId w:val="0"/>
        </w:numPr>
        <w:ind w:leftChars="200" w:firstLine="640" w:firstLineChars="200"/>
        <w:rPr>
          <w:rFonts w:hint="eastAsia" w:ascii="仿宋_GB2312" w:hAnsi="仿宋" w:eastAsia="仿宋_GB2312" w:cs="仿宋_GB2312"/>
          <w:b w:val="0"/>
          <w:kern w:val="2"/>
          <w:sz w:val="32"/>
          <w:szCs w:val="32"/>
          <w:lang w:val="en-US" w:eastAsia="zh-CN" w:bidi="ar-SA"/>
        </w:rPr>
      </w:pPr>
      <w:r>
        <w:rPr>
          <w:rFonts w:hint="eastAsia" w:ascii="仿宋_GB2312" w:hAnsi="仿宋" w:eastAsia="仿宋_GB2312" w:cs="仿宋_GB2312"/>
          <w:b w:val="0"/>
          <w:kern w:val="2"/>
          <w:sz w:val="32"/>
          <w:szCs w:val="32"/>
          <w:lang w:val="en-US" w:eastAsia="zh-CN" w:bidi="ar-SA"/>
        </w:rPr>
        <w:t>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00000000000000000"/>
    <w:charset w:val="86"/>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5A6448"/>
    <w:multiLevelType w:val="singleLevel"/>
    <w:tmpl w:val="6B5A644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2EC"/>
    <w:rsid w:val="004C22EC"/>
    <w:rsid w:val="007B38C6"/>
    <w:rsid w:val="019820B4"/>
    <w:rsid w:val="05143D00"/>
    <w:rsid w:val="100566B3"/>
    <w:rsid w:val="10F93A6E"/>
    <w:rsid w:val="14EF1214"/>
    <w:rsid w:val="151C3404"/>
    <w:rsid w:val="1B4A3EC4"/>
    <w:rsid w:val="1DAD7986"/>
    <w:rsid w:val="202A0351"/>
    <w:rsid w:val="244E01D1"/>
    <w:rsid w:val="25571604"/>
    <w:rsid w:val="2E174FDE"/>
    <w:rsid w:val="33DA011B"/>
    <w:rsid w:val="358B1B11"/>
    <w:rsid w:val="36F32599"/>
    <w:rsid w:val="423607D0"/>
    <w:rsid w:val="425C1933"/>
    <w:rsid w:val="43714371"/>
    <w:rsid w:val="45B7055A"/>
    <w:rsid w:val="4A0B0DD8"/>
    <w:rsid w:val="4E0A3BCC"/>
    <w:rsid w:val="55704B34"/>
    <w:rsid w:val="57B166CC"/>
    <w:rsid w:val="58E16DE0"/>
    <w:rsid w:val="5DBC40E7"/>
    <w:rsid w:val="77991202"/>
    <w:rsid w:val="77E43EBD"/>
    <w:rsid w:val="7D132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oc 1"/>
    <w:basedOn w:val="1"/>
    <w:next w:val="1"/>
    <w:qFormat/>
    <w:uiPriority w:val="0"/>
  </w:style>
  <w:style w:type="character" w:customStyle="1" w:styleId="9">
    <w:name w:val="页眉 Char"/>
    <w:basedOn w:val="7"/>
    <w:link w:val="5"/>
    <w:semiHidden/>
    <w:qFormat/>
    <w:uiPriority w:val="99"/>
    <w:rPr>
      <w:sz w:val="18"/>
      <w:szCs w:val="18"/>
    </w:rPr>
  </w:style>
  <w:style w:type="character" w:customStyle="1" w:styleId="10">
    <w:name w:val="页脚 Char"/>
    <w:basedOn w:val="7"/>
    <w:link w:val="4"/>
    <w:semiHidden/>
    <w:qFormat/>
    <w:uiPriority w:val="99"/>
    <w:rPr>
      <w:sz w:val="18"/>
      <w:szCs w:val="18"/>
    </w:rPr>
  </w:style>
  <w:style w:type="character" w:customStyle="1" w:styleId="11">
    <w:name w:val="标题 1 Char"/>
    <w:basedOn w:val="7"/>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50</Words>
  <Characters>290</Characters>
  <Lines>2</Lines>
  <Paragraphs>1</Paragraphs>
  <TotalTime>2</TotalTime>
  <ScaleCrop>false</ScaleCrop>
  <LinksUpToDate>false</LinksUpToDate>
  <CharactersWithSpaces>339</CharactersWithSpaces>
  <Application>WPS Office_11.1.0.7989_F1E327BC-269C-435d-A152-05C5408002CA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2024-09-24T01:56:42Z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2052-11.1.0.7989</vt:lpwstr>
  </property>
</Properties>
</file>