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23</w:t>
      </w:r>
      <w:r>
        <w:rPr>
          <w:rFonts w:hint="eastAsia" w:ascii="仿宋_GB2312" w:hAnsi="黑体" w:eastAsia="仿宋_GB2312" w:cs="方正小标宋简体"/>
          <w:b/>
          <w:sz w:val="32"/>
          <w:szCs w:val="32"/>
        </w:rPr>
        <w:t>年黑水县粮经作物冷链仓储集配中心建设项目</w:t>
      </w:r>
    </w:p>
    <w:p>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支出绩效评价报告</w:t>
      </w:r>
    </w:p>
    <w:p>
      <w:pPr>
        <w:spacing w:line="580" w:lineRule="exact"/>
        <w:ind w:firstLine="640" w:firstLineChars="200"/>
        <w:rPr>
          <w:rFonts w:ascii="仿宋_GB2312" w:hAnsi="仿宋_GB2312" w:eastAsia="仿宋_GB2312" w:cs="仿宋_GB2312"/>
          <w:sz w:val="32"/>
          <w:szCs w:val="32"/>
        </w:rPr>
      </w:pPr>
    </w:p>
    <w:p>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评价工作开展及项目情况</w:t>
      </w:r>
    </w:p>
    <w:p>
      <w:pPr>
        <w:numPr>
          <w:ilvl w:val="0"/>
          <w:numId w:val="0"/>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黑水县色尔古镇建设了大量的水果基地，水果产量较大， 冷链物流保持稳中有进的发展态势，在抗疫保供、保通保畅、消费升 级、食品安全、民生保障等方面发挥了重要作用。但是，总体来看，黑水县冷链物流尚存在设施设备</w:t>
      </w:r>
      <w:bookmarkStart w:id="1" w:name="_GoBack"/>
      <w:bookmarkEnd w:id="1"/>
      <w:r>
        <w:rPr>
          <w:rFonts w:hint="eastAsia" w:ascii="仿宋_GB2312" w:hAnsi="仿宋" w:eastAsia="仿宋_GB2312" w:cs="仿宋_GB2312"/>
          <w:sz w:val="32"/>
          <w:szCs w:val="32"/>
        </w:rPr>
        <w:t>总量不足、区域分布不平衡，冷链物流专业化、规模化、现代化程度还不高等问题。尤其是冷链产销衔接不畅，农产品冷链流通率、损腐率、流通成本等关键指标与发达城市相比存在较大差距，产地冷藏保鲜设施、产地交易市场、产地初加工中心建设明显不足，农产品流通体系不够健全。“最初一公里”的解决途径之一就是推进产地集配中心建设。</w:t>
      </w:r>
    </w:p>
    <w:p>
      <w:pPr>
        <w:numPr>
          <w:ilvl w:val="0"/>
          <w:numId w:val="0"/>
        </w:numPr>
        <w:spacing w:line="580" w:lineRule="exact"/>
        <w:ind w:firstLine="640" w:firstLineChars="200"/>
        <w:rPr>
          <w:rFonts w:hint="eastAsia" w:ascii="仿宋_GB2312" w:hAnsi="仿宋" w:eastAsia="仿宋_GB2312" w:cs="仿宋_GB2312"/>
          <w:sz w:val="32"/>
          <w:szCs w:val="32"/>
          <w:lang w:val="zh-CN" w:eastAsia="zh-CN"/>
        </w:rPr>
      </w:pPr>
      <w:r>
        <w:rPr>
          <w:rFonts w:hint="eastAsia" w:ascii="仿宋_GB2312" w:hAnsi="仿宋" w:eastAsia="仿宋_GB2312" w:cs="仿宋_GB2312"/>
          <w:sz w:val="32"/>
          <w:szCs w:val="32"/>
          <w:lang w:val="en-US" w:eastAsia="zh-CN"/>
        </w:rPr>
        <w:t>在色尔古镇</w:t>
      </w:r>
      <w:r>
        <w:rPr>
          <w:rFonts w:hint="eastAsia" w:ascii="仿宋_GB2312" w:hAnsi="仿宋" w:eastAsia="仿宋_GB2312" w:cs="仿宋_GB2312"/>
          <w:sz w:val="32"/>
          <w:szCs w:val="32"/>
          <w:lang w:val="zh-CN" w:eastAsia="zh-CN"/>
        </w:rPr>
        <w:t>新建黑水县粮经作物冷链仓储集配中心 1 栋、建筑面积 3138.73 ㎡，其中地上2708.73 平方米，地下 430 平方米。主要建设气调库、选果生产线、辅助配套功能用房等；配套室外综合管网、院坝硬化等附属工程；购置制冷设备、保温库体、智能选果线等设备设施。</w:t>
      </w: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（一）评价结论</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kern w:val="2"/>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项目绩效指标设置合理，综合自评得分为95分，鉴于项目为在建项目后期如出现绩效指标偏离将及时采取措施予以纠正</w:t>
      </w:r>
      <w:r>
        <w:rPr>
          <w:rFonts w:hint="eastAsia" w:ascii="仿宋_GB2312" w:hAnsi="仿宋_GB2312" w:eastAsia="仿宋_GB2312" w:cs="仿宋_GB2312"/>
          <w:b w:val="0"/>
          <w:bCs w:val="0"/>
          <w:sz w:val="32"/>
          <w:szCs w:val="32"/>
          <w:highlight w:val="none"/>
          <w:lang w:val="zh-CN"/>
        </w:rPr>
        <w:t>。</w:t>
      </w:r>
    </w:p>
    <w:tbl>
      <w:tblPr>
        <w:tblStyle w:val="6"/>
        <w:tblW w:w="9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21"/>
        <w:gridCol w:w="550"/>
        <w:gridCol w:w="1130"/>
        <w:gridCol w:w="1652"/>
        <w:gridCol w:w="389"/>
        <w:gridCol w:w="883"/>
        <w:gridCol w:w="1107"/>
        <w:gridCol w:w="714"/>
        <w:gridCol w:w="385"/>
        <w:gridCol w:w="339"/>
        <w:gridCol w:w="18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34" w:hRule="atLeast"/>
        </w:trPr>
        <w:tc>
          <w:tcPr>
            <w:tcW w:w="9500"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b/>
                <w:i w:val="0"/>
                <w:color w:val="000000"/>
                <w:sz w:val="30"/>
                <w:szCs w:val="30"/>
                <w:u w:val="none"/>
              </w:rPr>
            </w:pPr>
            <w:r>
              <w:rPr>
                <w:rFonts w:hint="eastAsia" w:ascii="黑体" w:hAnsi="宋体" w:eastAsia="黑体" w:cs="黑体"/>
                <w:b/>
                <w:i w:val="0"/>
                <w:color w:val="000000"/>
                <w:kern w:val="0"/>
                <w:sz w:val="30"/>
                <w:szCs w:val="30"/>
                <w:u w:val="none"/>
                <w:lang w:val="en-US" w:eastAsia="zh-CN" w:bidi="ar"/>
              </w:rPr>
              <w:t>部门预算项目支出绩效自评表（2023年度）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50" w:hRule="atLeast"/>
        </w:trPr>
        <w:tc>
          <w:tcPr>
            <w:tcW w:w="1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项目名称</w:t>
            </w:r>
          </w:p>
        </w:tc>
        <w:tc>
          <w:tcPr>
            <w:tcW w:w="842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黑水县粮经作物冷链仓储集配中心建设项目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60" w:hRule="atLeast"/>
        </w:trPr>
        <w:tc>
          <w:tcPr>
            <w:tcW w:w="10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主管部门</w:t>
            </w:r>
          </w:p>
        </w:tc>
        <w:tc>
          <w:tcPr>
            <w:tcW w:w="51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黑水县农业农村水利和科技局</w:t>
            </w:r>
          </w:p>
        </w:tc>
        <w:tc>
          <w:tcPr>
            <w:tcW w:w="714" w:type="dxa"/>
            <w:shd w:val="clear" w:color="auto" w:fill="auto"/>
            <w:vAlign w:val="center"/>
          </w:tcPr>
          <w:p>
            <w:pPr>
              <w:keepNext w:val="0"/>
              <w:keepLines w:val="0"/>
              <w:widowControl/>
              <w:suppressLineNumbers w:val="0"/>
              <w:jc w:val="center"/>
              <w:textAlignment w:val="center"/>
              <w:rPr>
                <w:rFonts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实施单位 （盖章）</w:t>
            </w:r>
          </w:p>
        </w:tc>
        <w:tc>
          <w:tcPr>
            <w:tcW w:w="255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黑水县农业农村水利和科技局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0" w:hRule="atLeast"/>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项目基本情况</w:t>
            </w:r>
          </w:p>
        </w:tc>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1.项目年度目标完成情况</w:t>
            </w:r>
          </w:p>
        </w:tc>
        <w:tc>
          <w:tcPr>
            <w:tcW w:w="51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项目年度目标</w:t>
            </w:r>
          </w:p>
        </w:tc>
        <w:tc>
          <w:tcPr>
            <w:tcW w:w="32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年度目标完成情况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280"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1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在色尔古镇新建黑水县粮经作物冷链仓储集配中心 1 栋、建筑面积 3138.73 ㎡，其中地上2708.73 平方米，地下 430 平方米。主要建设气调库、选果生产线、辅助配套功能用房等；配套室外综合管网、院坝硬化等附属工程；购置制冷设备、保温库体、智能选果线等设备设施。</w:t>
            </w:r>
          </w:p>
        </w:tc>
        <w:tc>
          <w:tcPr>
            <w:tcW w:w="326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项目正在建设，完成项目总体投资60%.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80"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2.项目实施内容及过程概述</w:t>
            </w:r>
          </w:p>
        </w:tc>
        <w:tc>
          <w:tcPr>
            <w:tcW w:w="8429"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在色尔古镇新建黑水县粮经作物冷链仓储集配中心 1 栋、建筑面积 3138.73 ㎡，其中地上2708.73 平方米，地下 430 平方米。主要建设气调库、选果生产线、辅助配套功能用房等；配套室外综合管网、院坝硬化等附属工程；购置制冷设备、保温库体、智能选果线等设备设施。项目正在建设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0" w:hRule="atLeast"/>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预算执行情况（10分）</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年度预算数（万元）</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年初预算</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调整后预算数</w:t>
            </w:r>
          </w:p>
        </w:tc>
        <w:tc>
          <w:tcPr>
            <w:tcW w:w="23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预算执行数</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预算执行率</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原因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3"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总额</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1150</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983.31</w:t>
            </w:r>
          </w:p>
        </w:tc>
        <w:tc>
          <w:tcPr>
            <w:tcW w:w="23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lang w:val="en-US"/>
              </w:rPr>
            </w:pPr>
            <w:r>
              <w:rPr>
                <w:rFonts w:hint="eastAsia" w:ascii="宋体" w:hAnsi="宋体" w:cs="宋体"/>
                <w:i w:val="0"/>
                <w:color w:val="000000"/>
                <w:kern w:val="0"/>
                <w:sz w:val="18"/>
                <w:szCs w:val="18"/>
                <w:u w:val="none"/>
                <w:lang w:val="en-US" w:eastAsia="zh-CN" w:bidi="ar"/>
              </w:rPr>
              <w:t>983.31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hint="eastAsia" w:ascii="宋体" w:hAnsi="宋体" w:cs="宋体"/>
                <w:i w:val="0"/>
                <w:color w:val="000000"/>
                <w:kern w:val="0"/>
                <w:sz w:val="18"/>
                <w:szCs w:val="18"/>
                <w:u w:val="none"/>
                <w:lang w:val="en-US" w:eastAsia="zh-CN" w:bidi="ar"/>
              </w:rPr>
              <w:t>100</w:t>
            </w:r>
            <w:r>
              <w:rPr>
                <w:rFonts w:ascii="宋体" w:hAnsi="宋体" w:eastAsia="宋体" w:cs="宋体"/>
                <w:i w:val="0"/>
                <w:color w:val="000000"/>
                <w:kern w:val="0"/>
                <w:sz w:val="18"/>
                <w:szCs w:val="18"/>
                <w:u w:val="none"/>
                <w:lang w:val="en-US" w:eastAsia="zh-CN" w:bidi="ar"/>
              </w:rPr>
              <w:t>%</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8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i/>
                <w:color w:val="000000"/>
                <w:sz w:val="18"/>
                <w:szCs w:val="18"/>
                <w:u w:val="none"/>
              </w:rPr>
            </w:pPr>
            <w:r>
              <w:rPr>
                <w:rFonts w:hint="eastAsia" w:ascii="黑体" w:hAnsi="黑体" w:eastAsia="黑体" w:cs="黑体"/>
                <w:i/>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70"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其中：财政资金</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983.31</w:t>
            </w:r>
          </w:p>
        </w:tc>
        <w:tc>
          <w:tcPr>
            <w:tcW w:w="23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lang w:val="en-US" w:eastAsia="zh-CN"/>
              </w:rPr>
            </w:pPr>
            <w:r>
              <w:rPr>
                <w:rFonts w:hint="eastAsia" w:ascii="宋体" w:hAnsi="宋体" w:cs="宋体"/>
                <w:i w:val="0"/>
                <w:color w:val="000000"/>
                <w:sz w:val="18"/>
                <w:szCs w:val="18"/>
                <w:u w:val="none"/>
                <w:lang w:val="en-US" w:eastAsia="zh-CN"/>
              </w:rPr>
              <w:t>983.31</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0"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财政专户管理资金</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23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单位资金</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23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0.00%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其他资金</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23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微软雅黑" w:hAnsi="微软雅黑" w:eastAsia="微软雅黑" w:cs="微软雅黑"/>
                <w:i/>
                <w:color w:val="000000"/>
                <w:sz w:val="16"/>
                <w:szCs w:val="16"/>
                <w:u w:val="none"/>
              </w:rPr>
            </w:pP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18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黑体" w:eastAsia="黑体" w:cs="黑体"/>
                <w:i/>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52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绩效指标（90分）</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一级指标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二级指标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三级指标</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指标性质</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指标值</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度量单位</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完成值</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权重</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得分</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未完成原因分析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70" w:hRule="atLeast"/>
        </w:trPr>
        <w:tc>
          <w:tcPr>
            <w:tcW w:w="52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产出指标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新建粮经作物冷链仓储集配中心以及附属配套设施</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2597</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平方米</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项目为跨年项目，正在建设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0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根据</w:t>
            </w:r>
            <w:r>
              <w:rPr>
                <w:rFonts w:hint="eastAsia" w:ascii="宋体" w:hAnsi="宋体" w:cs="宋体"/>
                <w:i w:val="0"/>
                <w:color w:val="000000"/>
                <w:kern w:val="0"/>
                <w:sz w:val="18"/>
                <w:szCs w:val="18"/>
                <w:u w:val="none"/>
                <w:lang w:val="en-US" w:eastAsia="zh-CN" w:bidi="ar"/>
              </w:rPr>
              <w:t>《</w:t>
            </w:r>
            <w:r>
              <w:rPr>
                <w:rFonts w:ascii="宋体" w:hAnsi="宋体" w:eastAsia="宋体" w:cs="宋体"/>
                <w:i w:val="0"/>
                <w:color w:val="000000"/>
                <w:kern w:val="0"/>
                <w:sz w:val="18"/>
                <w:szCs w:val="18"/>
                <w:u w:val="none"/>
                <w:lang w:val="en-US" w:eastAsia="zh-CN" w:bidi="ar"/>
              </w:rPr>
              <w:t>民用建筑电气设计标准》（GB51348-2019）、《冷库设计标准》（GB50072-2021）规定执行</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项目开工率</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项目建设按期完成率</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85"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效益指标</w:t>
            </w:r>
          </w:p>
        </w:tc>
        <w:tc>
          <w:tcPr>
            <w:tcW w:w="11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经济效益指标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2597.94㎡冷链仓储集配中心用于出租</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27</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带动农户劳务务工</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13.5</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项目为跨年项目，正在建设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可持续性影响指标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使用年限</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年</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20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满意度指标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服务对象</w:t>
            </w:r>
            <w:r>
              <w:rPr>
                <w:rFonts w:ascii="宋体" w:hAnsi="宋体" w:eastAsia="宋体" w:cs="宋体"/>
                <w:i w:val="0"/>
                <w:color w:val="000000"/>
                <w:kern w:val="0"/>
                <w:sz w:val="18"/>
                <w:szCs w:val="18"/>
                <w:u w:val="none"/>
                <w:lang w:val="en-US" w:eastAsia="zh-CN" w:bidi="ar"/>
              </w:rPr>
              <w:br w:type="textWrapping"/>
            </w:r>
            <w:r>
              <w:rPr>
                <w:rFonts w:ascii="宋体" w:hAnsi="宋体" w:eastAsia="宋体" w:cs="宋体"/>
                <w:i w:val="0"/>
                <w:color w:val="000000"/>
                <w:kern w:val="0"/>
                <w:sz w:val="18"/>
                <w:szCs w:val="18"/>
                <w:u w:val="none"/>
                <w:lang w:val="en-US" w:eastAsia="zh-CN" w:bidi="ar"/>
              </w:rPr>
              <w:t>满意度指标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受益群众满意度</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90</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5</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成本指标</w:t>
            </w: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经济成本指标</w:t>
            </w: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工程建设费</w:t>
            </w: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w:t>
            </w: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914.16</w:t>
            </w: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万元</w:t>
            </w: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914.16</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w:t>
            </w: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65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8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88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10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7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50" w:hRule="atLeast"/>
        </w:trPr>
        <w:tc>
          <w:tcPr>
            <w:tcW w:w="6946"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合计</w:t>
            </w:r>
          </w:p>
        </w:tc>
        <w:tc>
          <w:tcPr>
            <w:tcW w:w="3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100</w:t>
            </w:r>
          </w:p>
        </w:tc>
        <w:tc>
          <w:tcPr>
            <w:tcW w:w="33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c>
          <w:tcPr>
            <w:tcW w:w="183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评价结论</w:t>
            </w:r>
          </w:p>
        </w:tc>
        <w:tc>
          <w:tcPr>
            <w:tcW w:w="89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项目绩效指标设置合理，综合自评得分为95分，鉴于项目为在建项目后期如出现绩效指标偏离将及时采取措施予以纠正。</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60"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存在问题</w:t>
            </w:r>
          </w:p>
        </w:tc>
        <w:tc>
          <w:tcPr>
            <w:tcW w:w="89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r>
              <w:rPr>
                <w:rFonts w:hint="eastAsia" w:ascii="微软雅黑" w:hAnsi="微软雅黑" w:eastAsia="微软雅黑" w:cs="微软雅黑"/>
                <w:i/>
                <w:color w:val="000000"/>
                <w:kern w:val="0"/>
                <w:sz w:val="16"/>
                <w:szCs w:val="16"/>
                <w:u w:val="none"/>
                <w:lang w:val="en-US" w:eastAsia="zh-CN" w:bidi="ar"/>
              </w:rPr>
              <w:t>项目的预算控制是项目实施的先决条件，本项目在项目预算实施过程中对预算把握稍显欠缺，一二类费用的比例分配存在些许</w:t>
            </w:r>
          </w:p>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瑕疵。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76" w:hRule="atLeast"/>
        </w:trPr>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改进措施</w:t>
            </w:r>
          </w:p>
        </w:tc>
        <w:tc>
          <w:tcPr>
            <w:tcW w:w="897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color w:val="000000"/>
                <w:kern w:val="0"/>
                <w:sz w:val="16"/>
                <w:szCs w:val="16"/>
                <w:u w:val="none"/>
                <w:lang w:val="en-US" w:eastAsia="zh-CN" w:bidi="ar"/>
              </w:rPr>
            </w:pPr>
            <w:r>
              <w:rPr>
                <w:rFonts w:hint="eastAsia" w:ascii="微软雅黑" w:hAnsi="微软雅黑" w:eastAsia="微软雅黑" w:cs="微软雅黑"/>
                <w:i/>
                <w:color w:val="000000"/>
                <w:kern w:val="0"/>
                <w:sz w:val="16"/>
                <w:szCs w:val="16"/>
                <w:u w:val="none"/>
                <w:lang w:val="en-US" w:eastAsia="zh-CN" w:bidi="ar"/>
              </w:rPr>
              <w:t>增加专项资金预算支持方向，黑水县为全国乡村振兴重点帮扶县，县级财政收入薄弱，衔接资金有且仅能支持项目一类费用，</w:t>
            </w:r>
          </w:p>
          <w:p>
            <w:pPr>
              <w:keepNext w:val="0"/>
              <w:keepLines w:val="0"/>
              <w:widowControl/>
              <w:suppressLineNumbers w:val="0"/>
              <w:jc w:val="left"/>
              <w:textAlignment w:val="center"/>
              <w:rPr>
                <w:rFonts w:hint="eastAsia" w:ascii="微软雅黑" w:hAnsi="微软雅黑" w:eastAsia="微软雅黑" w:cs="微软雅黑"/>
                <w:i/>
                <w:color w:val="000000"/>
                <w:sz w:val="16"/>
                <w:szCs w:val="16"/>
                <w:u w:val="none"/>
              </w:rPr>
            </w:pPr>
            <w:r>
              <w:rPr>
                <w:rFonts w:hint="eastAsia" w:ascii="微软雅黑" w:hAnsi="微软雅黑" w:eastAsia="微软雅黑" w:cs="微软雅黑"/>
                <w:i/>
                <w:color w:val="000000"/>
                <w:kern w:val="0"/>
                <w:sz w:val="16"/>
                <w:szCs w:val="16"/>
                <w:u w:val="none"/>
                <w:lang w:val="en-US" w:eastAsia="zh-CN" w:bidi="ar"/>
              </w:rPr>
              <w:t>基建项目程序复杂，涉及项目前期费用较多，为保障基建项目的有序实施，缓解县级财政压力，建议衔接资金增加管理费计提比例。</w:t>
            </w:r>
          </w:p>
        </w:tc>
      </w:tr>
    </w:tbl>
    <w:p>
      <w:pPr>
        <w:spacing w:line="580" w:lineRule="exact"/>
        <w:ind w:firstLine="640" w:firstLineChars="200"/>
        <w:rPr>
          <w:rFonts w:hint="eastAsia" w:ascii="仿宋_GB2312" w:hAnsi="仿宋" w:eastAsia="仿宋_GB2312" w:cs="仿宋_GB2312"/>
          <w:sz w:val="32"/>
          <w:szCs w:val="32"/>
        </w:rPr>
      </w:pPr>
    </w:p>
    <w:p>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1、项目决策</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在色尔古镇新建黑水县粮经作物冷链仓储集配中心 1 栋、建筑面积 3138.73 ㎡，其中地上2708.73 平方米，地下 430 平方米。主要建设气调库、选果生产线、辅助配套功能用房等；配套室外综合管网、院坝硬化等附属工程；购置制冷设备、保温库体、智能选果线等设备设施。</w:t>
      </w:r>
    </w:p>
    <w:p>
      <w:pPr>
        <w:numPr>
          <w:ilvl w:val="0"/>
          <w:numId w:val="2"/>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项目管理</w:t>
      </w:r>
    </w:p>
    <w:p>
      <w:pPr>
        <w:numPr>
          <w:ilvl w:val="0"/>
          <w:numId w:val="0"/>
        </w:num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项目资金分配情况：分配资金795.135445万元。严格按照签订的合同进行支付，支付依据合规合法，资金支付与预算相符。</w:t>
      </w:r>
    </w:p>
    <w:p>
      <w:pPr>
        <w:numPr>
          <w:ilvl w:val="0"/>
          <w:numId w:val="2"/>
        </w:numPr>
        <w:spacing w:line="580" w:lineRule="exact"/>
        <w:ind w:left="0" w:leftChars="0"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项目绩效</w:t>
      </w:r>
    </w:p>
    <w:p>
      <w:pPr>
        <w:spacing w:line="580" w:lineRule="exact"/>
        <w:ind w:firstLine="640" w:firstLineChars="200"/>
        <w:rPr>
          <w:rFonts w:hint="eastAsia" w:ascii="仿宋_GB2312" w:hAnsi="仿宋" w:eastAsia="仿宋_GB2312" w:cs="仿宋_GB2312"/>
          <w:sz w:val="32"/>
          <w:szCs w:val="32"/>
          <w:lang w:val="en-US"/>
        </w:rPr>
      </w:pPr>
      <w:r>
        <w:rPr>
          <w:rFonts w:hint="eastAsia" w:ascii="仿宋_GB2312" w:hAnsi="仿宋" w:eastAsia="仿宋_GB2312" w:cs="仿宋_GB2312"/>
          <w:sz w:val="32"/>
          <w:szCs w:val="32"/>
          <w:lang w:val="en-US" w:eastAsia="zh-CN"/>
        </w:rPr>
        <w:t>目前项目为跨年项目，为在建项目，实施过程中未发现绩效偏离</w:t>
      </w:r>
      <w:r>
        <w:rPr>
          <w:rFonts w:hint="eastAsia" w:ascii="仿宋_GB2312" w:hAnsi="仿宋" w:eastAsia="仿宋_GB2312" w:cs="仿宋_GB2312"/>
          <w:sz w:val="32"/>
          <w:szCs w:val="32"/>
          <w:lang w:eastAsia="zh-CN"/>
        </w:rPr>
        <w:t>。数量指标：新建粮经作物冷链仓储集配中心以及附属配套设施≥2597平方米、质量指标：根据《民用建筑电气设计标准》（GB51348-2019）、《冷库设计标准》（GB50072-2021）规定执行率</w:t>
      </w:r>
      <w:r>
        <w:rPr>
          <w:rFonts w:hint="eastAsia" w:ascii="仿宋_GB2312" w:hAnsi="仿宋" w:eastAsia="仿宋_GB2312" w:cs="仿宋_GB2312"/>
          <w:sz w:val="32"/>
          <w:szCs w:val="32"/>
          <w:lang w:val="en-US" w:eastAsia="zh-CN"/>
        </w:rPr>
        <w:t>100%、时效指标：项目开工率达到100%、经济效益指标：2597.94㎡冷链仓储集配中心用于出租≥27万元、可持续性影响指标：使用年限≥20年、服务对象满意度指标：受益群众满意度≥90%、经济成本指标：工程建设费≤914.16万元。</w:t>
      </w:r>
    </w:p>
    <w:p>
      <w:pPr>
        <w:numPr>
          <w:ilvl w:val="0"/>
          <w:numId w:val="0"/>
        </w:numPr>
        <w:spacing w:line="580" w:lineRule="exact"/>
        <w:ind w:leftChars="200" w:firstLine="320" w:firstLineChars="100"/>
        <w:rPr>
          <w:rFonts w:hint="eastAsia" w:ascii="仿宋_GB2312" w:hAnsi="仿宋" w:eastAsia="仿宋_GB2312" w:cs="仿宋_GB2312"/>
          <w:sz w:val="32"/>
          <w:szCs w:val="32"/>
        </w:rPr>
      </w:pPr>
      <w:r>
        <w:rPr>
          <w:rFonts w:hint="eastAsia" w:ascii="仿宋_GB2312" w:hAnsi="仿宋" w:eastAsia="仿宋_GB2312" w:cs="仿宋_GB2312"/>
          <w:sz w:val="32"/>
          <w:szCs w:val="32"/>
          <w:lang w:eastAsia="zh-CN"/>
        </w:rPr>
        <w:t>三、</w:t>
      </w:r>
      <w:r>
        <w:rPr>
          <w:rFonts w:hint="eastAsia" w:ascii="仿宋_GB2312" w:hAnsi="仿宋" w:eastAsia="仿宋_GB2312" w:cs="仿宋_GB2312"/>
          <w:sz w:val="32"/>
          <w:szCs w:val="32"/>
        </w:rPr>
        <w:t>存在主要问题</w:t>
      </w:r>
    </w:p>
    <w:p>
      <w:pPr>
        <w:pStyle w:val="3"/>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 w:eastAsia="仿宋_GB2312" w:cs="仿宋_GB2312"/>
          <w:sz w:val="32"/>
          <w:szCs w:val="32"/>
        </w:rPr>
      </w:pPr>
      <w:r>
        <w:rPr>
          <w:rFonts w:hint="eastAsia" w:ascii="仿宋_GB2312" w:hAnsi="仿宋_GB2312" w:eastAsia="仿宋_GB2312" w:cs="仿宋_GB2312"/>
          <w:b w:val="0"/>
          <w:bCs w:val="0"/>
          <w:kern w:val="0"/>
          <w:position w:val="0"/>
          <w:sz w:val="32"/>
          <w:szCs w:val="32"/>
          <w:highlight w:val="none"/>
          <w:lang w:val="en-US" w:eastAsia="zh-CN" w:bidi="ar-SA"/>
        </w:rPr>
        <w:t>项目的预算控制是项目实施的先决条件，本项目在项目预算实施过程中对预算把握稍显欠缺，一二类费用的比例分配存在些许瑕疵。</w:t>
      </w:r>
    </w:p>
    <w:p>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pPr>
        <w:tabs>
          <w:tab w:val="left" w:pos="1911"/>
        </w:tabs>
        <w:ind w:firstLine="640" w:firstLineChars="200"/>
        <w:jc w:val="left"/>
        <w:rPr>
          <w:rFonts w:hint="default" w:ascii="仿宋_GB2312" w:hAnsi="仿宋_GB2312" w:eastAsia="仿宋_GB2312" w:cs="仿宋_GB2312"/>
          <w:b w:val="0"/>
          <w:bCs w:val="0"/>
          <w:kern w:val="0"/>
          <w:position w:val="0"/>
          <w:sz w:val="32"/>
          <w:szCs w:val="32"/>
          <w:highlight w:val="none"/>
          <w:lang w:val="en-US" w:eastAsia="zh-CN" w:bidi="ar-SA"/>
        </w:rPr>
      </w:pPr>
      <w:bookmarkStart w:id="0" w:name="_Hlk110546638"/>
      <w:r>
        <w:rPr>
          <w:rFonts w:hint="eastAsia" w:ascii="仿宋_GB2312" w:hAnsi="仿宋_GB2312" w:eastAsia="仿宋_GB2312" w:cs="仿宋_GB2312"/>
          <w:b w:val="0"/>
          <w:bCs w:val="0"/>
          <w:kern w:val="0"/>
          <w:position w:val="0"/>
          <w:sz w:val="32"/>
          <w:szCs w:val="32"/>
          <w:highlight w:val="none"/>
          <w:lang w:val="en-US" w:eastAsia="zh-CN" w:bidi="ar-SA"/>
        </w:rPr>
        <w:t>增加专项资金预算支持方向，黑水县为全国乡村振兴重点帮扶县，县级财政收入薄弱，衔接资金有且仅能支持项目一类费用，基建项目程序复杂，涉及项目前期费用较多，为保障基建项目的有序实施，缓解县级财政压力，建议衔接资金增加管理费计提比例（现为到达资金额度1%）。</w:t>
      </w:r>
    </w:p>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082A7"/>
    <w:multiLevelType w:val="singleLevel"/>
    <w:tmpl w:val="00A082A7"/>
    <w:lvl w:ilvl="0" w:tentative="0">
      <w:start w:val="2"/>
      <w:numFmt w:val="decimal"/>
      <w:suff w:val="nothing"/>
      <w:lvlText w:val="%1、"/>
      <w:lvlJc w:val="left"/>
    </w:lvl>
  </w:abstractNum>
  <w:abstractNum w:abstractNumId="1">
    <w:nsid w:val="75B19BD3"/>
    <w:multiLevelType w:val="singleLevel"/>
    <w:tmpl w:val="75B19BD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2EC"/>
    <w:rsid w:val="004C22EC"/>
    <w:rsid w:val="007B38C6"/>
    <w:rsid w:val="01760AEE"/>
    <w:rsid w:val="0A3834EF"/>
    <w:rsid w:val="0DBD643C"/>
    <w:rsid w:val="100566B3"/>
    <w:rsid w:val="128821D8"/>
    <w:rsid w:val="16FC61BA"/>
    <w:rsid w:val="1B4A3EC4"/>
    <w:rsid w:val="1F8E69F1"/>
    <w:rsid w:val="244E01D1"/>
    <w:rsid w:val="24796C53"/>
    <w:rsid w:val="33DA011B"/>
    <w:rsid w:val="358B1B11"/>
    <w:rsid w:val="3F383E61"/>
    <w:rsid w:val="423607D0"/>
    <w:rsid w:val="428124EB"/>
    <w:rsid w:val="48C45DBB"/>
    <w:rsid w:val="4A0B0DD8"/>
    <w:rsid w:val="55704B34"/>
    <w:rsid w:val="57B166CC"/>
    <w:rsid w:val="5DBC40E7"/>
    <w:rsid w:val="60E62871"/>
    <w:rsid w:val="6EB91083"/>
    <w:rsid w:val="6F1E1FA2"/>
    <w:rsid w:val="72752AB4"/>
    <w:rsid w:val="75226B21"/>
    <w:rsid w:val="77991202"/>
    <w:rsid w:val="7A694318"/>
    <w:rsid w:val="E7FB82D3"/>
    <w:rsid w:val="EF7A40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0"/>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4">
    <w:name w:val="footer"/>
    <w:basedOn w:val="1"/>
    <w:link w:val="9"/>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8"/>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8">
    <w:name w:val="页眉 Char"/>
    <w:basedOn w:val="7"/>
    <w:link w:val="5"/>
    <w:semiHidden/>
    <w:qFormat/>
    <w:uiPriority w:val="99"/>
    <w:rPr>
      <w:sz w:val="18"/>
      <w:szCs w:val="18"/>
    </w:rPr>
  </w:style>
  <w:style w:type="character" w:customStyle="1" w:styleId="9">
    <w:name w:val="页脚 Char"/>
    <w:basedOn w:val="7"/>
    <w:link w:val="4"/>
    <w:semiHidden/>
    <w:qFormat/>
    <w:uiPriority w:val="99"/>
    <w:rPr>
      <w:sz w:val="18"/>
      <w:szCs w:val="18"/>
    </w:rPr>
  </w:style>
  <w:style w:type="character" w:customStyle="1" w:styleId="10">
    <w:name w:val="标题 1 Char"/>
    <w:basedOn w:val="7"/>
    <w:link w:val="2"/>
    <w:qFormat/>
    <w:uiPriority w:val="9"/>
    <w:rPr>
      <w:rFonts w:ascii="Times New Roman" w:hAnsi="Times New Roman" w:eastAsia="宋体" w:cs="Times New Roman"/>
      <w:b/>
      <w:bCs/>
      <w:kern w:val="44"/>
      <w:sz w:val="44"/>
      <w:szCs w:val="44"/>
    </w:rPr>
  </w:style>
  <w:style w:type="paragraph" w:customStyle="1" w:styleId="1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Pages>
  <Words>50</Words>
  <Characters>290</Characters>
  <Lines>2</Lines>
  <Paragraphs>1</Paragraphs>
  <TotalTime>7</TotalTime>
  <ScaleCrop>false</ScaleCrop>
  <LinksUpToDate>false</LinksUpToDate>
  <CharactersWithSpaces>339</CharactersWithSpaces>
  <Application>WPS Office_11.8.2.1120_F1E327BC-269C-435d-A152-05C5408002CA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2025-05-14T11:23:44Z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395DDB4B4F41879CC00C2468890CFE8F</vt:lpwstr>
  </property>
</Properties>
</file>