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outlineLvl w:val="0"/>
        <w:rPr>
          <w:rFonts w:hint="eastAsia" w:ascii="仿宋_GB2312" w:hAnsi="黑体" w:eastAsia="仿宋_GB2312" w:cs="方正小标宋简体"/>
          <w:b/>
          <w:sz w:val="32"/>
          <w:szCs w:val="32"/>
        </w:rPr>
      </w:pPr>
      <w:bookmarkStart w:id="0" w:name="_Toc15396616"/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黑水县畜牧兽医服务中心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23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年部门</w:t>
      </w:r>
    </w:p>
    <w:p>
      <w:pPr>
        <w:spacing w:line="600" w:lineRule="exact"/>
        <w:jc w:val="center"/>
        <w:outlineLvl w:val="0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整体支出绩效评价报告</w:t>
      </w:r>
      <w:bookmarkEnd w:id="0"/>
    </w:p>
    <w:p>
      <w:pPr>
        <w:spacing w:line="580" w:lineRule="exact"/>
        <w:ind w:firstLine="642" w:firstLineChars="200"/>
        <w:rPr>
          <w:rFonts w:ascii="仿宋_GB2312" w:hAnsi="黑体" w:eastAsia="仿宋_GB2312" w:cs="黑体"/>
          <w:b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一、部门（单位）概况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（一）机构组成。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黑水县畜牧兽医服务中心</w:t>
      </w:r>
      <w:r>
        <w:rPr>
          <w:rFonts w:hint="eastAsia" w:ascii="仿宋_GB2312" w:hAnsi="仿宋" w:eastAsia="仿宋_GB2312" w:cs="仿宋_GB2312"/>
          <w:sz w:val="32"/>
          <w:szCs w:val="32"/>
        </w:rPr>
        <w:t>为一级预算单位，</w:t>
      </w:r>
      <w:r>
        <w:rPr>
          <w:rFonts w:hint="eastAsia" w:ascii="仿宋_GB2312" w:hAnsi="仿宋" w:eastAsia="仿宋_GB2312" w:cs="仿宋_GB2312"/>
          <w:sz w:val="32"/>
          <w:szCs w:val="32"/>
          <w:highlight w:val="none"/>
        </w:rPr>
        <w:t>下设农经站、</w:t>
      </w:r>
      <w:r>
        <w:rPr>
          <w:rFonts w:hint="eastAsia" w:ascii="仿宋_GB2312" w:hAnsi="仿宋" w:eastAsia="仿宋_GB2312" w:cs="仿宋_GB2312"/>
          <w:sz w:val="32"/>
          <w:szCs w:val="32"/>
          <w:highlight w:val="none"/>
          <w:lang w:val="en-US" w:eastAsia="zh-CN"/>
        </w:rPr>
        <w:t>畜牧中心、农业执法中队、农村能源服务中心</w:t>
      </w:r>
      <w:r>
        <w:rPr>
          <w:rFonts w:hint="eastAsia" w:ascii="仿宋_GB2312" w:hAnsi="仿宋" w:eastAsia="仿宋_GB2312" w:cs="仿宋_GB2312"/>
          <w:sz w:val="32"/>
          <w:szCs w:val="32"/>
          <w:highlight w:val="none"/>
        </w:rPr>
        <w:t>等</w:t>
      </w:r>
      <w:r>
        <w:rPr>
          <w:rFonts w:hint="eastAsia" w:ascii="仿宋_GB2312" w:hAnsi="仿宋" w:eastAsia="仿宋_GB2312" w:cs="仿宋_GB2312"/>
          <w:sz w:val="32"/>
          <w:szCs w:val="32"/>
          <w:highlight w:val="none"/>
          <w:lang w:val="en-US" w:eastAsia="zh-CN"/>
        </w:rPr>
        <w:t>4个</w:t>
      </w:r>
      <w:r>
        <w:rPr>
          <w:rFonts w:hint="eastAsia" w:ascii="仿宋_GB2312" w:hAnsi="仿宋" w:eastAsia="仿宋_GB2312" w:cs="仿宋_GB2312"/>
          <w:sz w:val="32"/>
          <w:szCs w:val="32"/>
          <w:highlight w:val="none"/>
        </w:rPr>
        <w:t>参公</w:t>
      </w:r>
      <w:r>
        <w:rPr>
          <w:rFonts w:hint="eastAsia" w:ascii="仿宋_GB2312" w:hAnsi="仿宋" w:eastAsia="仿宋_GB2312" w:cs="仿宋_GB2312"/>
          <w:sz w:val="32"/>
          <w:szCs w:val="32"/>
          <w:highlight w:val="none"/>
          <w:lang w:val="en-US" w:eastAsia="zh-CN"/>
        </w:rPr>
        <w:t>场站。</w:t>
      </w:r>
      <w:r>
        <w:rPr>
          <w:rFonts w:hint="eastAsia" w:ascii="仿宋_GB2312" w:hAnsi="仿宋" w:eastAsia="仿宋_GB2312" w:cs="仿宋_GB2312"/>
          <w:sz w:val="32"/>
          <w:szCs w:val="32"/>
          <w:highlight w:val="none"/>
        </w:rPr>
        <w:t>事业股室</w:t>
      </w:r>
      <w:r>
        <w:rPr>
          <w:rFonts w:hint="eastAsia" w:ascii="仿宋_GB2312" w:hAnsi="仿宋" w:eastAsia="仿宋_GB2312" w:cs="仿宋_GB2312"/>
          <w:sz w:val="32"/>
          <w:szCs w:val="32"/>
          <w:highlight w:val="none"/>
          <w:lang w:val="en-US" w:eastAsia="zh-CN"/>
        </w:rPr>
        <w:t>13</w:t>
      </w:r>
      <w:r>
        <w:rPr>
          <w:rFonts w:hint="eastAsia" w:ascii="仿宋_GB2312" w:hAnsi="仿宋" w:eastAsia="仿宋_GB2312" w:cs="仿宋_GB2312"/>
          <w:sz w:val="32"/>
          <w:szCs w:val="32"/>
          <w:highlight w:val="none"/>
        </w:rPr>
        <w:t>个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如，土肥站、农技站等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" w:eastAsia="仿宋_GB2312" w:cs="仿宋_GB2312"/>
          <w:sz w:val="32"/>
          <w:szCs w:val="32"/>
        </w:rPr>
        <w:t>。</w:t>
      </w: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机构职能。</w:t>
      </w:r>
    </w:p>
    <w:p>
      <w:pPr>
        <w:numPr>
          <w:ilvl w:val="0"/>
          <w:numId w:val="0"/>
        </w:numPr>
        <w:spacing w:line="580" w:lineRule="exact"/>
        <w:ind w:firstLine="640" w:firstLineChars="200"/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黑水县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科学技术和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农业畜牧局负责贯彻执行国家有关种植业、畜牧业、农业机械化、农垦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、科技、农工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等农业领域（以下简称农业）工作方针、政策和法律、法规，拟定全县农牧和农村经济发展规划组织实施,推进农牧业依法行政；参与制定全县农业中、长期发展规划和年度计划，引导农业产业结构合理调整，农业资源合理配置和农产品品质改善；负责农业（含种植业、畜牧业）科学技术的普及推广、先进适用技术的示范和推广、监督管理和行政执法等工作。负责实施农业（含种植业、畜牧业）相关项目的实施工作。</w:t>
      </w:r>
    </w:p>
    <w:p>
      <w:pPr>
        <w:numPr>
          <w:ilvl w:val="0"/>
          <w:numId w:val="1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人员概况。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 w:bidi="ar-SA"/>
        </w:rPr>
        <w:t>本单位本年度年末实有人数为94人，比上年减少8人；年末实有离退休人数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为39人。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二、部门财政资金</w:t>
      </w:r>
      <w:r>
        <w:rPr>
          <w:rFonts w:hint="eastAsia" w:ascii="仿宋_GB2312" w:hAnsi="黑体" w:eastAsia="仿宋_GB2312" w:cs="黑体"/>
          <w:sz w:val="32"/>
          <w:szCs w:val="32"/>
        </w:rPr>
        <w:t>收支情况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（一）部门财政资金收入情况。</w:t>
      </w:r>
    </w:p>
    <w:p>
      <w:pPr>
        <w:spacing w:line="580" w:lineRule="exact"/>
        <w:ind w:firstLine="640" w:firstLineChars="200"/>
        <w:rPr>
          <w:rFonts w:hint="eastAsia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20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" w:eastAsia="仿宋_GB2312" w:cs="仿宋_GB2312"/>
          <w:sz w:val="32"/>
          <w:szCs w:val="32"/>
        </w:rPr>
        <w:t>年度</w:t>
      </w: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部门财政资金总收入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13175.7</w:t>
      </w: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万元。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其中基本收入为2345.46万元。</w:t>
      </w:r>
      <w:r>
        <w:rPr>
          <w:rFonts w:hint="eastAsia" w:ascii="仿宋_GB2312" w:hAnsi="仿宋" w:eastAsia="仿宋_GB2312" w:cs="仿宋_GB2312"/>
          <w:sz w:val="32"/>
          <w:szCs w:val="32"/>
        </w:rPr>
        <w:t>具体为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住房公积金：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153.99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万元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事业运行：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1767.93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万元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事业单位医疗：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95.2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万元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 xml:space="preserve"> 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公务员医疗补助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32.62万元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职业年金：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98.57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万元</w:t>
      </w:r>
    </w:p>
    <w:p>
      <w:pPr>
        <w:spacing w:line="580" w:lineRule="exact"/>
        <w:ind w:firstLine="640" w:firstLineChars="200"/>
      </w:pP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养老保险缴费：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197.14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万元</w:t>
      </w:r>
    </w:p>
    <w:p>
      <w:pPr>
        <w:numPr>
          <w:ilvl w:val="0"/>
          <w:numId w:val="2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部门财政资金支出情况。</w:t>
      </w:r>
    </w:p>
    <w:p>
      <w:pPr>
        <w:spacing w:line="580" w:lineRule="exact"/>
        <w:ind w:firstLine="640" w:firstLineChars="200"/>
        <w:rPr>
          <w:rFonts w:hint="eastAsia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20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" w:eastAsia="仿宋_GB2312" w:cs="仿宋_GB2312"/>
          <w:sz w:val="32"/>
          <w:szCs w:val="32"/>
        </w:rPr>
        <w:t>年度</w:t>
      </w: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部门财政资金总支出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13175.7</w:t>
      </w: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万元。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其中基本支出为2345.46万元。</w:t>
      </w:r>
      <w:r>
        <w:rPr>
          <w:rFonts w:hint="eastAsia" w:ascii="仿宋_GB2312" w:hAnsi="仿宋" w:eastAsia="仿宋_GB2312" w:cs="仿宋_GB2312"/>
          <w:sz w:val="32"/>
          <w:szCs w:val="32"/>
        </w:rPr>
        <w:t>具体为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住房公积金：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153.99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万元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事业运行：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1767.93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万元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事业单位医疗：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95.2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万元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 xml:space="preserve"> 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公务员医疗补助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eastAsia="zh-CN"/>
        </w:rPr>
        <w:t>：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32.62万元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职业年金：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98.57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万元</w:t>
      </w:r>
    </w:p>
    <w:p>
      <w:pPr>
        <w:spacing w:line="580" w:lineRule="exact"/>
        <w:ind w:firstLine="640" w:firstLineChars="200"/>
      </w:pP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养老保险缴费：</w:t>
      </w:r>
      <w:r>
        <w:rPr>
          <w:rFonts w:hint="eastAsia" w:ascii="仿宋_GB2312" w:hAnsi="仿宋" w:eastAsia="仿宋_GB2312" w:cs="仿宋_GB2312"/>
          <w:color w:val="auto"/>
          <w:sz w:val="32"/>
          <w:szCs w:val="32"/>
          <w:lang w:val="en-US" w:eastAsia="zh-CN"/>
        </w:rPr>
        <w:t>197.14</w:t>
      </w:r>
      <w:r>
        <w:rPr>
          <w:rFonts w:hint="eastAsia" w:ascii="仿宋_GB2312" w:hAnsi="仿宋" w:eastAsia="仿宋_GB2312" w:cs="仿宋_GB2312"/>
          <w:color w:val="auto"/>
          <w:sz w:val="32"/>
          <w:szCs w:val="32"/>
        </w:rPr>
        <w:t>万元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三、部门整体预算绩效管理情况（根据适用指标体系进行调整）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（一）部门预算管理。</w:t>
      </w:r>
    </w:p>
    <w:p>
      <w:pPr>
        <w:ind w:firstLine="6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我单位严格按照县级部门预算编制通知和有关要求，按时完成基础信息、项目资料立项及预算编制等工作，并按时提交部门预算草案，不存在预算编制错误情况。县财政局根据预算编制草案，进行审核，我局20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" w:eastAsia="仿宋_GB2312" w:cs="仿宋_GB2312"/>
          <w:sz w:val="32"/>
          <w:szCs w:val="32"/>
        </w:rPr>
        <w:t>年预算收入为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1693.95</w:t>
      </w:r>
      <w:r>
        <w:rPr>
          <w:rFonts w:hint="eastAsia" w:ascii="仿宋_GB2312" w:hAnsi="仿宋" w:eastAsia="仿宋_GB2312" w:cs="仿宋_GB2312"/>
          <w:sz w:val="32"/>
          <w:szCs w:val="32"/>
        </w:rPr>
        <w:t>万元。</w:t>
      </w:r>
    </w:p>
    <w:p>
      <w:pPr>
        <w:ind w:firstLine="600"/>
        <w:rPr>
          <w:rFonts w:hint="eastAsia" w:eastAsia="仿宋_GB231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是规章制度建立健全，制度执行严格合规，会计核算符合相关规定。二是严格按照有关规定，加强对财政各项资金的监督管理，确保资金及时、足额到位，专款专用，资金支付依据和开支标准合法合规，未出现截留和挤占挪作他用现象。三是按规定对财政拨付的专项资金进行自检自查，做好资金的项目和资金使用效益管理工作，充分发挥各项资金的使用效益，财政各项专项工作按时高质量完成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（二）专项预算管理。</w:t>
      </w:r>
    </w:p>
    <w:p>
      <w:pPr>
        <w:spacing w:line="56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资金使用严格执行《阿坝州州级财政专项资金绩效分配管理暂行办法》。</w:t>
      </w:r>
    </w:p>
    <w:p>
      <w:pPr>
        <w:spacing w:line="56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专项性办公经费和培训经费等做到专款专用，使之发挥最大的经济效益和社会效益。</w:t>
      </w:r>
    </w:p>
    <w:p>
      <w:pPr>
        <w:spacing w:line="560" w:lineRule="exact"/>
        <w:ind w:firstLine="640" w:firstLineChars="200"/>
      </w:pPr>
      <w:r>
        <w:rPr>
          <w:rFonts w:hint="eastAsia" w:ascii="仿宋_GB2312" w:hAnsi="仿宋" w:eastAsia="仿宋_GB2312" w:cs="仿宋_GB2312"/>
          <w:sz w:val="32"/>
          <w:szCs w:val="32"/>
        </w:rPr>
        <w:t>专项办公经费能够保证相关工作的更好推进，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以</w:t>
      </w:r>
      <w:bookmarkStart w:id="1" w:name="_GoBack"/>
      <w:bookmarkEnd w:id="1"/>
      <w:r>
        <w:rPr>
          <w:rFonts w:hint="eastAsia" w:ascii="仿宋_GB2312" w:hAnsi="仿宋" w:eastAsia="仿宋_GB2312" w:cs="仿宋_GB2312"/>
          <w:sz w:val="32"/>
          <w:szCs w:val="32"/>
        </w:rPr>
        <w:t>达到最好的经济效益和社会效益。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（三）结果应用情况。</w:t>
      </w:r>
    </w:p>
    <w:p>
      <w:pPr>
        <w:spacing w:line="560" w:lineRule="exact"/>
        <w:ind w:firstLine="640" w:firstLineChars="200"/>
      </w:pPr>
      <w:r>
        <w:rPr>
          <w:rFonts w:hint="eastAsia" w:ascii="仿宋_GB2312" w:hAnsi="仿宋" w:eastAsia="仿宋_GB2312" w:cs="仿宋_GB2312"/>
          <w:sz w:val="32"/>
          <w:szCs w:val="32"/>
          <w:lang w:val="zh-CN"/>
        </w:rPr>
        <w:t>结合项目自身特点，评价重点及管理办法等要求，根据项目决策、项目管理、项目绩效三个方面对项目进行总体评价得分：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85</w:t>
      </w:r>
      <w:r>
        <w:rPr>
          <w:rFonts w:hint="eastAsia" w:ascii="仿宋_GB2312" w:hAnsi="仿宋" w:eastAsia="仿宋_GB2312" w:cs="仿宋_GB2312"/>
          <w:sz w:val="32"/>
          <w:szCs w:val="32"/>
        </w:rPr>
        <w:t>分，综合评价结果为良。</w:t>
      </w:r>
    </w:p>
    <w:p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四、评价结论及建议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经自评，我单位财政资金支出绩效评价得分为8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" w:eastAsia="仿宋_GB2312" w:cs="仿宋_GB2312"/>
          <w:sz w:val="32"/>
          <w:szCs w:val="32"/>
        </w:rPr>
        <w:t>分。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2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我局经财政资金的足额拨付，使得各项工作顺利进行，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具</w:t>
      </w:r>
      <w:r>
        <w:rPr>
          <w:rFonts w:hint="eastAsia" w:ascii="仿宋_GB2312" w:hAnsi="仿宋" w:eastAsia="仿宋_GB2312" w:cs="仿宋_GB2312"/>
          <w:sz w:val="32"/>
          <w:szCs w:val="32"/>
        </w:rPr>
        <w:t>体现在：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今年以来，在县委、县政府的正确领导下，我局认真贯彻落实中央一号文件精神，贯彻落实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中央、省、州和县委县政府“三农”工作安排部署，巩固脱贫攻坚成果与乡村振兴有效衔接，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统筹农村地区疫情防控和经济发展，为我县农业增产、农民增收、农村稳定打好基础。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27" w:firstLineChars="196"/>
        <w:textAlignment w:val="auto"/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截至2023年底，全县完成</w:t>
      </w:r>
      <w:r>
        <w:rPr>
          <w:rFonts w:hint="eastAsia" w:ascii="仿宋_GB2312" w:eastAsia="仿宋_GB2312"/>
          <w:color w:val="auto"/>
          <w:sz w:val="32"/>
          <w:szCs w:val="32"/>
        </w:rPr>
        <w:t>粮食作物播种面积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9.1482万亩，粮食产量1.82万吨，蔬菜产量4.58万吨，水果产量0.78万吨，中药材产量0.11万吨，</w:t>
      </w:r>
      <w:r>
        <w:rPr>
          <w:rFonts w:hint="eastAsia" w:ascii="仿宋_GB2312" w:eastAsia="仿宋_GB2312"/>
          <w:color w:val="auto"/>
          <w:sz w:val="32"/>
          <w:szCs w:val="32"/>
        </w:rPr>
        <w:t>其中：小麦2.2008万亩，青稞0.8061万亩，玉米1.6143万亩，荞麦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0.755</w:t>
      </w:r>
      <w:r>
        <w:rPr>
          <w:rFonts w:hint="eastAsia" w:ascii="仿宋_GB2312" w:eastAsia="仿宋_GB2312"/>
          <w:color w:val="auto"/>
          <w:sz w:val="32"/>
          <w:szCs w:val="32"/>
        </w:rPr>
        <w:t>万亩，马铃薯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2.381</w:t>
      </w:r>
      <w:r>
        <w:rPr>
          <w:rFonts w:hint="eastAsia" w:ascii="仿宋_GB2312" w:eastAsia="仿宋_GB2312"/>
          <w:color w:val="auto"/>
          <w:sz w:val="32"/>
          <w:szCs w:val="32"/>
        </w:rPr>
        <w:t>万亩，胡豆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1.1</w:t>
      </w:r>
      <w:r>
        <w:rPr>
          <w:rFonts w:hint="eastAsia" w:ascii="仿宋_GB2312" w:eastAsia="仿宋_GB2312"/>
          <w:color w:val="auto"/>
          <w:sz w:val="32"/>
          <w:szCs w:val="32"/>
        </w:rPr>
        <w:t>万亩，豌豆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0.042</w:t>
      </w:r>
      <w:r>
        <w:rPr>
          <w:rFonts w:hint="eastAsia" w:ascii="仿宋_GB2312" w:eastAsia="仿宋_GB2312"/>
          <w:color w:val="auto"/>
          <w:sz w:val="32"/>
          <w:szCs w:val="32"/>
        </w:rPr>
        <w:t>万亩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；</w:t>
      </w:r>
      <w:r>
        <w:rPr>
          <w:rFonts w:hint="eastAsia" w:ascii="仿宋_GB2312" w:eastAsia="仿宋_GB2312"/>
          <w:color w:val="auto"/>
          <w:sz w:val="32"/>
          <w:szCs w:val="32"/>
        </w:rPr>
        <w:t>大春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粮食</w:t>
      </w:r>
      <w:r>
        <w:rPr>
          <w:rFonts w:hint="eastAsia" w:ascii="仿宋_GB2312" w:eastAsia="仿宋_GB2312"/>
          <w:color w:val="auto"/>
          <w:sz w:val="32"/>
          <w:szCs w:val="32"/>
        </w:rPr>
        <w:t>播种面积同比增加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1679</w:t>
      </w:r>
      <w:r>
        <w:rPr>
          <w:rFonts w:hint="eastAsia" w:ascii="仿宋_GB2312" w:eastAsia="仿宋_GB2312"/>
          <w:color w:val="auto"/>
          <w:sz w:val="32"/>
          <w:szCs w:val="32"/>
        </w:rPr>
        <w:t>亩，增幅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1.84</w:t>
      </w:r>
      <w:r>
        <w:rPr>
          <w:rFonts w:hint="eastAsia" w:ascii="仿宋_GB2312" w:eastAsia="仿宋_GB2312"/>
          <w:color w:val="auto"/>
          <w:sz w:val="32"/>
          <w:szCs w:val="32"/>
        </w:rPr>
        <w:t>%。小春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粮食</w:t>
      </w:r>
      <w:r>
        <w:rPr>
          <w:rFonts w:hint="eastAsia" w:ascii="仿宋_GB2312" w:eastAsia="仿宋_GB2312"/>
          <w:color w:val="auto"/>
          <w:sz w:val="32"/>
          <w:szCs w:val="32"/>
        </w:rPr>
        <w:t>播种面积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3699</w:t>
      </w:r>
      <w:r>
        <w:rPr>
          <w:rFonts w:hint="eastAsia" w:ascii="仿宋_GB2312" w:eastAsia="仿宋_GB2312"/>
          <w:color w:val="auto"/>
          <w:sz w:val="32"/>
          <w:szCs w:val="32"/>
        </w:rPr>
        <w:t>亩，比上年（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2040</w:t>
      </w:r>
      <w:r>
        <w:rPr>
          <w:rFonts w:hint="eastAsia" w:ascii="仿宋_GB2312" w:eastAsia="仿宋_GB2312"/>
          <w:color w:val="auto"/>
          <w:sz w:val="32"/>
          <w:szCs w:val="32"/>
        </w:rPr>
        <w:t>亩）增加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1659</w:t>
      </w:r>
      <w:r>
        <w:rPr>
          <w:rFonts w:hint="eastAsia" w:ascii="仿宋_GB2312" w:eastAsia="仿宋_GB2312"/>
          <w:color w:val="auto"/>
          <w:sz w:val="32"/>
          <w:szCs w:val="32"/>
        </w:rPr>
        <w:t>亩，小春粮食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预计</w:t>
      </w:r>
      <w:r>
        <w:rPr>
          <w:rFonts w:hint="eastAsia" w:ascii="仿宋_GB2312" w:eastAsia="仿宋_GB2312"/>
          <w:color w:val="auto"/>
          <w:sz w:val="32"/>
          <w:szCs w:val="32"/>
        </w:rPr>
        <w:t>产量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742</w:t>
      </w:r>
      <w:r>
        <w:rPr>
          <w:rFonts w:hint="eastAsia" w:ascii="仿宋_GB2312" w:eastAsia="仿宋_GB2312"/>
          <w:color w:val="auto"/>
          <w:sz w:val="32"/>
          <w:szCs w:val="32"/>
        </w:rPr>
        <w:t>吨，比上年（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205</w:t>
      </w:r>
      <w:r>
        <w:rPr>
          <w:rFonts w:hint="eastAsia" w:ascii="仿宋_GB2312" w:eastAsia="仿宋_GB2312"/>
          <w:color w:val="auto"/>
          <w:sz w:val="32"/>
          <w:szCs w:val="32"/>
        </w:rPr>
        <w:t>吨），增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</w:rPr>
        <w:t>加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lang w:val="en-US" w:eastAsia="zh-CN"/>
        </w:rPr>
        <w:t>537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</w:rPr>
        <w:t>吨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存栏牛52434万头、羊7908万只。累计出栏牛13102万头，羊5709万只，禽89245万只。牛肉产量1523万吨，猪肉产量4460.5万吨，禽肉产量152.5万吨，禽蛋产量20.5万吨。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实现农村居民人均可支配收入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129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元，同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9.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，实现第一产业增加值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30100万元，同比增长6.7%。</w:t>
      </w:r>
    </w:p>
    <w:p>
      <w:pPr>
        <w:numPr>
          <w:ilvl w:val="0"/>
          <w:numId w:val="2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存在问题。</w:t>
      </w:r>
    </w:p>
    <w:p>
      <w:pPr>
        <w:pStyle w:val="2"/>
        <w:numPr>
          <w:ilvl w:val="0"/>
          <w:numId w:val="0"/>
        </w:numPr>
        <w:ind w:leftChars="200" w:firstLine="642" w:firstLineChars="200"/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一是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受经济产业影响，农产品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运输和销售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不便，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部分农产品价格低迷，生猪生产不确定因素较多，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企业和养殖户的积极性不高。</w:t>
      </w:r>
      <w:r>
        <w:rPr>
          <w:rFonts w:hint="eastAsia" w:ascii="仿宋_GB2312" w:hAnsi="仿宋_GB2312" w:eastAsia="仿宋_GB2312" w:cs="仿宋_GB2312"/>
          <w:b/>
          <w:bCs w:val="0"/>
          <w:i w:val="0"/>
          <w:i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olor w:val="auto"/>
          <w:sz w:val="32"/>
          <w:szCs w:val="32"/>
          <w:highlight w:val="none"/>
          <w:u w:val="none"/>
          <w:shd w:val="clear" w:color="auto" w:fill="auto"/>
          <w:lang w:val="en-US" w:eastAsia="zh-CN"/>
        </w:rPr>
        <w:t>农产品产业链条不长。我县现有规模以上农业企业主导产业多为资源型传统产业，高新技术领域企业不多，初加工产品多，缺乏附加值高的精深加工产品。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三是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shd w:val="clear" w:color="auto" w:fill="auto"/>
          <w:lang w:val="en-US" w:eastAsia="zh-CN" w:bidi="ar-SA"/>
        </w:rPr>
        <w:t>农业抗风险能力较弱，农业设施多以避雨、抗风为主，抵御寒潮、大雪等自然灾害能力不足，年底补种、补栏困难。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四是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农村灌溉、生产道路等基础设施建设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跟不上产业发展的需求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，制约了农业产业发展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（三）改进建议。</w:t>
      </w:r>
    </w:p>
    <w:p>
      <w:pPr>
        <w:widowControl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一是积极实施品牌战略，提升已有品牌的知名度和影响力，创立企业品牌、产品品牌，塑造园区品牌，培育优质品牌农产品。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是全力推进产业项目建设，夯实产业基础，加快推进标准化建设。三是培育壮大新型经营主体。四是加大并保障惠民政策补贴。五是推进农村人居环境，完成厕所革命，开展村庄清洁行动，强化全面污染治理。六是深化农业农村体制改革，完成农村集体“三资”清理整治工作，推动农村土地流转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A75E6A"/>
    <w:multiLevelType w:val="singleLevel"/>
    <w:tmpl w:val="CCA75E6A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FE80D047"/>
    <w:multiLevelType w:val="singleLevel"/>
    <w:tmpl w:val="FE80D047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B22"/>
    <w:rsid w:val="00291808"/>
    <w:rsid w:val="00491B22"/>
    <w:rsid w:val="0052390C"/>
    <w:rsid w:val="01010D21"/>
    <w:rsid w:val="05B56103"/>
    <w:rsid w:val="081C03F9"/>
    <w:rsid w:val="15FA6EA9"/>
    <w:rsid w:val="297B3C74"/>
    <w:rsid w:val="2B9F04E4"/>
    <w:rsid w:val="2F9A53DA"/>
    <w:rsid w:val="32FA3927"/>
    <w:rsid w:val="34EB1F43"/>
    <w:rsid w:val="36435EC2"/>
    <w:rsid w:val="39E67436"/>
    <w:rsid w:val="46591539"/>
    <w:rsid w:val="47A213C1"/>
    <w:rsid w:val="49664149"/>
    <w:rsid w:val="4DD97D2F"/>
    <w:rsid w:val="59B73434"/>
    <w:rsid w:val="5B952DE0"/>
    <w:rsid w:val="5BF4078F"/>
    <w:rsid w:val="60D032A5"/>
    <w:rsid w:val="65742416"/>
    <w:rsid w:val="6EA3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unhideWhenUsed/>
    <w:qFormat/>
    <w:uiPriority w:val="0"/>
    <w:pPr>
      <w:ind w:leftChars="200" w:hanging="200" w:hangingChars="200"/>
    </w:p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paragraph" w:customStyle="1" w:styleId="9">
    <w:name w:val="普通(网站) Char Char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53</Words>
  <Characters>307</Characters>
  <Lines>2</Lines>
  <Paragraphs>1</Paragraphs>
  <TotalTime>3</TotalTime>
  <ScaleCrop>false</ScaleCrop>
  <LinksUpToDate>false</LinksUpToDate>
  <CharactersWithSpaces>359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WPS_1511431328</cp:lastModifiedBy>
  <dcterms:modified xsi:type="dcterms:W3CDTF">2024-11-11T15:43:55Z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