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23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年黑水县2023年农牧产业巩固提升项目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评价工作开展及项目情况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依据《“十四五”数字农业农村建设规划》面向我国农业农村大数据汇聚治理、经济运行分析、辅助决策等服务需求，重点支持建设国家农业农村大数据中心和创新中心，建立健全大数据辅助科学决策和乡村治理机制，完善国内外农产品市场监测分析和预警体系，推动全产业链数字化，提升农产品供给质量和效率。重点推进农业生产经营主体互联网融合应用，夯实大数据基础，提升农业农村管理决策效能。重点建立健全农业农村数据资源体系，深入推进农业农村大数据发展应用，推动数字政务能力建设，实现用数据说话、用数据决策、用数据管理、用数据创新提升农业农村部门决策科学化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农业经济经济形态，是以数据资源为关键要素，以现代信息网络为主要载体，以信息通信技术融合应用、全要素数字化转型为重要推动力，促进公平与效率更加统一的新经济形态。全面深化重点产业数字化转型。立足不同产业特点和差异化需求，推动传统产业全方位、全链条数字化转型，提高全要素生产率。大力提升农业数字化水平，推进“三农”综合信息服务，创新发展智慧农业，提升农业生产、加工、销售、物流等各环节数字化水平。产业数字化转型迈上新台阶。农业数字化转型快速推进，制造业数字化、网络化、智能化更加深入，生产性服务业融合发展加速普及，生活性服务业多元化拓展显著加快，产业数字化转型的支撑服务体系基本完备，在数字化转型过程中推进绿色发展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通过实施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降低农艺技能门槛，提升农户技能水平：项目实施可以通过技术培训、技术指导等方式，向当地农户普及现代农业知识和技术，并提高农户的技能水平，降低了农艺技能门槛，从而推动了农业生产的现代化和科技化。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促进农户增收致富，缩小农城差距：农村经济一直是乡村振兴的重要内容，而数字农业技术的应用可以促进农户增收致富，缩小城乡差距，提高农村经济发展水平，促进了乡村振兴和社会稳定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。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评价方法：根据项目情况和评价重点，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采用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一是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/>
        </w:rPr>
        <w:t>单位自评法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进行自评，通过翻阅相关凭证和政策落实文件及花名册进行核实。二是通过州审计局审计干训资金反馈结果进行自评。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评价选点：黑水县芦花镇。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二、评价结论及绩效分析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（一）评价结论</w:t>
      </w:r>
    </w:p>
    <w:p>
      <w:pPr>
        <w:pBdr>
          <w:bottom w:val="single" w:color="FFFFFF" w:sz="4" w:space="28"/>
        </w:pBdr>
        <w:tabs>
          <w:tab w:val="left" w:pos="0"/>
        </w:tabs>
        <w:spacing w:line="560" w:lineRule="exact"/>
        <w:ind w:firstLine="640" w:firstLineChars="200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该项目以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现代农业园区建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u w:val="none"/>
          <w:lang w:val="zh-CN" w:eastAsia="zh-CN"/>
        </w:rPr>
        <w:t>设为抓手，以促进农户增收和农业高质量发展为目标，以全产业链发展为路径，着力实现农业专业化、标准化、规模化。项目符合预期目标得分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95。</w:t>
      </w:r>
    </w:p>
    <w:p>
      <w:pPr>
        <w:pStyle w:val="2"/>
        <w:rPr>
          <w:rFonts w:hint="eastAsia"/>
          <w:lang w:val="zh-CN" w:eastAsia="zh-CN"/>
        </w:rPr>
      </w:pPr>
    </w:p>
    <w:tbl>
      <w:tblPr>
        <w:tblStyle w:val="6"/>
        <w:tblW w:w="94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7"/>
        <w:gridCol w:w="982"/>
        <w:gridCol w:w="1035"/>
        <w:gridCol w:w="1251"/>
        <w:gridCol w:w="385"/>
        <w:gridCol w:w="878"/>
        <w:gridCol w:w="1017"/>
        <w:gridCol w:w="829"/>
        <w:gridCol w:w="379"/>
        <w:gridCol w:w="340"/>
        <w:gridCol w:w="18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6" w:hRule="atLeast"/>
        </w:trPr>
        <w:tc>
          <w:tcPr>
            <w:tcW w:w="949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4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0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黑水县2023年农牧产业巩固提升项目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14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黑水县科学技术和农业畜牧局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4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2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项目建设内容主要包含各重点基地监测体系、数字农业种植示范区、数智基座底层支撑、智能物联感知、农业生产服务、农产品追溯赋能、经营主体监管、种植生产监测、数字农业</w:t>
            </w:r>
          </w:p>
        </w:tc>
        <w:tc>
          <w:tcPr>
            <w:tcW w:w="34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截至目前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已完成总量百分之八十，因该项目为续建项目。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4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80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项目建设内容主要包含各重点基地监测体系、数字农业种植示范区、数智基座底层支撑、智能物联感知、农业生产服务、农产品追溯赋能、经营主体监管、种植生产监测、数字农业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679.48</w:t>
            </w: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63.32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项目工程量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％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项目为跨年项目，正在建设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摄像头使用年限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项目开工率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项目建设按期完成率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节约生产物耗和成本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带动农户劳务务工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项目为跨年项目，正在建设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可持续性影响指标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使用年限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工程建设费</w:t>
            </w:r>
          </w:p>
        </w:tc>
        <w:tc>
          <w:tcPr>
            <w:tcW w:w="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695.88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695.88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60" w:lineRule="exact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2023年中央一号文件《中共中央国务院关于做好2023年全面推进乡村振兴重点工作的意见》提出深入实施数字乡村发展行动，推动数字化应用场景研发推广。加快农业农村大数据应用，推进智慧农业发展。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项目绩效目标设置：</w:t>
      </w:r>
      <w:r>
        <w:rPr>
          <w:rFonts w:hint="eastAsia" w:ascii="仿宋_GB2312" w:hAnsi="仿宋" w:eastAsia="仿宋_GB2312" w:cs="仿宋_GB2312"/>
          <w:sz w:val="32"/>
          <w:szCs w:val="32"/>
        </w:rPr>
        <w:t>项目建设内容主要包含各重点基地监测体系、数字农业种植示范区、数智基座底层支撑、智能物联感知、农业生产服务、农产品追溯赋能、经营主体监管、种植生产监测、数字农业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《关于加强中央财政衔接推进乡村振兴补助资金使用管理的指导意见》（财农〔2022〕14号），严格按照《中央财政衔接推进乡村振兴补助资金管理办法》要求管理项目资金，对实施程序、资金使用等情况进行公开公示，严格按照项目实施进度拨付资金，确保任务按时完成。</w:t>
      </w:r>
    </w:p>
    <w:p>
      <w:pPr>
        <w:pStyle w:val="2"/>
        <w:ind w:firstLine="640" w:firstLineChars="200"/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黑水县2023年农牧产业巩固提升项目安排资金为695.88万元,严格按照签订的项目任务书科目进行支付，支付依据合法合规，资金支付与预算相符。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该项目为跨年项目，正在建设。项目</w:t>
      </w:r>
      <w:r>
        <w:rPr>
          <w:rFonts w:hint="default" w:ascii="仿宋_GB2312" w:hAnsi="仿宋" w:eastAsia="仿宋_GB2312" w:cs="仿宋_GB2312"/>
          <w:b w:val="0"/>
          <w:kern w:val="2"/>
          <w:sz w:val="32"/>
          <w:szCs w:val="32"/>
          <w:lang w:eastAsia="zh-CN" w:bidi="ar-SA"/>
        </w:rPr>
        <w:t>截至目前</w:t>
      </w: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已完成总量百分之八十，因该项目为续建项目。数量指标：项目工程量≥100%、质量指标：摄像头使用年限≥100%、时效指标：项目开工率达到100%、经济效益指标：节约生产物耗和成本≥0.3%、可持续性影响指标：使用年限≥10年、服务对象满意度指标：受益群众满意度≥90%、经济成本指标：工程建设费≤695.88万元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187AA4"/>
    <w:multiLevelType w:val="singleLevel"/>
    <w:tmpl w:val="CE187AA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85C4474"/>
    <w:multiLevelType w:val="singleLevel"/>
    <w:tmpl w:val="F85C447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2EC"/>
    <w:rsid w:val="004C22EC"/>
    <w:rsid w:val="007B38C6"/>
    <w:rsid w:val="01146192"/>
    <w:rsid w:val="03F84114"/>
    <w:rsid w:val="100566B3"/>
    <w:rsid w:val="12E44946"/>
    <w:rsid w:val="1B4A3EC4"/>
    <w:rsid w:val="1E4C4A6E"/>
    <w:rsid w:val="244E01D1"/>
    <w:rsid w:val="33DA011B"/>
    <w:rsid w:val="358B1B11"/>
    <w:rsid w:val="359E3062"/>
    <w:rsid w:val="37C75ABD"/>
    <w:rsid w:val="3CED79C3"/>
    <w:rsid w:val="41941289"/>
    <w:rsid w:val="423607D0"/>
    <w:rsid w:val="42A95368"/>
    <w:rsid w:val="4A0B0DD8"/>
    <w:rsid w:val="4C237E93"/>
    <w:rsid w:val="4E034F0D"/>
    <w:rsid w:val="55704B34"/>
    <w:rsid w:val="57B166CC"/>
    <w:rsid w:val="5DBC40E7"/>
    <w:rsid w:val="69FE3A6F"/>
    <w:rsid w:val="7735455F"/>
    <w:rsid w:val="77991202"/>
    <w:rsid w:val="77AB3896"/>
    <w:rsid w:val="781365F7"/>
    <w:rsid w:val="7AB5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50</Words>
  <Characters>290</Characters>
  <Lines>2</Lines>
  <Paragraphs>1</Paragraphs>
  <TotalTime>1</TotalTime>
  <ScaleCrop>false</ScaleCrop>
  <LinksUpToDate>false</LinksUpToDate>
  <CharactersWithSpaces>339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2025-04-09T16:39:04Z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